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+42.0%</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97.1%</w:t>
            </w:r>
          </w:p>
        </w:tc>
        <w:tc>
          <w:tcPr>
            <w:tcW w:type="dxa" w:w="1560"/>
          </w:tcPr>
          <w:p>
            <w:pPr>
              <w:jc w:val="center"/>
            </w:pPr>
            <w:r/>
            <w:r>
              <w:rPr>
                <w:rFonts w:ascii="Times New Roman" w:hAnsi="Times New Roman" w:eastAsia="宋体"/>
                <w:sz w:val="16"/>
              </w:rPr>
              <w:t>+47.1%</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95.0%</w:t>
            </w:r>
          </w:p>
        </w:tc>
        <w:tc>
          <w:tcPr>
            <w:tcW w:type="dxa" w:w="1560"/>
            <w:shd w:fill="EBF5FB"/>
          </w:tcPr>
          <w:p>
            <w:pPr>
              <w:jc w:val="center"/>
            </w:pPr>
            <w:r/>
            <w:r>
              <w:rPr>
                <w:rFonts w:ascii="Times New Roman" w:hAnsi="Times New Roman" w:eastAsia="宋体"/>
                <w:sz w:val="16"/>
              </w:rPr>
              <w:t>+37.9%</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94.7%</w:t>
            </w:r>
          </w:p>
        </w:tc>
        <w:tc>
          <w:tcPr>
            <w:tcW w:type="dxa" w:w="1560"/>
          </w:tcPr>
          <w:p>
            <w:pPr>
              <w:jc w:val="center"/>
            </w:pPr>
            <w:r/>
            <w:r>
              <w:rPr>
                <w:rFonts w:ascii="Times New Roman" w:hAnsi="Times New Roman" w:eastAsia="宋体"/>
                <w:sz w:val="16"/>
              </w:rPr>
              <w:t>+61.4%</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91.7%</w:t>
            </w:r>
          </w:p>
        </w:tc>
        <w:tc>
          <w:tcPr>
            <w:tcW w:type="dxa" w:w="1560"/>
          </w:tcPr>
          <w:p>
            <w:pPr>
              <w:jc w:val="center"/>
            </w:pPr>
            <w:r/>
            <w:r>
              <w:rPr>
                <w:rFonts w:ascii="Times New Roman" w:hAnsi="Times New Roman" w:eastAsia="宋体"/>
                <w:sz w:val="16"/>
              </w:rPr>
              <w:t>−8.3%</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77.4%</w:t>
            </w:r>
          </w:p>
        </w:tc>
        <w:tc>
          <w:tcPr>
            <w:tcW w:type="dxa" w:w="1560"/>
          </w:tcPr>
          <w:p>
            <w:pPr>
              <w:jc w:val="center"/>
            </w:pPr>
            <w:r/>
            <w:r>
              <w:rPr>
                <w:rFonts w:ascii="Times New Roman" w:hAnsi="Times New Roman" w:eastAsia="宋体"/>
                <w:sz w:val="16"/>
              </w:rPr>
              <w:t>+60.7%</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+42%，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在优化后系统（90%基线）上，统计300物体L3+层的输出。评估指标：爻位质量分布、谨慎级别比例、力修正系数、典型案例。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88%</w:t>
            </w:r>
          </w:p>
        </w:tc>
        <w:tc>
          <w:tcPr>
            <w:tcW w:type="dxa" w:w="1872"/>
            <w:shd w:fill="EBF5FB"/>
          </w:tcPr>
          <w:p>
            <w:pPr>
              <w:jc w:val="center"/>
            </w:pPr>
            <w:r/>
            <w:r>
              <w:rPr>
                <w:rFonts w:ascii="Times New Roman" w:hAnsi="Times New Roman" w:eastAsia="宋体"/>
                <w:sz w:val="16"/>
              </w:rPr>
              <w:t>62%</w:t>
            </w:r>
          </w:p>
        </w:tc>
        <w:tc>
          <w:tcPr>
            <w:tcW w:type="dxa" w:w="1872"/>
            <w:shd w:fill="EBF5FB"/>
          </w:tcPr>
          <w:p>
            <w:pPr>
              <w:jc w:val="center"/>
            </w:pPr>
            <w:r/>
            <w:r>
              <w:rPr>
                <w:rFonts w:ascii="Times New Roman" w:hAnsi="Times New Roman" w:eastAsia="宋体"/>
                <w:sz w:val="16"/>
              </w:rPr>
              <w:t>12%</w:t>
            </w:r>
          </w:p>
        </w:tc>
        <w:tc>
          <w:tcPr>
            <w:tcW w:type="dxa" w:w="1872"/>
            <w:shd w:fill="EBF5FB"/>
          </w:tcPr>
          <w:p>
            <w:pPr>
              <w:jc w:val="center"/>
            </w:pPr>
            <w:r/>
            <w:r>
              <w:rPr>
                <w:rFonts w:ascii="Times New Roman" w:hAnsi="Times New Roman" w:eastAsia="宋体"/>
                <w:sz w:val="16"/>
              </w:rPr>
              <w:t>+26%</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+100%</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92%</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31%</w:t>
            </w:r>
          </w:p>
        </w:tc>
        <w:tc>
          <w:tcPr>
            <w:tcW w:type="dxa" w:w="1872"/>
            <w:shd w:fill="EBF5FB"/>
          </w:tcPr>
          <w:p>
            <w:pPr>
              <w:jc w:val="center"/>
            </w:pPr>
            <w:r/>
            <w:r>
              <w:rPr>
                <w:rFonts w:ascii="Times New Roman" w:hAnsi="Times New Roman" w:eastAsia="宋体"/>
                <w:sz w:val="16"/>
              </w:rPr>
              <w:t>+54%</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83%</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33%</w:t>
            </w:r>
          </w:p>
        </w:tc>
        <w:tc>
          <w:tcPr>
            <w:tcW w:type="dxa" w:w="1872"/>
          </w:tcPr>
          <w:p>
            <w:pPr>
              <w:jc w:val="center"/>
            </w:pPr>
            <w:r/>
            <w:r>
              <w:rPr>
                <w:rFonts w:ascii="Times New Roman" w:hAnsi="Times New Roman" w:eastAsia="宋体"/>
                <w:sz w:val="16"/>
              </w:rPr>
              <w:t>+83%</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100%</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+100%</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64%</w:t>
            </w:r>
          </w:p>
        </w:tc>
        <w:tc>
          <w:tcPr>
            <w:tcW w:type="dxa" w:w="1872"/>
            <w:shd w:fill="EBF5FB"/>
          </w:tcPr>
          <w:p>
            <w:pPr>
              <w:jc w:val="center"/>
            </w:pPr>
            <w:r/>
            <w:r>
              <w:rPr>
                <w:rFonts w:ascii="Times New Roman" w:hAnsi="Times New Roman" w:eastAsia="宋体"/>
                <w:sz w:val="16"/>
              </w:rPr>
              <w:t>27%</w:t>
            </w:r>
          </w:p>
        </w:tc>
        <w:tc>
          <w:tcPr>
            <w:tcW w:type="dxa" w:w="1872"/>
            <w:shd w:fill="EBF5FB"/>
          </w:tcPr>
          <w:p>
            <w:pPr>
              <w:jc w:val="center"/>
            </w:pPr>
            <w:r/>
            <w:r>
              <w:rPr>
                <w:rFonts w:ascii="Times New Roman" w:hAnsi="Times New Roman" w:eastAsia="宋体"/>
                <w:sz w:val="16"/>
              </w:rPr>
              <w:t>45%</w:t>
            </w:r>
          </w:p>
        </w:tc>
        <w:tc>
          <w:tcPr>
            <w:tcW w:type="dxa" w:w="1872"/>
            <w:shd w:fill="EBF5FB"/>
          </w:tcPr>
          <w:p>
            <w:pPr>
              <w:jc w:val="center"/>
            </w:pPr>
            <w:r/>
            <w:r>
              <w:rPr>
                <w:rFonts w:ascii="Times New Roman" w:hAnsi="Times New Roman" w:eastAsia="宋体"/>
                <w:sz w:val="16"/>
              </w:rPr>
              <w:t>+37%</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30%</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90%，差距+61.3%。MLP在立方体/碗/瓶子/花瓶四类上合理率0%，而YLYW达95-100%——这从根本上论证了先验知识是零样本能力的唯一来源。</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石块（77.4%）和圆柱体（80.0%）是性能最低的两类，原因在于高形状/姿态方差使单质心模板不够充分。未来将引入姿态感知编码或高斯混合模型。剩余22卦的工程转译预计可将合理率进一步提升5-10%。</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+42%性能提升）和爻位关系运算（五种关系的首次可计算形式化），建立了"卦定策略类型、爻定执行参数"的分层决策体系。消融实验和对比实验系统验证了各设计选择的独立贡献和先验知识的压倒性优势。未来工作：补齐22卦、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