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马老师课题组</w:t>
      </w:r>
    </w:p>
    <w:p>
      <w:pPr>
        <w:jc w:val="center"/>
      </w:pPr>
      <w:r>
        <w:rPr>
          <w:rFonts w:ascii="Times New Roman" w:hAnsi="Times New Roman" w:eastAsia="宋体"/>
          <w:color w:val="666666"/>
          <w:sz w:val="22"/>
        </w:rPr>
        <w:t>青岛科技大学 信息科学技术学院，山东 青岛 266061</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π₀[7]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[6]。2026年6月，复旦系科创企业眸深智能发布STI-WM时空一体世界动作模型，其核心主张——物理一致性约束缺失、空间感知精度不足、长时序规划薄弱——从工业界视角进一步验证了本文对VLA范式瓶颈的诊断[8]。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42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585216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5852160"/>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[8]：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1列出了完整的八卦物理原型。</w:t>
      </w:r>
    </w:p>
    <w:p>
      <w:pPr>
        <w:jc w:val="center"/>
      </w:pPr>
      <w:r>
        <w:rPr>
          <w:rFonts w:ascii="Times New Roman" w:hAnsi="Times New Roman" w:eastAsia="黑体"/>
          <w:b/>
          <w:sz w:val="18"/>
        </w:rPr>
        <w:t>表1.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表2给出了完整的六爻编码映射。</w:t>
      </w:r>
    </w:p>
    <w:p>
      <w:pPr>
        <w:jc w:val="center"/>
      </w:pPr>
      <w:r>
        <w:rPr>
          <w:rFonts w:ascii="Times New Roman" w:hAnsi="Times New Roman" w:eastAsia="黑体"/>
          <w:b/>
          <w:sz w:val="18"/>
        </w:rPr>
        <w:t>表2.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t>其中 s=stability, r=roll_tendency, a=support_area, o=occlusion, q=grasp_surface_quality, f=strength_needed, w=weight_ratio, b=fragility, p=task_priority, d=obstacle_density。所有变量归一化至[0,1]。</w:t>
      </w:r>
    </w:p>
    <w:p>
      <w:pPr>
        <w:ind w:firstLine="420"/>
      </w:pPr>
      <w:r>
        <w:rPr>
          <w:rFonts w:ascii="Times New Roman" w:hAnsi="Times New Roman" w:eastAsia="宋体"/>
          <w:sz w:val="22"/>
        </w:rPr>
        <w:t>六爻编码的关键设计选择在于每个爻值携带明确的物理语义。例如初爻为阴（&lt;0.5）的含义是"基础不稳，易倾倒"——这个语义锚定不是任意的，而是对应了《周易》中"初爻代表事物的根基"的定位[18]。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[0,1]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3列出了10个典型卦象的策略映射。</w:t>
      </w:r>
    </w:p>
    <w:p>
      <w:pPr>
        <w:jc w:val="center"/>
      </w:pPr>
      <w:r>
        <w:rPr>
          <w:rFonts w:ascii="Times New Roman" w:hAnsi="Times New Roman" w:eastAsia="黑体"/>
          <w:b/>
          <w:sz w:val="18"/>
        </w:rPr>
        <w:t>表3. 核心卦象-策略映射（节选10/64卦）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当前64卦的规则库覆盖了39种不同策略类型，包括强力抓取、精确抓取、动态抓取、谨慎抓取、跟随抓取、异形适配抓取、渐进抓取等。每种策略类型至少有一个专门卦象支撑，确保推理输出的多样性。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ind w:firstLine="420"/>
      </w:pPr>
      <w:r>
        <w:rPr>
          <w:rFonts w:ascii="Times New Roman" w:hAnsi="Times New Roman" w:eastAsia="宋体"/>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0.90]，其中九五爻（第五位）权重最高（1.00）——这与《周易》"九五，飞龙在天"所表达的该爻位核心地位完全一致[20]。</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t>表4将YLYW的推理机制与传统符号系统（如PDDL规划器、DeepProbLog[9]等）进行了系统对比。核心区别在于YLYW以结构化先验模板替代通用谓词逻辑，以连续隶属度替代离散真值判断。</w:t>
      </w:r>
    </w:p>
    <w:p>
      <w:pPr>
        <w:jc w:val="center"/>
      </w:pPr>
      <w:r>
        <w:rPr>
          <w:rFonts w:ascii="Times New Roman" w:hAnsi="Times New Roman" w:eastAsia="黑体"/>
          <w:b/>
          <w:sz w:val="18"/>
        </w:rPr>
        <w:t>表4.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[0,1]⁶（t为物体类型）。表5展示了8类物体的典型爻向量质心。</w:t>
      </w:r>
    </w:p>
    <w:p>
      <w:pPr>
        <w:jc w:val="center"/>
      </w:pPr>
      <w:r>
        <w:rPr>
          <w:rFonts w:ascii="Times New Roman" w:hAnsi="Times New Roman" w:eastAsia="黑体"/>
          <w:b/>
          <w:sz w:val="18"/>
        </w:rPr>
        <w:t>表5.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表6.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[19]。</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7给出了五种爻位关系的形式化定义。每种关系都是从《周易》经文中的定性描述出发，通过分析其逻辑结构转化为可计算的判据。例如，"当位"在《周易》中表述为"刚柔位当"[18]，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表7.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刚柔位当[18]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二多誉，五多功[19]</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柔乘刚也[18]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柔承刚也[18]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比，辅也[20]</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应有应与[19]</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t>算法1展示了完整的爻位关系运算流程。该算法输入为L2层输出的6维爻向量 y ∈ [0,1]⁶，各维对应初爻(y[0])至上爻(y[5])。输出为综合爻位质量评分 S_yao ∈ [0,1]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t>│ Input:  y ∈ [0,1]⁶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t>│    er_is_yin  ← y[1] &lt; 0.5         // 二爻为阴 = 六二   │</w:t>
      </w:r>
    </w:p>
    <w:p>
      <w:pPr>
        <w:spacing w:after="0" w:before="0"/>
        <w:ind w:left="567"/>
      </w:pPr>
      <w:r>
        <w:rPr>
          <w:rFonts w:ascii="Courier New" w:hAnsi="Courier New"/>
          <w:color w:val="333333"/>
          <w:sz w:val="16"/>
        </w:rPr>
        <w:t>│    wu_is_yang ← y[4]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t>权重分配（0.40/0.20/0.15/0.10/0.15）反映了易学传统中对各关系的重视程度。当位权重最高（0.40），对应《系辞》"天尊地卑，乾坤定矣"——天地设位是万物的基础[19]。得中次之（0.20），对应"二多誉，五多功"——二五爻为全卦核心[19]。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表8.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[0,1]。</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（1）采集8类物体各50+实例的六爻质心（表5）→（2）建立卦象-物体类型映射→（3）质心平均+哈希扰动生成新模板→（4）火水未济手动修正为极端值→（5）300物体评估。</w:t>
      </w:r>
    </w:p>
    <w:p>
      <w:pPr>
        <w:jc w:val="center"/>
      </w:pPr>
      <w:r>
        <w:rPr>
          <w:rFonts w:ascii="Times New Roman" w:hAnsi="Times New Roman" w:eastAsia="黑体"/>
          <w:b/>
          <w:sz w:val="18"/>
        </w:rPr>
        <w:t>表9.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优化后(64卦)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+44.7%</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64/64</w:t>
            </w:r>
          </w:p>
        </w:tc>
        <w:tc>
          <w:tcPr>
            <w:tcW w:type="dxa" w:w="2340"/>
          </w:tcPr>
          <w:p>
            <w:pPr>
              <w:jc w:val="center"/>
            </w:pPr>
            <w:r/>
            <w:r>
              <w:rPr>
                <w:rFonts w:ascii="Times New Roman" w:hAnsi="Times New Roman" w:eastAsia="宋体"/>
                <w:sz w:val="16"/>
              </w:rPr>
              <w:t>+44卦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表10.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97.9%</w:t>
            </w:r>
          </w:p>
        </w:tc>
        <w:tc>
          <w:tcPr>
            <w:tcW w:type="dxa" w:w="1560"/>
            <w:shd w:fill="EBF5FB"/>
          </w:tcPr>
          <w:p>
            <w:pPr>
              <w:jc w:val="center"/>
            </w:pPr>
            <w:r/>
            <w:r>
              <w:rPr>
                <w:rFonts w:ascii="Times New Roman" w:hAnsi="Times New Roman" w:eastAsia="宋体"/>
                <w:sz w:val="16"/>
              </w:rPr>
              <w:t>-2.1%</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92.5%</w:t>
            </w:r>
          </w:p>
        </w:tc>
        <w:tc>
          <w:tcPr>
            <w:tcW w:type="dxa" w:w="1560"/>
            <w:shd w:fill="EBF5FB"/>
          </w:tcPr>
          <w:p>
            <w:pPr>
              <w:jc w:val="center"/>
            </w:pPr>
            <w:r/>
            <w:r>
              <w:rPr>
                <w:rFonts w:ascii="Times New Roman" w:hAnsi="Times New Roman" w:eastAsia="宋体"/>
                <w:sz w:val="16"/>
              </w:rPr>
              <w:t>+35.4%</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92.1%</w:t>
            </w:r>
          </w:p>
        </w:tc>
        <w:tc>
          <w:tcPr>
            <w:tcW w:type="dxa" w:w="1560"/>
          </w:tcPr>
          <w:p>
            <w:pPr>
              <w:jc w:val="center"/>
            </w:pPr>
            <w:r/>
            <w:r>
              <w:rPr>
                <w:rFonts w:ascii="Times New Roman" w:hAnsi="Times New Roman" w:eastAsia="宋体"/>
                <w:sz w:val="16"/>
              </w:rPr>
              <w:t>+58.8%</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97.2%</w:t>
            </w:r>
          </w:p>
        </w:tc>
        <w:tc>
          <w:tcPr>
            <w:tcW w:type="dxa" w:w="1560"/>
          </w:tcPr>
          <w:p>
            <w:pPr>
              <w:jc w:val="center"/>
            </w:pPr>
            <w:r/>
            <w:r>
              <w:rPr>
                <w:rFonts w:ascii="Times New Roman" w:hAnsi="Times New Roman" w:eastAsia="宋体"/>
                <w:sz w:val="16"/>
              </w:rPr>
              <w:t>-2.8%</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87.1%</w:t>
            </w:r>
          </w:p>
        </w:tc>
        <w:tc>
          <w:tcPr>
            <w:tcW w:type="dxa" w:w="1560"/>
          </w:tcPr>
          <w:p>
            <w:pPr>
              <w:jc w:val="center"/>
            </w:pPr>
            <w:r/>
            <w:r>
              <w:rPr>
                <w:rFonts w:ascii="Times New Roman" w:hAnsi="Times New Roman" w:eastAsia="宋体"/>
                <w:sz w:val="16"/>
              </w:rPr>
              <w:t>+70.4%</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2860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+44.7%，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在优化后系统（92.7%基线）上，统计300物体L3+层的输出。评估指标：爻位质量分布、谨慎级别比例、力修正系数、典型案例。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表11.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2860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2860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表12.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将64卦策略映射随机打乱后重评估。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表13.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表14.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表15. 按物体类型的对比实验（YLYW数据来自300物体基线）</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94%</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+44%</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93%</w:t>
            </w:r>
          </w:p>
        </w:tc>
        <w:tc>
          <w:tcPr>
            <w:tcW w:type="dxa" w:w="1872"/>
          </w:tcPr>
          <w:p>
            <w:pPr>
              <w:jc w:val="center"/>
            </w:pPr>
            <w:r/>
            <w:r>
              <w:rPr>
                <w:rFonts w:ascii="Times New Roman" w:hAnsi="Times New Roman" w:eastAsia="宋体"/>
                <w:sz w:val="16"/>
              </w:rPr>
              <w:t>12%</w:t>
            </w:r>
          </w:p>
        </w:tc>
        <w:tc>
          <w:tcPr>
            <w:tcW w:type="dxa" w:w="1872"/>
          </w:tcPr>
          <w:p>
            <w:pPr>
              <w:jc w:val="center"/>
            </w:pPr>
            <w:r/>
            <w:r>
              <w:rPr>
                <w:rFonts w:ascii="Times New Roman" w:hAnsi="Times New Roman" w:eastAsia="宋体"/>
                <w:sz w:val="16"/>
              </w:rPr>
              <w:t>25%</w:t>
            </w:r>
          </w:p>
        </w:tc>
        <w:tc>
          <w:tcPr>
            <w:tcW w:type="dxa" w:w="1872"/>
          </w:tcPr>
          <w:p>
            <w:pPr>
              <w:jc w:val="center"/>
            </w:pPr>
            <w:r/>
            <w:r>
              <w:rPr>
                <w:rFonts w:ascii="Times New Roman" w:hAnsi="Times New Roman" w:eastAsia="宋体"/>
                <w:sz w:val="16"/>
              </w:rPr>
              <w:t>+81%</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80%</w:t>
            </w:r>
          </w:p>
        </w:tc>
        <w:tc>
          <w:tcPr>
            <w:tcW w:type="dxa" w:w="1872"/>
            <w:shd w:fill="EBF5FB"/>
          </w:tcPr>
          <w:p>
            <w:pPr>
              <w:jc w:val="center"/>
            </w:pPr>
            <w:r/>
            <w:r>
              <w:rPr>
                <w:rFonts w:ascii="Times New Roman" w:hAnsi="Times New Roman" w:eastAsia="宋体"/>
                <w:sz w:val="16"/>
              </w:rPr>
              <w:t>60%</w:t>
            </w:r>
          </w:p>
        </w:tc>
        <w:tc>
          <w:tcPr>
            <w:tcW w:type="dxa" w:w="1872"/>
            <w:shd w:fill="EBF5FB"/>
          </w:tcPr>
          <w:p>
            <w:pPr>
              <w:jc w:val="center"/>
            </w:pPr>
            <w:r/>
            <w:r>
              <w:rPr>
                <w:rFonts w:ascii="Times New Roman" w:hAnsi="Times New Roman" w:eastAsia="宋体"/>
                <w:sz w:val="16"/>
              </w:rPr>
              <w:t>10%</w:t>
            </w:r>
          </w:p>
        </w:tc>
        <w:tc>
          <w:tcPr>
            <w:tcW w:type="dxa" w:w="1872"/>
            <w:shd w:fill="EBF5FB"/>
          </w:tcPr>
          <w:p>
            <w:pPr>
              <w:jc w:val="center"/>
            </w:pPr>
            <w:r/>
            <w:r>
              <w:rPr>
                <w:rFonts w:ascii="Times New Roman" w:hAnsi="Times New Roman" w:eastAsia="宋体"/>
                <w:sz w:val="16"/>
              </w:rPr>
              <w:t>+20%</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92%</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62%</w:t>
            </w:r>
          </w:p>
        </w:tc>
        <w:tc>
          <w:tcPr>
            <w:tcW w:type="dxa" w:w="1872"/>
          </w:tcPr>
          <w:p>
            <w:pPr>
              <w:jc w:val="center"/>
            </w:pPr>
            <w:r/>
            <w:r>
              <w:rPr>
                <w:rFonts w:ascii="Times New Roman" w:hAnsi="Times New Roman" w:eastAsia="宋体"/>
                <w:sz w:val="16"/>
              </w:rPr>
              <w:t>+92%</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97%</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65%</w:t>
            </w:r>
          </w:p>
        </w:tc>
        <w:tc>
          <w:tcPr>
            <w:tcW w:type="dxa" w:w="1872"/>
            <w:shd w:fill="EBF5FB"/>
          </w:tcPr>
          <w:p>
            <w:pPr>
              <w:jc w:val="center"/>
            </w:pPr>
            <w:r/>
            <w:r>
              <w:rPr>
                <w:rFonts w:ascii="Times New Roman" w:hAnsi="Times New Roman" w:eastAsia="宋体"/>
                <w:sz w:val="16"/>
              </w:rPr>
              <w:t>+97%</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98%</w:t>
            </w:r>
          </w:p>
        </w:tc>
        <w:tc>
          <w:tcPr>
            <w:tcW w:type="dxa" w:w="1872"/>
          </w:tcPr>
          <w:p>
            <w:pPr>
              <w:jc w:val="center"/>
            </w:pPr>
            <w:r/>
            <w:r>
              <w:rPr>
                <w:rFonts w:ascii="Times New Roman" w:hAnsi="Times New Roman" w:eastAsia="宋体"/>
                <w:sz w:val="16"/>
              </w:rPr>
              <w:t>82%</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+16%</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87%</w:t>
            </w:r>
          </w:p>
        </w:tc>
        <w:tc>
          <w:tcPr>
            <w:tcW w:type="dxa" w:w="1872"/>
            <w:shd w:fill="EBF5FB"/>
          </w:tcPr>
          <w:p>
            <w:pPr>
              <w:jc w:val="center"/>
            </w:pPr>
            <w:r/>
            <w:r>
              <w:rPr>
                <w:rFonts w:ascii="Times New Roman" w:hAnsi="Times New Roman" w:eastAsia="宋体"/>
                <w:sz w:val="16"/>
              </w:rPr>
              <w:t>14%</w:t>
            </w:r>
          </w:p>
        </w:tc>
        <w:tc>
          <w:tcPr>
            <w:tcW w:type="dxa" w:w="1872"/>
            <w:shd w:fill="EBF5FB"/>
          </w:tcPr>
          <w:p>
            <w:pPr>
              <w:jc w:val="center"/>
            </w:pPr>
            <w:r/>
            <w:r>
              <w:rPr>
                <w:rFonts w:ascii="Times New Roman" w:hAnsi="Times New Roman" w:eastAsia="宋体"/>
                <w:sz w:val="16"/>
              </w:rPr>
              <w:t>43%</w:t>
            </w:r>
          </w:p>
        </w:tc>
        <w:tc>
          <w:tcPr>
            <w:tcW w:type="dxa" w:w="1872"/>
            <w:shd w:fill="EBF5FB"/>
          </w:tcPr>
          <w:p>
            <w:pPr>
              <w:jc w:val="center"/>
            </w:pPr>
            <w:r/>
            <w:r>
              <w:rPr>
                <w:rFonts w:ascii="Times New Roman" w:hAnsi="Times New Roman" w:eastAsia="宋体"/>
                <w:sz w:val="16"/>
              </w:rPr>
              <w:t>+73%</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64卦结构化先验达92.7%，差距+64%。MLP在碗/瓶子/花瓶三类上合理率0%，而YLYW达92-100%——这从根本上论证了先验知识是零样本能力的唯一来源。石块从64%提升至87%得益于64卦B档补全（山雷颐、泽水困等衍生卦的加入）。</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表16.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92.7%的+44.7%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87.1%）和圆柱体（80.0%）是性能最低的两类，原因在于高形状/姿态方差使单质心模板不够充分。未来将引入姿态感知编码或高斯混合模型。64卦覆盖已完成，剩余挑战主要在于圆柱体的姿态依赖性和石块的高形状方差。</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+44.7%性能提升）和爻位关系运算（五种关系的首次可计算形式化），建立了"卦定策略类型、爻定执行参数"的分层决策体系。消融实验和对比实验系统验证了各设计选择的独立贡献和先验知识的压倒性优势。未来工作：真实机器人验证、物理约束层、LLM混合架构。</w:t>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Ahn M, et al. Do As I Can, Not As I Say: Grounding Language in Robotic Affordances. CoRL, 2022.</w:t>
      </w:r>
    </w:p>
    <w:p>
      <w:pPr>
        <w:spacing w:after="40"/>
      </w:pPr>
      <w:r>
        <w:rPr>
          <w:rFonts w:ascii="Times New Roman" w:hAnsi="Times New Roman" w:eastAsia="宋体"/>
          <w:sz w:val="18"/>
        </w:rPr>
        <w:t>[3] Brohan A, et al. RT-2: Vision-Language-Action Models. arXiv:2307.15818, 2023.</w:t>
      </w:r>
    </w:p>
    <w:p>
      <w:pPr>
        <w:spacing w:after="40"/>
      </w:pPr>
      <w:r>
        <w:rPr>
          <w:rFonts w:ascii="Times New Roman" w:hAnsi="Times New Roman" w:eastAsia="宋体"/>
          <w:sz w:val="18"/>
        </w:rPr>
        <w:t>[4] Kim M J, et al. OpenVLA: An Open-Source Vision-Language-Action Model. arXiv:2406.09246, 2024.</w:t>
      </w:r>
    </w:p>
    <w:p>
      <w:pPr>
        <w:spacing w:after="40"/>
      </w:pPr>
      <w:r>
        <w:rPr>
          <w:rFonts w:ascii="Times New Roman" w:hAnsi="Times New Roman" w:eastAsia="宋体"/>
          <w:sz w:val="18"/>
        </w:rPr>
        <w:t>[5] Octo Model Team. Octo: An Open-Source Generalist Robot Policy. RSS, 2024.</w:t>
      </w:r>
    </w:p>
    <w:p>
      <w:pPr>
        <w:spacing w:after="40"/>
      </w:pPr>
      <w:r>
        <w:rPr>
          <w:rFonts w:ascii="Times New Roman" w:hAnsi="Times New Roman" w:eastAsia="宋体"/>
          <w:sz w:val="18"/>
        </w:rPr>
        <w:t>[6] 汪玉等. 具身智能中VLA模型的现状与挑战. 中国科学: 信息科学, 2025.</w:t>
      </w:r>
    </w:p>
    <w:p>
      <w:pPr>
        <w:spacing w:after="40"/>
      </w:pPr>
      <w:r>
        <w:rPr>
          <w:rFonts w:ascii="Times New Roman" w:hAnsi="Times New Roman" w:eastAsia="宋体"/>
          <w:sz w:val="18"/>
        </w:rPr>
        <w:t>[7] Black K, et al. π₀: A Vision-Language-Action Flow Model. arXiv:2410.24164, 2024.</w:t>
      </w:r>
    </w:p>
    <w:p>
      <w:pPr>
        <w:spacing w:after="40"/>
      </w:pPr>
      <w:r>
        <w:rPr>
          <w:rFonts w:ascii="Times New Roman" w:hAnsi="Times New Roman" w:eastAsia="宋体"/>
          <w:sz w:val="18"/>
        </w:rPr>
        <w:t>[8] 眸深智能. STI-WM: 时空一体世界动作模型. 量子位报道, 2026.</w:t>
      </w:r>
    </w:p>
    <w:p>
      <w:pPr>
        <w:spacing w:after="40"/>
      </w:pPr>
      <w:r>
        <w:rPr>
          <w:rFonts w:ascii="Times New Roman" w:hAnsi="Times New Roman" w:eastAsia="宋体"/>
          <w:sz w:val="18"/>
        </w:rPr>
        <w:t>[9] Garcez A, Lamb L C. Neurosymbolic AI: The 3rd Wave. Artificial Intelligence Review, 2023.</w:t>
      </w:r>
    </w:p>
    <w:p>
      <w:pPr>
        <w:spacing w:after="40"/>
      </w:pPr>
      <w:r>
        <w:rPr>
          <w:rFonts w:ascii="Times New Roman" w:hAnsi="Times New Roman" w:eastAsia="宋体"/>
          <w:sz w:val="18"/>
        </w:rPr>
        <w:t>[10] Manhaeve R, et al. DeepProbLog: Neural Probabilistic Logic Programming. NeurIPS, 2018.</w:t>
      </w:r>
    </w:p>
    <w:p>
      <w:pPr>
        <w:spacing w:after="40"/>
      </w:pPr>
      <w:r>
        <w:rPr>
          <w:rFonts w:ascii="Times New Roman" w:hAnsi="Times New Roman" w:eastAsia="宋体"/>
          <w:sz w:val="18"/>
        </w:rPr>
        <w:t>[11] Badreddine S, et al. Logic Tensor Networks. Artificial Intelligence, 2022.</w:t>
      </w:r>
    </w:p>
    <w:p>
      <w:pPr>
        <w:spacing w:after="40"/>
      </w:pPr>
      <w:r>
        <w:rPr>
          <w:rFonts w:ascii="Times New Roman" w:hAnsi="Times New Roman" w:eastAsia="宋体"/>
          <w:sz w:val="18"/>
        </w:rPr>
        <w:t>[12] van Krieken E, et al. Analyzing Differentiable Fuzzy Logic Operators. Artificial Intelligence, 2022.</w:t>
      </w:r>
    </w:p>
    <w:p>
      <w:pPr>
        <w:spacing w:after="40"/>
      </w:pPr>
      <w:r>
        <w:rPr>
          <w:rFonts w:ascii="Times New Roman" w:hAnsi="Times New Roman" w:eastAsia="宋体"/>
          <w:sz w:val="18"/>
        </w:rPr>
        <w:t>[13] Morrison D, et al. Closing the Loop for Robotic Grasping. RSS, 2018.</w:t>
      </w:r>
    </w:p>
    <w:p>
      <w:pPr>
        <w:spacing w:after="40"/>
      </w:pPr>
      <w:r>
        <w:rPr>
          <w:rFonts w:ascii="Times New Roman" w:hAnsi="Times New Roman" w:eastAsia="宋体"/>
          <w:sz w:val="18"/>
        </w:rPr>
        <w:t>[14]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[15] 王弼（魏）. 周易注.</w:t>
      </w:r>
    </w:p>
    <w:p>
      <w:pPr>
        <w:spacing w:after="40"/>
      </w:pPr>
      <w:r>
        <w:rPr>
          <w:rFonts w:ascii="Times New Roman" w:hAnsi="Times New Roman" w:eastAsia="宋体"/>
          <w:sz w:val="18"/>
        </w:rPr>
        <w:t>[16] 孔颖达（唐）. 周易正义.</w:t>
      </w:r>
    </w:p>
    <w:p>
      <w:pPr>
        <w:spacing w:after="40"/>
      </w:pPr>
      <w:r>
        <w:rPr>
          <w:rFonts w:ascii="Times New Roman" w:hAnsi="Times New Roman" w:eastAsia="宋体"/>
          <w:sz w:val="18"/>
        </w:rPr>
        <w:t>[17] 程颐（宋）. 程氏易传.</w:t>
      </w:r>
    </w:p>
    <w:p>
      <w:pPr>
        <w:spacing w:after="40"/>
      </w:pPr>
      <w:r>
        <w:rPr>
          <w:rFonts w:ascii="Times New Roman" w:hAnsi="Times New Roman" w:eastAsia="宋体"/>
          <w:sz w:val="18"/>
        </w:rPr>
        <w:t>[18] 朱熹（宋）. 周易本义.</w:t>
      </w:r>
    </w:p>
    <w:p>
      <w:pPr>
        <w:spacing w:after="40"/>
      </w:pPr>
      <w:r>
        <w:rPr>
          <w:rFonts w:ascii="Times New Roman" w:hAnsi="Times New Roman" w:eastAsia="宋体"/>
          <w:sz w:val="18"/>
        </w:rPr>
        <w:t>[19] 黄寿祺, 张善文. 周易译注. 上海古籍出版社, 2007.</w:t>
      </w:r>
    </w:p>
    <w:p>
      <w:pPr>
        <w:spacing w:after="40"/>
      </w:pPr>
      <w:r>
        <w:rPr>
          <w:rFonts w:ascii="Times New Roman" w:hAnsi="Times New Roman" w:eastAsia="宋体"/>
          <w:sz w:val="18"/>
        </w:rPr>
        <w:t>[20] 高亨. 周易古经今注. 中华书局, 1984.</w:t>
      </w:r>
    </w:p>
    <w:p>
      <w:pPr>
        <w:spacing w:after="40"/>
      </w:pPr>
      <w:r>
        <w:rPr>
          <w:rFonts w:ascii="Times New Roman" w:hAnsi="Times New Roman" w:eastAsia="宋体"/>
          <w:sz w:val="18"/>
        </w:rPr>
        <w:t>[21]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