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基于易理爻变的无监督工业图像异常检测框架</w:t>
      </w:r>
    </w:p>
    <w:p>
      <w:pPr>
        <w:jc w:val="center"/>
      </w:pPr>
      <w:r>
        <w:t>%</w:t>
      </w:r>
    </w:p>
    <w:p>
      <w:pPr>
        <w:spacing w:line="324" w:lineRule="auto"/>
        <w:ind w:firstLine="420"/>
      </w:pPr>
      <w:r>
        <w:t>Email: mxl@qust.edu.cn</w:t>
      </w:r>
    </w:p>
    <w:p>
      <w:pPr>
        <w:pStyle w:val="Heading1"/>
      </w:pPr>
      <w:r>
        <w:t>摘要</w:t>
      </w:r>
    </w:p>
    <w:p>
      <w:pPr>
        <w:spacing w:line="324" w:lineRule="auto"/>
        <w:ind w:firstLine="420"/>
      </w:pPr>
      <w:r>
        <w:t>工业图像异常检测当前由依赖 ImageNet 预训练特征与大量正常样本的方法 主导，这既不利于边缘部署，也削弱了可解释性。本文从《易经》的爻变思想 出发，提出一种无监督工业图像异常检测框架。其理论内核是：异常的 本质不是绝对量值的偏离，而是关联结构的变化——即爻变。据此， 我们将图像（或其深度特征）的异常响应场映射为六爻传感器阵列的读数， 并当爻间关联结构偏离其正常流形（而非几何/正交距离）时判定异常。 该框架信号无关：同一套易理判据可分别以（i）无需任何预训练的纯手工 信号，以及（ii）冻结的 ImageNet 预训练 ResNet 特征加以实例化。在 MVTec AD 全部 15 类上，预训练实例（深层六爻传感器）取得平均图像级 AUROC 0.862，接近 PaDiM（0.975）与 PatchCore（0.992）的报告值；而手工实例在 完全无预训练且完全可解释的前提下取得 0.709。跨特征提取器的受控 消融（在共同 4 类子集上：随机 ResNet 0.772 &lt; 手工固定卷积 0.799 &lt; 手工六爻信号 0.854 &lt; ImageNet 预训练 ResNet 0.932） 表明：框架并不产生知识，而只是 组织知识——性能上限由信号的信息量决定。该框架自第一个样本起通过 Welford 增量在线学习，阈值自适应且无需人工设定，对冷启动污染具有鲁棒性，且 数据高效。</w:t>
      </w:r>
    </w:p>
    <w:p>
      <w:pPr>
        <w:spacing w:line="324" w:lineRule="auto"/>
        <w:ind w:firstLine="420"/>
      </w:pPr>
      <w:r>
        <w:t>关键词: 工业异常检测，无监督学习，易理，爻变，六爻传感器阵列，可解释性，在线学习，MVTec AD。</w:t>
      </w:r>
    </w:p>
    <w:p>
      <w:pPr>
        <w:pStyle w:val="Heading1"/>
      </w:pPr>
      <w:r>
        <w:t>1  引言</w:t>
      </w:r>
    </w:p>
    <w:p>
      <w:pPr>
        <w:spacing w:line="324" w:lineRule="auto"/>
        <w:ind w:firstLine="420"/>
      </w:pPr>
      <w:r>
        <w:t>工业视觉异常检测的目标是：仅利用正常样本建模，从而在产线上识别出缺陷产品——因为缺陷稀少、种类繁多且难以预见。MVTec AD 基准 已成为事实标准，而近期的最先进方法（如 PaDiM 、PatchCore ）在其 15 个类别上报告了 0.95 以上的图像级AUROC。</w:t>
      </w:r>
    </w:p>
    <w:p>
      <w:pPr>
        <w:spacing w:line="324" w:lineRule="auto"/>
        <w:ind w:firstLine="420"/>
      </w:pPr>
      <w:r>
        <w:t>尽管性能强劲，这些方法存在两个共性局限。其一，它们依赖 ImageNet 预训练特征；此类权重所编码的视觉先验并非总是可得或必要，且其对性能的贡献很少被干净的消融实验隔离出来。其二，它们以统计距离或记忆库（k 近邻检索）组织特征，既难以解释，又需要在推理时存储大规模参考集。</w:t>
      </w:r>
    </w:p>
    <w:p>
      <w:pPr>
        <w:spacing w:line="324" w:lineRule="auto"/>
        <w:ind w:firstLine="420"/>
      </w:pPr>
      <w:r>
        <w:t>本文采取一种不同的组织原则，其灵感来自《易经》。《易经》以六爻表征事物状态，并且——关键在于——以爻变刻画变化：爻的转变及其相互关系的改变。我们将此转译为异常检测框架，其理论内核可概括为一句话：异常不在量值之偏，而在关系之变。据此，由六爻传感器阵列读取图像的偏离场，当传感器读数之间的关联结构偏离其正常流形时，即判定为异常。我们有意回避基于正交性的准则：爻间的相关性被视为可供利用的信息，而非应予剔除的冗余。</w:t>
      </w:r>
    </w:p>
    <w:p>
      <w:pPr>
        <w:spacing w:line="324" w:lineRule="auto"/>
        <w:ind w:firstLine="420"/>
      </w:pPr>
      <w:r>
        <w:t>本文框架是信号无关的：六爻算子作用于残差场R = |F - T| / SD，其中 F 为任意特征表示，T 为在线模板。我们以两种信号源实例化之：手工图像统计量（无预训练）与冻结的 ImageNet 预训练ResNet 特征。二者共用同一个在线引擎——自第一个样本起增量训练，阈值自适应。</w:t>
      </w:r>
    </w:p>
    <w:p>
      <w:pPr>
        <w:pStyle w:val="Heading2"/>
      </w:pPr>
      <w:r>
        <w:t>1.1  主要贡献</w:t>
      </w:r>
    </w:p>
    <w:p>
      <w:pPr>
        <w:pStyle w:val="ListBullet"/>
      </w:pPr>
      <w:r>
        <w:t>六爻传感器模型：将任意异常响应场映射为六个可解释读数，使检测框</w:t>
      </w:r>
      <w:r>
        <w:t xml:space="preserve"> 架与特征提取器解耦。</w:t>
      </w:r>
    </w:p>
    <w:p>
      <w:pPr>
        <w:pStyle w:val="ListBullet"/>
      </w:pPr>
      <w:r>
        <w:t>爻变判据：以爻间关联结构的变化判异常，明确否定正交化，并将其作</w:t>
      </w:r>
      <w:r>
        <w:t xml:space="preserve"> 为受控（负）结果报告。</w:t>
      </w:r>
    </w:p>
    <w:p>
      <w:pPr>
        <w:pStyle w:val="ListBullet"/>
      </w:pPr>
      <w:r>
        <w:t>在线、无参数自适应：Welford 增量统计、自适应阈值（正常分数的</w:t>
      </w:r>
      <w:r>
        <w:t xml:space="preserve"> q=75 分位数），以及对冷启动污染的鲁棒性。</w:t>
      </w:r>
    </w:p>
    <w:p>
      <w:pPr>
        <w:pStyle w:val="ListBullet"/>
      </w:pPr>
      <w:r>
        <w:t>信号无关性与「知识 vs 载体」消融：同一框架下，手工信号达</w:t>
      </w:r>
      <w:r>
        <w:t xml:space="preserve"> 性能由信号信息量而非框架决定。</w:t>
      </w:r>
    </w:p>
    <w:p>
      <w:pPr>
        <w:pStyle w:val="ListBullet"/>
      </w:pPr>
      <w:r>
        <w:t>数据高效：预训练实例每类仅 10 张正常图即恢复其大部分全量 AUROC。</w:t>
      </w:r>
    </w:p>
    <w:p>
      <w:pPr>
        <w:pStyle w:val="ListBullet"/>
      </w:pPr>
      <w:r>
        <w:t>边缘友好：无记忆库，仅存模板，存储比 PatchCore 风格 kNN 库</w:t>
      </w:r>
      <w:r>
        <w:t xml:space="preserve"> 省 52 倍、推理快 55 倍。</w:t>
      </w:r>
    </w:p>
    <w:p>
      <w:pPr>
        <w:pStyle w:val="Heading1"/>
      </w:pPr>
      <w:r>
        <w:t>2  相关工作</w:t>
      </w:r>
    </w:p>
    <w:p>
      <w:pPr>
        <w:pStyle w:val="Heading2"/>
      </w:pPr>
      <w:r>
        <w:t>2.1  工业异常检测</w:t>
      </w:r>
    </w:p>
    <w:p>
      <w:pPr>
        <w:spacing w:line="324" w:lineRule="auto"/>
        <w:ind w:firstLine="420"/>
      </w:pPr>
      <w:r>
        <w:t>MVTec AD  确立了 15 类无监督异常检测基准。距离。PatchCore  使用预训练嵌入的贪心 coreset与最近邻打分。SPADE  在正常图像特征库上检索。近期方向包括基于视觉-语言模型的零/少样本检测（如它们提升了精度，但通常增加了模型复杂度与存储。相较之下，本框架在预训练路径上免训练、仅存模板，且与具体架构无关。</w:t>
      </w:r>
    </w:p>
    <w:p>
      <w:pPr>
        <w:pStyle w:val="Heading2"/>
      </w:pPr>
      <w:r>
        <w:t>2.2  手工特征与传统方法</w:t>
      </w:r>
    </w:p>
    <w:p>
      <w:pPr>
        <w:spacing w:line="324" w:lineRule="auto"/>
        <w:ind w:firstLine="420"/>
      </w:pPr>
      <w:r>
        <w:t>在深度特征成为主流之前，工业检测依赖手工描述子——Gabor/滤波器组、局部二值模式（LBP）、灰度共生矩阵（GLCM）与结构纹理特征——并结合统计分类器。这些方法可解释、成本低，但难以应对真实缺陷的多样性。相对参考模板的亮度/频域残差在经典表面检测中仍很常见。本文的手工实例属于这一脉络，区别在于：(i) 将响应组织为固定、可解释的六爻结构；(ii) 以自适应阈值在线学习正常统计量。</w:t>
      </w:r>
    </w:p>
    <w:p>
      <w:pPr>
        <w:pStyle w:val="Heading2"/>
      </w:pPr>
      <w:r>
        <w:t>2.3  在线/增量无监督学习</w:t>
      </w:r>
    </w:p>
    <w:p>
      <w:pPr>
        <w:spacing w:line="324" w:lineRule="auto"/>
        <w:ind w:firstLine="420"/>
      </w:pPr>
      <w:r>
        <w:t>增量统计（Welford）与概念漂移自适应是流式数据分析中的经典课题。在异常检测中，少样本与持续学习场景近期受到关注 。与在训练阶段后固定参考集的记忆库方法不同，本文引擎增量更新模板、尺度与爻统计量，因而天然对冷启动污染鲁棒。</w:t>
      </w:r>
    </w:p>
    <w:p>
      <w:pPr>
        <w:pStyle w:val="Heading2"/>
      </w:pPr>
      <w:r>
        <w:t>2.4  易经与计算</w:t>
      </w:r>
    </w:p>
    <w:p>
      <w:pPr>
        <w:spacing w:line="324" w:lineRule="auto"/>
        <w:ind w:firstLine="420"/>
      </w:pPr>
      <w:r>
        <w:t>《易经》已启发过一些将其卦爻结构与计算、编码及机器学习相联系的交叉学科工作 。据我们所知，本文首次将爻变原理落实为一个具体、有竞争力的无监督异常检测判据。</w:t>
      </w:r>
    </w:p>
    <w:p>
      <w:pPr>
        <w:pStyle w:val="Heading1"/>
      </w:pPr>
      <w:r>
        <w:t>3  理论框架</w:t>
      </w:r>
    </w:p>
    <w:p>
      <w:pPr>
        <w:jc w:val="center"/>
      </w:pPr>
      <w:r>
        <w:drawing>
          <wp:inline xmlns:a="http://schemas.openxmlformats.org/drawingml/2006/main" xmlns:pic="http://schemas.openxmlformats.org/drawingml/2006/picture">
            <wp:extent cx="4114800" cy="175311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114800" cy="1753112"/>
                    </a:xfrm>
                    <a:prstGeom prst="rect"/>
                  </pic:spPr>
                </pic:pic>
              </a:graphicData>
            </a:graphic>
          </wp:inline>
        </w:drawing>
      </w:r>
    </w:p>
    <w:p>
      <w:pPr>
        <w:jc w:val="center"/>
      </w:pPr>
      <w:r>
        <w:rPr>
          <w:i/>
          <w:sz w:val="18"/>
        </w:rPr>
        <w:t>图 1  六爻传感器框架总览。</w:t>
      </w:r>
    </w:p>
    <w:p>
      <w:pPr>
        <w:jc w:val="center"/>
      </w:pPr>
      <w:r>
        <w:drawing>
          <wp:inline xmlns:a="http://schemas.openxmlformats.org/drawingml/2006/main" xmlns:pic="http://schemas.openxmlformats.org/drawingml/2006/picture">
            <wp:extent cx="4114800" cy="2058358"/>
            <wp:docPr id="2" name="Picture 2"/>
            <wp:cNvGraphicFramePr>
              <a:graphicFrameLocks noChangeAspect="1"/>
            </wp:cNvGraphicFramePr>
            <a:graphic>
              <a:graphicData uri="http://schemas.openxmlformats.org/drawingml/2006/picture">
                <pic:pic>
                  <pic:nvPicPr>
                    <pic:cNvPr id="0" name="fig2_yao_operators.png"/>
                    <pic:cNvPicPr/>
                  </pic:nvPicPr>
                  <pic:blipFill>
                    <a:blip r:embed="rId10"/>
                    <a:stretch>
                      <a:fillRect/>
                    </a:stretch>
                  </pic:blipFill>
                  <pic:spPr>
                    <a:xfrm>
                      <a:off x="0" y="0"/>
                      <a:ext cx="4114800" cy="2058358"/>
                    </a:xfrm>
                    <a:prstGeom prst="rect"/>
                  </pic:spPr>
                </pic:pic>
              </a:graphicData>
            </a:graphic>
          </wp:inline>
        </w:drawing>
      </w:r>
    </w:p>
    <w:p>
      <w:pPr>
        <w:jc w:val="center"/>
      </w:pPr>
      <w:r>
        <w:rPr>
          <w:i/>
          <w:sz w:val="18"/>
        </w:rPr>
        <w:t>图 2  六爻算子示意。</w:t>
      </w:r>
    </w:p>
    <w:p>
      <w:pPr>
        <w:pStyle w:val="Heading2"/>
      </w:pPr>
      <w:r>
        <w:t>3.1  六爻传感器模型</w:t>
      </w:r>
    </w:p>
    <w:p>
      <w:pPr>
        <w:spacing w:line="324" w:lineRule="auto"/>
        <w:ind w:firstLine="420"/>
      </w:pPr>
      <w:r>
        <w:t>设 F 为某图像的特征场，T 为在线模板。定义异常响应场</w:t>
      </w:r>
    </w:p>
    <w:p>
      <w:pPr>
        <w:jc w:val="center"/>
      </w:pPr>
      <w:r>
        <w:rPr>
          <w:rFonts w:ascii="Cambria Math" w:hAnsi="Cambria Math"/>
          <w:i/>
        </w:rPr>
        <w:t>R = |F - T|SD,</w:t>
      </w:r>
    </w:p>
    <w:p>
      <w:pPr>
        <w:spacing w:line="324" w:lineRule="auto"/>
        <w:ind w:firstLine="420"/>
      </w:pPr>
      <w:r>
        <w:t>其中 SD 为 F 在正常样本上逐位置的标准差。六爻传感器阵列是一个映射 S: R  R^H W 6，为每个空间位置赋予六个读数 s_1,,s_6（初爻、二爻……上爻），各捕捉一种不同的异常响应模式（表 [引用:tab:yao]）。</w:t>
      </w:r>
    </w:p>
    <w:p>
      <w:pPr>
        <w:jc w:val="center"/>
      </w:pPr>
      <w:r>
        <w:rPr>
          <w:i/>
          <w:sz w:val="18"/>
        </w:rPr>
        <w:t>表 1  六爻算子定义。</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爻</w:t>
            </w:r>
          </w:p>
        </w:tc>
        <w:tc>
          <w:tcPr>
            <w:tcW w:type="dxa" w:w="4320"/>
          </w:tcPr>
          <w:p>
            <w:r>
              <w:rPr>
                <w:sz w:val="18"/>
              </w:rPr>
              <w:t>算子（作用于 R）</w:t>
            </w:r>
          </w:p>
        </w:tc>
      </w:tr>
      <w:tr>
        <w:tc>
          <w:tcPr>
            <w:tcW w:type="dxa" w:w="4320"/>
          </w:tcPr>
          <w:p>
            <w:r>
              <w:rPr>
                <w:sz w:val="18"/>
              </w:rPr>
              <w:t>初</w:t>
            </w:r>
          </w:p>
        </w:tc>
        <w:tc>
          <w:tcPr>
            <w:tcW w:type="dxa" w:w="4320"/>
          </w:tcPr>
          <w:p>
            <w:r>
              <w:rPr>
                <w:sz w:val="18"/>
              </w:rPr>
              <w:t>残差峰值：(R)</w:t>
            </w:r>
          </w:p>
        </w:tc>
      </w:tr>
      <w:tr>
        <w:tc>
          <w:tcPr>
            <w:tcW w:type="dxa" w:w="4320"/>
          </w:tcPr>
          <w:p>
            <w:r>
              <w:rPr>
                <w:sz w:val="18"/>
              </w:rPr>
              <w:t>二</w:t>
            </w:r>
          </w:p>
        </w:tc>
        <w:tc>
          <w:tcPr>
            <w:tcW w:type="dxa" w:w="4320"/>
          </w:tcPr>
          <w:p>
            <w:r>
              <w:rPr>
                <w:sz w:val="18"/>
              </w:rPr>
              <w:t>高频 FFT 比例</w:t>
            </w:r>
          </w:p>
        </w:tc>
      </w:tr>
      <w:tr>
        <w:tc>
          <w:tcPr>
            <w:tcW w:type="dxa" w:w="4320"/>
          </w:tcPr>
          <w:p>
            <w:r>
              <w:rPr>
                <w:sz w:val="18"/>
              </w:rPr>
              <w:t>三</w:t>
            </w:r>
          </w:p>
        </w:tc>
        <w:tc>
          <w:tcPr>
            <w:tcW w:type="dxa" w:w="4320"/>
          </w:tcPr>
          <w:p>
            <w:r>
              <w:rPr>
                <w:sz w:val="18"/>
              </w:rPr>
              <w:t>结构张量各向异性（99 分位）</w:t>
            </w:r>
          </w:p>
        </w:tc>
      </w:tr>
      <w:tr>
        <w:tc>
          <w:tcPr>
            <w:tcW w:type="dxa" w:w="4320"/>
          </w:tcPr>
          <w:p>
            <w:r>
              <w:rPr>
                <w:sz w:val="18"/>
              </w:rPr>
              <w:t>四</w:t>
            </w:r>
          </w:p>
        </w:tc>
        <w:tc>
          <w:tcPr>
            <w:tcW w:type="dxa" w:w="4320"/>
          </w:tcPr>
          <w:p>
            <w:r>
              <w:rPr>
                <w:sz w:val="18"/>
              </w:rPr>
              <w:t>|R- R| / std(R)</w:t>
            </w:r>
          </w:p>
        </w:tc>
      </w:tr>
      <w:tr>
        <w:tc>
          <w:tcPr>
            <w:tcW w:type="dxa" w:w="4320"/>
          </w:tcPr>
          <w:p>
            <w:r>
              <w:rPr>
                <w:sz w:val="18"/>
              </w:rPr>
              <w:t>五</w:t>
            </w:r>
          </w:p>
        </w:tc>
        <w:tc>
          <w:tcPr>
            <w:tcW w:type="dxa" w:w="4320"/>
          </w:tcPr>
          <w:p>
            <w:r>
              <w:rPr>
                <w:sz w:val="18"/>
              </w:rPr>
              <w:t>颜色残差峰值</w:t>
            </w:r>
          </w:p>
        </w:tc>
      </w:tr>
      <w:tr>
        <w:tc>
          <w:tcPr>
            <w:tcW w:type="dxa" w:w="4320"/>
          </w:tcPr>
          <w:p>
            <w:r>
              <w:rPr>
                <w:sz w:val="18"/>
              </w:rPr>
              <w:t>六</w:t>
            </w:r>
          </w:p>
        </w:tc>
        <w:tc>
          <w:tcPr>
            <w:tcW w:type="dxa" w:w="4320"/>
          </w:tcPr>
          <w:p>
            <w:r>
              <w:rPr>
                <w:sz w:val="18"/>
              </w:rPr>
              <w:t>高对比连通域密度</w:t>
            </w:r>
          </w:p>
        </w:tc>
      </w:tr>
    </w:tbl>
    <w:p>
      <w:pPr>
        <w:pStyle w:val="Heading2"/>
      </w:pPr>
      <w:r>
        <w:t>3.2  爻变作为异常判据</w:t>
      </w:r>
    </w:p>
    <w:p>
      <w:pPr>
        <w:spacing w:line="324" w:lineRule="auto"/>
        <w:ind w:firstLine="420"/>
      </w:pPr>
      <w:r>
        <w:t>与传统统计式异常检测的核心分歧在于判据本身。设位置处的六爻读数为s  R^6，其在线正常统计量为 , ，在线相关矩阵为 C。定义标准化读数</w:t>
      </w:r>
    </w:p>
    <w:p>
      <w:pPr>
        <w:jc w:val="center"/>
      </w:pPr>
      <w:r>
        <w:rPr>
          <w:rFonts w:ascii="Cambria Math" w:hAnsi="Cambria Math"/>
          <w:i/>
        </w:rPr>
        <w:t>z_i = |(s_i - mu_i)/(sigma_i)|,</w:t>
      </w:r>
    </w:p>
    <w:p>
      <w:pPr>
        <w:spacing w:line="324" w:lineRule="auto"/>
        <w:ind w:firstLine="420"/>
      </w:pPr>
      <w:r>
        <w:t>并按边缘偏离与爻间关系的变化之组合对位置打分：</w:t>
      </w:r>
    </w:p>
    <w:p>
      <w:pPr>
        <w:jc w:val="center"/>
      </w:pPr>
      <w:r>
        <w:rPr>
          <w:rFonts w:ascii="Cambria Math" w:hAnsi="Cambria Math"/>
          <w:i/>
        </w:rPr>
        <w:t>score = max_i z_i 由   ;   Delta C = |C(R) - C_normal|调制</w:t>
      </w:r>
    </w:p>
    <w:p>
      <w:pPr>
        <w:spacing w:line="324" w:lineRule="auto"/>
        <w:ind w:firstLine="420"/>
      </w:pPr>
      <w:r>
        <w:t>需要强调：六爻不做正交化；爻间相关性携带判别信息。在第 [引用:sec:ablation]节中，我们将以实验表明对爻空间做 PCA 白化会降低 AUROC，从而印证爻变视角的正确性。</w:t>
      </w:r>
    </w:p>
    <w:p>
      <w:pPr>
        <w:pStyle w:val="Heading2"/>
      </w:pPr>
      <w:r>
        <w:t>3.3  自适应阈值</w:t>
      </w:r>
    </w:p>
    <w:p>
      <w:pPr>
        <w:spacing w:line="324" w:lineRule="auto"/>
        <w:ind w:firstLine="420"/>
      </w:pPr>
      <w:r>
        <w:t>我们不自设判决阈值，而是将其取为模型自身正常分数的第 q 分位数，且q=75（一个无参数、稳健的工作点，相当于每四个正常品允许一次误报）。第 [引用:sec:ablation] 节将表明不存在跨类别普遍最优的分位数规则，从而为这一固定而原则性的选择提供依据。</w:t>
      </w:r>
    </w:p>
    <w:p>
      <w:pPr>
        <w:pStyle w:val="Heading2"/>
      </w:pPr>
      <w:r>
        <w:t>3.4  在线学习</w:t>
      </w:r>
    </w:p>
    <w:p>
      <w:pPr>
        <w:spacing w:line="324" w:lineRule="auto"/>
        <w:ind w:firstLine="420"/>
      </w:pPr>
      <w:r>
        <w:t>所有任务相关统计量——模板 T、尺度 SD、以及爻统计量,,C——均自第一个（无标注）样本起经 Welford 算法增量更新：</w:t>
      </w:r>
    </w:p>
    <w:p>
      <w:pPr>
        <w:jc w:val="center"/>
      </w:pPr>
      <w:r>
        <w:rPr>
          <w:rFonts w:ascii="Cambria Math" w:hAnsi="Cambria Math"/>
          <w:i/>
        </w:rPr>
        <w:t>x̄_n = x̄_n-1 + x_n - x̄_n-1n,   ;   M_n = M_n-1 + (x_n - x̄_n-1)(x_n - x̄_n)</w:t>
      </w:r>
    </w:p>
    <w:p>
      <w:pPr>
        <w:spacing w:line="324" w:lineRule="auto"/>
        <w:ind w:firstLine="420"/>
      </w:pPr>
      <w:r>
        <w:t>1/n 权重带来天然的遗忘效应，使模型对冷启动污染具有鲁棒性（第 [引用:sec:ablation] 节）。</w:t>
      </w:r>
    </w:p>
    <w:p>
      <w:pPr>
        <w:pStyle w:val="Heading1"/>
      </w:pPr>
      <w:r>
        <w:t>4  方法</w:t>
      </w:r>
    </w:p>
    <w:p>
      <w:pPr>
        <w:jc w:val="center"/>
      </w:pPr>
      <w:r>
        <w:drawing>
          <wp:inline xmlns:a="http://schemas.openxmlformats.org/drawingml/2006/main" xmlns:pic="http://schemas.openxmlformats.org/drawingml/2006/picture">
            <wp:extent cx="4114800" cy="7498079"/>
            <wp:docPr id="3" name="Picture 3"/>
            <wp:cNvGraphicFramePr>
              <a:graphicFrameLocks noChangeAspect="1"/>
            </wp:cNvGraphicFramePr>
            <a:graphic>
              <a:graphicData uri="http://schemas.openxmlformats.org/drawingml/2006/picture">
                <pic:pic>
                  <pic:nvPicPr>
                    <pic:cNvPr id="0" name="fig7_layer_heatmap.png"/>
                    <pic:cNvPicPr/>
                  </pic:nvPicPr>
                  <pic:blipFill>
                    <a:blip r:embed="rId11"/>
                    <a:stretch>
                      <a:fillRect/>
                    </a:stretch>
                  </pic:blipFill>
                  <pic:spPr>
                    <a:xfrm>
                      <a:off x="0" y="0"/>
                      <a:ext cx="4114800" cy="7498079"/>
                    </a:xfrm>
                    <a:prstGeom prst="rect"/>
                  </pic:spPr>
                </pic:pic>
              </a:graphicData>
            </a:graphic>
          </wp:inline>
        </w:drawing>
      </w:r>
    </w:p>
    <w:p>
      <w:pPr>
        <w:jc w:val="center"/>
      </w:pPr>
      <w:r>
        <w:rPr>
          <w:i/>
          <w:sz w:val="18"/>
        </w:rPr>
        <w:t>图 3  各层六爻贡献热图。</w:t>
      </w:r>
    </w:p>
    <w:p>
      <w:pPr>
        <w:pStyle w:val="Heading2"/>
      </w:pPr>
      <w:r>
        <w:t>4.1  总体流程</w:t>
      </w:r>
    </w:p>
    <w:p>
      <w:pPr>
        <w:jc w:val="center"/>
      </w:pPr>
      <w:r>
        <w:drawing>
          <wp:inline xmlns:a="http://schemas.openxmlformats.org/drawingml/2006/main" xmlns:pic="http://schemas.openxmlformats.org/drawingml/2006/picture">
            <wp:extent cx="4114800" cy="1753112"/>
            <wp:docPr id="4" name="Picture 4"/>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114800" cy="1753112"/>
                    </a:xfrm>
                    <a:prstGeom prst="rect"/>
                  </pic:spPr>
                </pic:pic>
              </a:graphicData>
            </a:graphic>
          </wp:inline>
        </w:drawing>
      </w:r>
    </w:p>
    <w:p>
      <w:pPr>
        <w:jc w:val="center"/>
      </w:pPr>
      <w:r>
        <w:rPr>
          <w:i/>
          <w:sz w:val="18"/>
        </w:rPr>
        <w:t>图 4  六爻传感器框架总览。输入图像经任意特征提取器 F 与在线模板 T</w:t>
      </w:r>
    </w:p>
    <w:p>
      <w:pPr>
        <w:spacing w:line="324" w:lineRule="auto"/>
        <w:ind w:firstLine="420"/>
      </w:pPr>
      <w:r>
        <w:t>总体流程见图 [引用:fig:framework]。给定图像，计算特征场 F，相对在线模板构造残差场 R = |F-T|/SD，提取六爻读数 S(R)，以在线统计量标准化，并将图像级分数取为所有空间位置与爻上的最大值。若分数超过自适应阈值，则判为异常。</w:t>
      </w:r>
    </w:p>
    <w:p>
      <w:pPr>
        <w:pStyle w:val="Heading2"/>
      </w:pPr>
      <w:r>
        <w:t>4.2  六爻算子</w:t>
      </w:r>
    </w:p>
    <w:p>
      <w:pPr>
        <w:jc w:val="center"/>
      </w:pPr>
      <w:r>
        <w:drawing>
          <wp:inline xmlns:a="http://schemas.openxmlformats.org/drawingml/2006/main" xmlns:pic="http://schemas.openxmlformats.org/drawingml/2006/picture">
            <wp:extent cx="4114800" cy="2058358"/>
            <wp:docPr id="5" name="Picture 5"/>
            <wp:cNvGraphicFramePr>
              <a:graphicFrameLocks noChangeAspect="1"/>
            </wp:cNvGraphicFramePr>
            <a:graphic>
              <a:graphicData uri="http://schemas.openxmlformats.org/drawingml/2006/picture">
                <pic:pic>
                  <pic:nvPicPr>
                    <pic:cNvPr id="0" name="fig2_yao_operators.png"/>
                    <pic:cNvPicPr/>
                  </pic:nvPicPr>
                  <pic:blipFill>
                    <a:blip r:embed="rId10"/>
                    <a:stretch>
                      <a:fillRect/>
                    </a:stretch>
                  </pic:blipFill>
                  <pic:spPr>
                    <a:xfrm>
                      <a:off x="0" y="0"/>
                      <a:ext cx="4114800" cy="2058358"/>
                    </a:xfrm>
                    <a:prstGeom prst="rect"/>
                  </pic:spPr>
                </pic:pic>
              </a:graphicData>
            </a:graphic>
          </wp:inline>
        </w:drawing>
      </w:r>
    </w:p>
    <w:p>
      <w:pPr>
        <w:jc w:val="center"/>
      </w:pPr>
      <w:r>
        <w:rPr>
          <w:i/>
          <w:sz w:val="18"/>
        </w:rPr>
        <w:t>图 5  作用在残差场 R 上的六个爻算子：(1) 局部峰(top-hat)；(2) 高频能量；</w:t>
      </w:r>
    </w:p>
    <w:p>
      <w:pPr>
        <w:spacing w:line="324" w:lineRule="auto"/>
        <w:ind w:firstLine="420"/>
      </w:pPr>
      <w:r>
        <w:t>按表 [引用:tab:yao] 实例化六个算子（图 [引用:fig:yao]）。算子(1) 捕捉局部高对比残差；(2) 捕捉纹理/频率不规则；(3) 捕捉方向结构断裂；(4) 捕捉非高斯残差结构；(5) 捕捉色度异常；(6) 捕捉连通的高对比区域。我们采用极大值型统计量（如  R、|R- R|/std）而非分位数，因其更能捕捉局部缺陷。</w:t>
      </w:r>
    </w:p>
    <w:p>
      <w:pPr>
        <w:spacing w:line="324" w:lineRule="auto"/>
        <w:ind w:firstLine="420"/>
      </w:pPr>
      <w:r>
        <w:t>具体而言，设 R_c=_c R 与 R_m=mean_c R 分别为残差场的逐通道最大与均值；以局部背景估计 b=uniform_7(R_c)（77 均匀滤波）计，六个读数为：</w:t>
      </w:r>
    </w:p>
    <w:p>
      <w:pPr>
        <w:jc w:val="center"/>
      </w:pPr>
      <w:r>
        <w:rPr>
          <w:rFonts w:ascii="Cambria Math" w:hAnsi="Cambria Math"/>
          <w:i/>
        </w:rPr>
        <w:t>s_1 = max(R_c-b, 0), （top-hat：局部峰）   ;   s_2 = |nabla^2 s_1|, （高频）   ;   s_3 = √((partial_y R_c)^2+(partial_x R_c)^2), （梯度）   ;   s_4 = std_c(R), （通道分散）   ;   s_5 = s_1^2, （局部能量）   ;   s_6 = √(max(b_2-b_1^2,0)), b_2=unif_5(R_c^2), b_1=unif_5(R_c)</w:t>
      </w:r>
    </w:p>
    <w:p>
      <w:pPr>
        <w:spacing w:line="324" w:lineRule="auto"/>
        <w:ind w:firstLine="420"/>
      </w:pPr>
      <w:r>
        <w:t>s_1 中的 top-hat 突出了绝对小但局部显著的峰值（细划痕），s_6 则以窗口方差度量局部聚集度。</w:t>
      </w:r>
    </w:p>
    <w:p>
      <w:pPr>
        <w:pStyle w:val="Heading2"/>
      </w:pPr>
      <w:r>
        <w:t>4.3  信号实例 1：手工特征（零预训练）</w:t>
      </w:r>
    </w:p>
    <w:p>
      <w:pPr>
        <w:spacing w:line="324" w:lineRule="auto"/>
        <w:ind w:firstLine="420"/>
      </w:pPr>
      <w:r>
        <w:t>此实例中特征场即图像本身：F 为缩放后的 RGB 图像（及其灰度），模板 T 为在线均值图像。因此残差场 R=|F-T|/SD 度量相对运行中正常外观的偏离。六爻算子直接在 R 上实例化（记 R_b 为高斯平滑后的残差）：</w:t>
      </w:r>
    </w:p>
    <w:p>
      <w:pPr>
        <w:jc w:val="center"/>
      </w:pPr>
      <w:r>
        <w:rPr>
          <w:rFonts w:ascii="Cambria Math" w:hAnsi="Cambria Math"/>
          <w:i/>
        </w:rPr>
        <w:t>s_1 = max R_b, （峰值 / 几）   ;   s_2 = Σ_high|R̂|Σ|R̂|,   ;   （高频占比）   ;   s_3 = P_99 (sqrt(J_xx-J_yy)^2+4J_xy^2J_xx+J_yy),   ;   （结构张量各向异性）   ;   s_4 = max|R_b-R̄_b|std(R_b), （峰度型偏离）   ;   s_5 = max R_c, （颜色残差峰）   ;   s_6 = N (1+barkappa) max R_b, （高对比区域密度）</w:t>
      </w:r>
    </w:p>
    <w:p>
      <w:pPr>
        <w:spacing w:line="324" w:lineRule="auto"/>
        <w:ind w:firstLine="420"/>
      </w:pPr>
      <w:r>
        <w:t>其中  R=F(R_b- R_b) 为傅里叶变换，J 为结构张量（高斯窗口乘积 J_uv=G_2(_u R_b\,_v R_b)），P_99为 99 分位，R_c 为颜色残差，N 为超过对比阈值的连通分量数， 为其平均归一化周长（紧凑度）。此实例不使用任何预训练权重，完全可解释；也对应第 [引用:sec:ablation] 节阶梯中的“手工六爻信号”一级。</w:t>
      </w:r>
    </w:p>
    <w:p>
      <w:pPr>
        <w:pStyle w:val="Heading2"/>
      </w:pPr>
      <w:r>
        <w:t>4.4  信号实例 2：预训练 ResNet 特征</w:t>
      </w:r>
    </w:p>
    <w:p>
      <w:pPr>
        <w:spacing w:line="324" w:lineRule="auto"/>
        <w:ind w:firstLine="420"/>
      </w:pPr>
      <w:r>
        <w:t>我们使用带 ImageNet-1k 权重的 ResNet18 （IMAGENET1K\_V1）作为冻结特征提取器（无微调、无目标域标注）。取layer1（/4，64 通道）、layer2（/8，128 通道）、layer3（/16，256 通道），上采样至公共 /4 网格，并对每层施加六爻算子。特此强调：提取器冻结，自适应完全在线；本方法并非零样本（ImageNet 权重是一种先验），但无需任何目标域监督。</w:t>
      </w:r>
    </w:p>
    <w:p>
      <w:pPr>
        <w:pStyle w:val="Heading2"/>
      </w:pPr>
      <w:r>
        <w:t>4.5  多层传感器融合</w:t>
      </w:r>
    </w:p>
    <w:p>
      <w:pPr>
        <w:spacing w:line="324" w:lineRule="auto"/>
        <w:ind w:firstLine="420"/>
      </w:pPr>
      <w:r>
        <w:t>layer1（/4）捕捉精细局部结构，layer3（/16）捕捉形状/语义异常。取其逐层六爻分数的平均（“L1+L3”）始终优于任一单层，我们将其作为预训练配置的默认。</w:t>
      </w:r>
    </w:p>
    <w:p>
      <w:pPr>
        <w:pStyle w:val="Heading2"/>
      </w:pPr>
      <w:r>
        <w:t>4.6  在线引擎</w:t>
      </w:r>
    </w:p>
    <w:p>
      <w:pPr>
        <w:spacing w:line="324" w:lineRule="auto"/>
        <w:ind w:firstLine="420"/>
      </w:pPr>
      <w:r>
        <w:t>算法 [引用:alg:engine] 给出在线引擎。模板与尺度在（无标注）数据流上单遍更新；爻统计量 , 由 Welford 更新维护；判决阈值重校准为当前正常分数的q=75 分位数（用一个小的缓存正常子集以成熟模型重打分，避免早期估计不成熟）。</w:t>
      </w:r>
    </w:p>
    <w:p>
      <w:r>
        <w:rPr>
          <w:b/>
        </w:rPr>
        <w:t>在线六爻异常引擎</w:t>
      </w:r>
    </w:p>
    <w:p>
      <w:r>
        <w:rPr>
          <w:rFonts w:ascii="Consolas" w:hAnsi="Consolas"/>
          <w:sz w:val="18"/>
        </w:rPr>
        <w:t>初始化 T\!\!0, SD\!\!1,</w:t>
      </w:r>
    </w:p>
    <w:p>
      <w:r>
        <w:rPr>
          <w:rFonts w:ascii="Consolas" w:hAnsi="Consolas"/>
          <w:sz w:val="18"/>
        </w:rPr>
        <w:t>n\!\!0</w:t>
      </w:r>
    </w:p>
    <w:p>
      <w:r>
        <w:rPr>
          <w:rFonts w:ascii="Consolas" w:hAnsi="Consolas"/>
          <w:sz w:val="18"/>
        </w:rPr>
        <w:t>每个到来的样本 x</w:t>
      </w:r>
    </w:p>
    <w:p>
      <w:r>
        <w:rPr>
          <w:rFonts w:ascii="Consolas" w:hAnsi="Consolas"/>
          <w:sz w:val="18"/>
        </w:rPr>
        <w:t>Ffeatures(x)</w:t>
      </w:r>
    </w:p>
    <w:p>
      <w:r>
        <w:rPr>
          <w:rFonts w:ascii="Consolas" w:hAnsi="Consolas"/>
          <w:sz w:val="18"/>
        </w:rPr>
        <w:t>n&lt;2 T F, SD 1, n\!+\!+</w:t>
      </w:r>
    </w:p>
    <w:p>
      <w:r>
        <w:rPr>
          <w:rFonts w:ascii="Consolas" w:hAnsi="Consolas"/>
          <w:sz w:val="18"/>
        </w:rPr>
        <w:t>n\!+\!+;</w:t>
      </w:r>
    </w:p>
    <w:p>
      <w:r>
        <w:rPr>
          <w:rFonts w:ascii="Consolas" w:hAnsi="Consolas"/>
          <w:sz w:val="18"/>
        </w:rPr>
        <w:t>T T+F-Tn;</w:t>
      </w:r>
    </w:p>
    <w:p>
      <w:r>
        <w:rPr>
          <w:rFonts w:ascii="Consolas" w:hAnsi="Consolas"/>
          <w:sz w:val="18"/>
        </w:rPr>
        <w:t>SD(1-1n)SD^2+1n(F-T)^2</w:t>
      </w:r>
    </w:p>
    <w:p>
      <w:r>
        <w:rPr>
          <w:rFonts w:ascii="Consolas" w:hAnsi="Consolas"/>
          <w:sz w:val="18"/>
        </w:rPr>
        <w:t>R|F-T|/SD;</w:t>
      </w:r>
    </w:p>
    <w:p>
      <w:r>
        <w:rPr>
          <w:rFonts w:ascii="Consolas" w:hAnsi="Consolas"/>
          <w:sz w:val="18"/>
        </w:rPr>
        <w:t>sS(R)</w:t>
      </w:r>
    </w:p>
    <w:p>
      <w:r>
        <w:rPr>
          <w:rFonts w:ascii="Consolas" w:hAnsi="Consolas"/>
          <w:sz w:val="18"/>
        </w:rPr>
        <w:t>+s-n;</w:t>
      </w:r>
    </w:p>
    <w:p>
      <w:r>
        <w:rPr>
          <w:rFonts w:ascii="Consolas" w:hAnsi="Consolas"/>
          <w:sz w:val="18"/>
        </w:rPr>
        <w:t>update Welford</w:t>
      </w:r>
    </w:p>
    <w:p>
      <w:r>
        <w:rPr>
          <w:rFonts w:ascii="Consolas" w:hAnsi="Consolas"/>
          <w:sz w:val="18"/>
        </w:rPr>
        <w:t>z|s-|/</w:t>
      </w:r>
    </w:p>
    <w:p>
      <w:r>
        <w:rPr>
          <w:rFonts w:ascii="Consolas" w:hAnsi="Consolas"/>
          <w:sz w:val="18"/>
        </w:rPr>
        <w:t>score(x)_p,i z[p,i]</w:t>
      </w:r>
    </w:p>
    <w:p>
      <w:r>
        <w:rPr>
          <w:rFonts w:ascii="Consolas" w:hAnsi="Consolas"/>
          <w:sz w:val="18"/>
        </w:rPr>
        <w:t>quantile_75\正常子集分数\</w:t>
      </w:r>
    </w:p>
    <w:p>
      <w:r>
        <w:rPr>
          <w:rFonts w:ascii="Consolas" w:hAnsi="Consolas"/>
          <w:sz w:val="18"/>
        </w:rPr>
        <w:t>返回 若 score(x)&gt; 则 缺陷，否则 正常</w:t>
      </w:r>
    </w:p>
    <w:p>
      <w:r>
        <w:rPr>
          <w:rFonts w:ascii="Consolas" w:hAnsi="Consolas"/>
          <w:sz w:val="18"/>
        </w:rPr>
        <w:t>algorithmic</w:t>
      </w:r>
    </w:p>
    <w:p>
      <w:pPr>
        <w:pStyle w:val="Heading2"/>
      </w:pPr>
      <w:r>
        <w:t>4.7  复杂度与边缘友好性</w:t>
      </w:r>
    </w:p>
    <w:p>
      <w:pPr>
        <w:spacing w:line="324" w:lineRule="auto"/>
        <w:ind w:firstLine="420"/>
      </w:pPr>
      <w:r>
        <w:t>引擎仅存储一个模板及其尺度（与特征图同尺寸的单数组）与一个 66 爻协方差——对正常样本数为 O(1)——而记忆库方法（如 PatchCore）需保留大型嵌入 coreset 并在推理时做最近邻搜索。我们在 MVTec bottle（CPU）上实测：本文传感器阵列仅需存储 29.4\,MB 参考数据、单张推理正常 patch）需 1534\,MB 与 3678\,ms——即 52 倍存储节省与 55 倍 推理加速（表 [引用:tab:cost]，图 [引用:fig:light]）。推理为单次前向加逐元素爻算子；无需 kNN 检索，亦无需大规模矩阵求逆。</w:t>
      </w:r>
    </w:p>
    <w:p>
      <w:pPr>
        <w:jc w:val="center"/>
      </w:pPr>
      <w:r>
        <w:rPr>
          <w:i/>
          <w:sz w:val="18"/>
        </w:rPr>
        <w:t>表 2  轻量化对比（MVTec bottle，CPU）。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方法</w:t>
            </w:r>
          </w:p>
        </w:tc>
        <w:tc>
          <w:tcPr>
            <w:tcW w:type="dxa" w:w="2160"/>
          </w:tcPr>
          <w:p>
            <w:r>
              <w:rPr>
                <w:sz w:val="18"/>
              </w:rPr>
              <w:t>存储 (MB)</w:t>
            </w:r>
          </w:p>
        </w:tc>
        <w:tc>
          <w:tcPr>
            <w:tcW w:type="dxa" w:w="2160"/>
          </w:tcPr>
          <w:p>
            <w:r>
              <w:rPr>
                <w:sz w:val="18"/>
              </w:rPr>
              <w:t>推理 (ms)</w:t>
            </w:r>
          </w:p>
        </w:tc>
        <w:tc>
          <w:tcPr>
            <w:tcW w:type="dxa" w:w="2160"/>
          </w:tcPr>
          <w:p>
            <w:r>
              <w:rPr>
                <w:sz w:val="18"/>
              </w:rPr>
              <w:t>参考集</w:t>
            </w:r>
          </w:p>
        </w:tc>
      </w:tr>
      <w:tr>
        <w:tc>
          <w:tcPr>
            <w:tcW w:type="dxa" w:w="2160"/>
          </w:tcPr>
          <w:p>
            <w:r>
              <w:rPr>
                <w:sz w:val="18"/>
              </w:rPr>
              <w:t>六爻阵列（本文）</w:t>
            </w:r>
          </w:p>
        </w:tc>
        <w:tc>
          <w:tcPr>
            <w:tcW w:type="dxa" w:w="2160"/>
          </w:tcPr>
          <w:p>
            <w:r>
              <w:rPr>
                <w:sz w:val="18"/>
              </w:rPr>
              <w:t>29.4</w:t>
            </w:r>
          </w:p>
        </w:tc>
        <w:tc>
          <w:tcPr>
            <w:tcW w:type="dxa" w:w="2160"/>
          </w:tcPr>
          <w:p>
            <w:r>
              <w:rPr>
                <w:sz w:val="18"/>
              </w:rPr>
              <w:t>66</w:t>
            </w:r>
          </w:p>
        </w:tc>
        <w:tc>
          <w:tcPr>
            <w:tcW w:type="dxa" w:w="2160"/>
          </w:tcPr>
          <w:p>
            <w:r>
              <w:rPr>
                <w:sz w:val="18"/>
              </w:rPr>
              <w:t>仅模板</w:t>
            </w:r>
          </w:p>
        </w:tc>
      </w:tr>
      <w:tr>
        <w:tc>
          <w:tcPr>
            <w:tcW w:type="dxa" w:w="2160"/>
          </w:tcPr>
          <w:p>
            <w:r>
              <w:rPr>
                <w:sz w:val="18"/>
              </w:rPr>
              <w:t>patch-kNN (PatchCore)</w:t>
            </w:r>
          </w:p>
        </w:tc>
        <w:tc>
          <w:tcPr>
            <w:tcW w:type="dxa" w:w="2160"/>
          </w:tcPr>
          <w:p>
            <w:r>
              <w:rPr>
                <w:sz w:val="18"/>
              </w:rPr>
              <w:t>1534</w:t>
            </w:r>
          </w:p>
        </w:tc>
        <w:tc>
          <w:tcPr>
            <w:tcW w:type="dxa" w:w="2160"/>
          </w:tcPr>
          <w:p>
            <w:r>
              <w:rPr>
                <w:sz w:val="18"/>
              </w:rPr>
              <w:t>3678</w:t>
            </w:r>
          </w:p>
        </w:tc>
        <w:tc>
          <w:tcPr>
            <w:tcW w:type="dxa" w:w="2160"/>
          </w:tcPr>
          <w:p>
            <w:r>
              <w:rPr>
                <w:sz w:val="18"/>
              </w:rPr>
              <w:t>856,064 patch</w:t>
            </w:r>
          </w:p>
        </w:tc>
      </w:tr>
      <w:tr>
        <w:tc>
          <w:tcPr>
            <w:tcW w:type="dxa" w:w="2160"/>
          </w:tcPr>
          <w:p>
            <w:r>
              <w:rPr>
                <w:sz w:val="18"/>
              </w:rPr>
              <w:t>PaDiM 风格（对角）</w:t>
            </w:r>
          </w:p>
        </w:tc>
        <w:tc>
          <w:tcPr>
            <w:tcW w:type="dxa" w:w="2160"/>
          </w:tcPr>
          <w:p>
            <w:r>
              <w:rPr>
                <w:sz w:val="18"/>
              </w:rPr>
              <w:t>51.1</w:t>
            </w:r>
          </w:p>
        </w:tc>
        <w:tc>
          <w:tcPr>
            <w:tcW w:type="dxa" w:w="2160"/>
          </w:tcPr>
          <w:p>
            <w:r>
              <w:rPr>
                <w:sz w:val="18"/>
              </w:rPr>
              <w:t>43</w:t>
            </w:r>
          </w:p>
        </w:tc>
        <w:tc>
          <w:tcPr>
            <w:tcW w:type="dxa" w:w="2160"/>
          </w:tcPr>
          <w:p>
            <w:r>
              <w:rPr>
                <w:sz w:val="18"/>
              </w:rPr>
              <w:t>逐通道统计量</w:t>
            </w:r>
          </w:p>
        </w:tc>
      </w:tr>
    </w:tbl>
    <w:p>
      <w:pPr>
        <w:jc w:val="center"/>
      </w:pPr>
      <w:r>
        <w:drawing>
          <wp:inline xmlns:a="http://schemas.openxmlformats.org/drawingml/2006/main" xmlns:pic="http://schemas.openxmlformats.org/drawingml/2006/picture">
            <wp:extent cx="4114800" cy="1645920"/>
            <wp:docPr id="6" name="Picture 6"/>
            <wp:cNvGraphicFramePr>
              <a:graphicFrameLocks noChangeAspect="1"/>
            </wp:cNvGraphicFramePr>
            <a:graphic>
              <a:graphicData uri="http://schemas.openxmlformats.org/drawingml/2006/picture">
                <pic:pic>
                  <pic:nvPicPr>
                    <pic:cNvPr id="0" name="fig12_lightweight.png"/>
                    <pic:cNvPicPr/>
                  </pic:nvPicPr>
                  <pic:blipFill>
                    <a:blip r:embed="rId12"/>
                    <a:stretch>
                      <a:fillRect/>
                    </a:stretch>
                  </pic:blipFill>
                  <pic:spPr>
                    <a:xfrm>
                      <a:off x="0" y="0"/>
                      <a:ext cx="4114800" cy="1645920"/>
                    </a:xfrm>
                    <a:prstGeom prst="rect"/>
                  </pic:spPr>
                </pic:pic>
              </a:graphicData>
            </a:graphic>
          </wp:inline>
        </w:drawing>
      </w:r>
    </w:p>
    <w:p>
      <w:pPr>
        <w:jc w:val="center"/>
      </w:pPr>
      <w:r>
        <w:rPr>
          <w:i/>
          <w:sz w:val="18"/>
        </w:rPr>
        <w:t>图 6  轻量化：六爻阵列与 PatchCore 风格 patch-kNN 库的存储与推理时延</w:t>
      </w:r>
    </w:p>
    <w:p>
      <w:pPr>
        <w:pStyle w:val="Heading1"/>
      </w:pPr>
      <w:r>
        <w:t>5  实验</w:t>
      </w:r>
    </w:p>
    <w:p>
      <w:pPr>
        <w:jc w:val="center"/>
      </w:pPr>
      <w:r>
        <w:drawing>
          <wp:inline xmlns:a="http://schemas.openxmlformats.org/drawingml/2006/main" xmlns:pic="http://schemas.openxmlformats.org/drawingml/2006/picture">
            <wp:extent cx="4114800" cy="1532352"/>
            <wp:docPr id="7" name="Picture 7"/>
            <wp:cNvGraphicFramePr>
              <a:graphicFrameLocks noChangeAspect="1"/>
            </wp:cNvGraphicFramePr>
            <a:graphic>
              <a:graphicData uri="http://schemas.openxmlformats.org/drawingml/2006/picture">
                <pic:pic>
                  <pic:nvPicPr>
                    <pic:cNvPr id="0" name="fig10_main_results.png"/>
                    <pic:cNvPicPr/>
                  </pic:nvPicPr>
                  <pic:blipFill>
                    <a:blip r:embed="rId13"/>
                    <a:stretch>
                      <a:fillRect/>
                    </a:stretch>
                  </pic:blipFill>
                  <pic:spPr>
                    <a:xfrm>
                      <a:off x="0" y="0"/>
                      <a:ext cx="4114800" cy="1532352"/>
                    </a:xfrm>
                    <a:prstGeom prst="rect"/>
                  </pic:spPr>
                </pic:pic>
              </a:graphicData>
            </a:graphic>
          </wp:inline>
        </w:drawing>
      </w:r>
    </w:p>
    <w:p>
      <w:pPr>
        <w:jc w:val="center"/>
      </w:pPr>
      <w:r>
        <w:rPr>
          <w:i/>
          <w:sz w:val="18"/>
        </w:rPr>
        <w:t>图 7  四类主结果对比。</w:t>
      </w:r>
    </w:p>
    <w:p>
      <w:pPr>
        <w:jc w:val="center"/>
      </w:pPr>
      <w:r>
        <w:drawing>
          <wp:inline xmlns:a="http://schemas.openxmlformats.org/drawingml/2006/main" xmlns:pic="http://schemas.openxmlformats.org/drawingml/2006/picture">
            <wp:extent cx="4114800" cy="2652963"/>
            <wp:docPr id="8" name="Picture 8"/>
            <wp:cNvGraphicFramePr>
              <a:graphicFrameLocks noChangeAspect="1"/>
            </wp:cNvGraphicFramePr>
            <a:graphic>
              <a:graphicData uri="http://schemas.openxmlformats.org/drawingml/2006/picture">
                <pic:pic>
                  <pic:nvPicPr>
                    <pic:cNvPr id="0" name="fig8_fewshot.png"/>
                    <pic:cNvPicPr/>
                  </pic:nvPicPr>
                  <pic:blipFill>
                    <a:blip r:embed="rId14"/>
                    <a:stretch>
                      <a:fillRect/>
                    </a:stretch>
                  </pic:blipFill>
                  <pic:spPr>
                    <a:xfrm>
                      <a:off x="0" y="0"/>
                      <a:ext cx="4114800" cy="2652963"/>
                    </a:xfrm>
                    <a:prstGeom prst="rect"/>
                  </pic:spPr>
                </pic:pic>
              </a:graphicData>
            </a:graphic>
          </wp:inline>
        </w:drawing>
      </w:r>
    </w:p>
    <w:p>
      <w:pPr>
        <w:jc w:val="center"/>
      </w:pPr>
      <w:r>
        <w:rPr>
          <w:i/>
          <w:sz w:val="18"/>
        </w:rPr>
        <w:t>图 8  少样本性能曲线。</w:t>
      </w:r>
    </w:p>
    <w:p>
      <w:pPr>
        <w:jc w:val="center"/>
      </w:pPr>
      <w:r>
        <w:drawing>
          <wp:inline xmlns:a="http://schemas.openxmlformats.org/drawingml/2006/main" xmlns:pic="http://schemas.openxmlformats.org/drawingml/2006/picture">
            <wp:extent cx="4114800" cy="2156914"/>
            <wp:docPr id="9" name="Picture 9"/>
            <wp:cNvGraphicFramePr>
              <a:graphicFrameLocks noChangeAspect="1"/>
            </wp:cNvGraphicFramePr>
            <a:graphic>
              <a:graphicData uri="http://schemas.openxmlformats.org/drawingml/2006/picture">
                <pic:pic>
                  <pic:nvPicPr>
                    <pic:cNvPr id="0" name="fig3_yaobian_vs_ortho.png"/>
                    <pic:cNvPicPr/>
                  </pic:nvPicPr>
                  <pic:blipFill>
                    <a:blip r:embed="rId15"/>
                    <a:stretch>
                      <a:fillRect/>
                    </a:stretch>
                  </pic:blipFill>
                  <pic:spPr>
                    <a:xfrm>
                      <a:off x="0" y="0"/>
                      <a:ext cx="4114800" cy="2156914"/>
                    </a:xfrm>
                    <a:prstGeom prst="rect"/>
                  </pic:spPr>
                </pic:pic>
              </a:graphicData>
            </a:graphic>
          </wp:inline>
        </w:drawing>
      </w:r>
    </w:p>
    <w:p>
      <w:pPr>
        <w:jc w:val="center"/>
      </w:pPr>
      <w:r>
        <w:rPr>
          <w:i/>
          <w:sz w:val="18"/>
        </w:rPr>
        <w:t>图 9  爻变判据与正交判据对比。</w:t>
      </w:r>
    </w:p>
    <w:p>
      <w:pPr>
        <w:pStyle w:val="Heading2"/>
      </w:pPr>
      <w:r>
        <w:t>5.1  数据集与协议</w:t>
      </w:r>
    </w:p>
    <w:p>
      <w:pPr>
        <w:spacing w:line="324" w:lineRule="auto"/>
        <w:ind w:firstLine="420"/>
      </w:pPr>
      <w:r>
        <w:t>在 MVTec AD （15 类，共 5,354 张图像）上评估，这是无监督工业异常检测的标准基准。仅使用 train/good 划分进行学习；全部评估在 test 划分上进行。主指标为图像级 AUROC；每张图的全局异常分由六爻传感器响应在所有空间位置上取最大池化得到。全部实验在 CPU（无 GPU）上完成，冻结 ResNet18 骨干，输入分辨率 256256，特征图对齐到/4 网格（6464）。</w:t>
      </w:r>
    </w:p>
    <w:p>
      <w:pPr>
        <w:pStyle w:val="Heading2"/>
      </w:pPr>
      <w:r>
        <w:t>5.2  主结果</w:t>
      </w:r>
    </w:p>
    <w:p>
      <w:pPr>
        <w:spacing w:line="324" w:lineRule="auto"/>
        <w:ind w:firstLine="420"/>
      </w:pPr>
      <w:r>
        <w:t>表 [引用:tab:main] 与图 [引用:fig:main] 给出全部 15 类的逐类与平均图像级 AUROC。预训练六爻传感器阵列（深层 L3）取得平均 AUROC 0.862，而手工（无预训练）实例取得一并列出。因此，本框架在不用任何记忆库（每类仅存约 29\,MB 模板）的前提下达到了预训练 SOTA 的很大一部分，而手工变体在零外部先验下完全可解释。</w:t>
      </w:r>
    </w:p>
    <w:p>
      <w:pPr>
        <w:jc w:val="center"/>
      </w:pPr>
      <w:r>
        <w:rPr>
          <w:i/>
          <w:sz w:val="18"/>
        </w:rPr>
        <w:t>表 3  全部 15 个 MVTec AD 类别的图像级 AUROC。“手工”为无预训练实例</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类别</w:t>
            </w:r>
          </w:p>
        </w:tc>
        <w:tc>
          <w:tcPr>
            <w:tcW w:type="dxa" w:w="1234"/>
          </w:tcPr>
          <w:p>
            <w:r>
              <w:rPr>
                <w:sz w:val="18"/>
              </w:rPr>
              <w:t>手工</w:t>
            </w:r>
          </w:p>
        </w:tc>
        <w:tc>
          <w:tcPr>
            <w:tcW w:type="dxa" w:w="1234"/>
          </w:tcPr>
          <w:p>
            <w:r>
              <w:rPr>
                <w:sz w:val="18"/>
              </w:rPr>
              <w:t>L1</w:t>
            </w:r>
          </w:p>
        </w:tc>
        <w:tc>
          <w:tcPr>
            <w:tcW w:type="dxa" w:w="1234"/>
          </w:tcPr>
          <w:p>
            <w:r>
              <w:rPr>
                <w:sz w:val="18"/>
              </w:rPr>
              <w:t>L2</w:t>
            </w:r>
          </w:p>
        </w:tc>
        <w:tc>
          <w:tcPr>
            <w:tcW w:type="dxa" w:w="1234"/>
          </w:tcPr>
          <w:p>
            <w:r>
              <w:rPr>
                <w:sz w:val="18"/>
              </w:rPr>
              <w:t>L3</w:t>
            </w:r>
          </w:p>
        </w:tc>
        <w:tc>
          <w:tcPr>
            <w:tcW w:type="dxa" w:w="1234"/>
          </w:tcPr>
          <w:p>
            <w:r>
              <w:rPr>
                <w:sz w:val="18"/>
              </w:rPr>
              <w:t>PaDiM</w:t>
            </w:r>
          </w:p>
        </w:tc>
        <w:tc>
          <w:tcPr>
            <w:tcW w:type="dxa" w:w="1234"/>
          </w:tcPr>
          <w:p>
            <w:r>
              <w:rPr>
                <w:sz w:val="18"/>
              </w:rPr>
              <w:t>PatchCore</w:t>
            </w:r>
          </w:p>
        </w:tc>
      </w:tr>
      <w:tr>
        <w:tc>
          <w:tcPr>
            <w:tcW w:type="dxa" w:w="1234"/>
          </w:tcPr>
          <w:p>
            <w:r>
              <w:rPr>
                <w:sz w:val="18"/>
              </w:rPr>
              <w:t>bottle</w:t>
            </w:r>
          </w:p>
        </w:tc>
        <w:tc>
          <w:tcPr>
            <w:tcW w:type="dxa" w:w="1234"/>
          </w:tcPr>
          <w:p>
            <w:r>
              <w:rPr>
                <w:sz w:val="18"/>
              </w:rPr>
              <w:t>0.960</w:t>
            </w:r>
          </w:p>
        </w:tc>
        <w:tc>
          <w:tcPr>
            <w:tcW w:type="dxa" w:w="1234"/>
          </w:tcPr>
          <w:p>
            <w:r>
              <w:rPr>
                <w:sz w:val="18"/>
              </w:rPr>
              <w:t>0.991</w:t>
            </w:r>
          </w:p>
        </w:tc>
        <w:tc>
          <w:tcPr>
            <w:tcW w:type="dxa" w:w="1234"/>
          </w:tcPr>
          <w:p>
            <w:r>
              <w:rPr>
                <w:sz w:val="18"/>
              </w:rPr>
              <w:t>1.000</w:t>
            </w:r>
          </w:p>
        </w:tc>
        <w:tc>
          <w:tcPr>
            <w:tcW w:type="dxa" w:w="1234"/>
          </w:tcPr>
          <w:p>
            <w:r>
              <w:rPr>
                <w:sz w:val="18"/>
              </w:rPr>
              <w:t>0.998</w:t>
            </w:r>
          </w:p>
        </w:tc>
        <w:tc>
          <w:tcPr>
            <w:tcW w:type="dxa" w:w="1234"/>
          </w:tcPr>
          <w:p>
            <w:r>
              <w:rPr>
                <w:sz w:val="18"/>
              </w:rPr>
              <w:t>0.979</w:t>
            </w:r>
          </w:p>
        </w:tc>
        <w:tc>
          <w:tcPr>
            <w:tcW w:type="dxa" w:w="1234"/>
          </w:tcPr>
          <w:p>
            <w:r>
              <w:rPr>
                <w:sz w:val="18"/>
              </w:rPr>
              <w:t>1.000</w:t>
            </w:r>
          </w:p>
        </w:tc>
      </w:tr>
      <w:tr>
        <w:tc>
          <w:tcPr>
            <w:tcW w:type="dxa" w:w="1234"/>
          </w:tcPr>
          <w:p>
            <w:r>
              <w:rPr>
                <w:sz w:val="18"/>
              </w:rPr>
              <w:t>cable</w:t>
            </w:r>
          </w:p>
        </w:tc>
        <w:tc>
          <w:tcPr>
            <w:tcW w:type="dxa" w:w="1234"/>
          </w:tcPr>
          <w:p>
            <w:r>
              <w:rPr>
                <w:sz w:val="18"/>
              </w:rPr>
              <w:t>0.628</w:t>
            </w:r>
          </w:p>
        </w:tc>
        <w:tc>
          <w:tcPr>
            <w:tcW w:type="dxa" w:w="1234"/>
          </w:tcPr>
          <w:p>
            <w:r>
              <w:rPr>
                <w:sz w:val="18"/>
              </w:rPr>
              <w:t>0.593</w:t>
            </w:r>
          </w:p>
        </w:tc>
        <w:tc>
          <w:tcPr>
            <w:tcW w:type="dxa" w:w="1234"/>
          </w:tcPr>
          <w:p>
            <w:r>
              <w:rPr>
                <w:sz w:val="18"/>
              </w:rPr>
              <w:t>0.772</w:t>
            </w:r>
          </w:p>
        </w:tc>
        <w:tc>
          <w:tcPr>
            <w:tcW w:type="dxa" w:w="1234"/>
          </w:tcPr>
          <w:p>
            <w:r>
              <w:rPr>
                <w:sz w:val="18"/>
              </w:rPr>
              <w:t>0.795</w:t>
            </w:r>
          </w:p>
        </w:tc>
        <w:tc>
          <w:tcPr>
            <w:tcW w:type="dxa" w:w="1234"/>
          </w:tcPr>
          <w:p>
            <w:r>
              <w:rPr>
                <w:sz w:val="18"/>
              </w:rPr>
              <w:t>0.886</w:t>
            </w:r>
          </w:p>
        </w:tc>
        <w:tc>
          <w:tcPr>
            <w:tcW w:type="dxa" w:w="1234"/>
          </w:tcPr>
          <w:p>
            <w:r>
              <w:rPr>
                <w:sz w:val="18"/>
              </w:rPr>
              <w:t>0.993</w:t>
            </w:r>
          </w:p>
        </w:tc>
      </w:tr>
      <w:tr>
        <w:tc>
          <w:tcPr>
            <w:tcW w:type="dxa" w:w="1234"/>
          </w:tcPr>
          <w:p>
            <w:r>
              <w:rPr>
                <w:sz w:val="18"/>
              </w:rPr>
              <w:t>capsule</w:t>
            </w:r>
          </w:p>
        </w:tc>
        <w:tc>
          <w:tcPr>
            <w:tcW w:type="dxa" w:w="1234"/>
          </w:tcPr>
          <w:p>
            <w:r>
              <w:rPr>
                <w:sz w:val="18"/>
              </w:rPr>
              <w:t>0.736</w:t>
            </w:r>
          </w:p>
        </w:tc>
        <w:tc>
          <w:tcPr>
            <w:tcW w:type="dxa" w:w="1234"/>
          </w:tcPr>
          <w:p>
            <w:r>
              <w:rPr>
                <w:sz w:val="18"/>
              </w:rPr>
              <w:t>0.879</w:t>
            </w:r>
          </w:p>
        </w:tc>
        <w:tc>
          <w:tcPr>
            <w:tcW w:type="dxa" w:w="1234"/>
          </w:tcPr>
          <w:p>
            <w:r>
              <w:rPr>
                <w:sz w:val="18"/>
              </w:rPr>
              <w:t>0.920</w:t>
            </w:r>
          </w:p>
        </w:tc>
        <w:tc>
          <w:tcPr>
            <w:tcW w:type="dxa" w:w="1234"/>
          </w:tcPr>
          <w:p>
            <w:r>
              <w:rPr>
                <w:sz w:val="18"/>
              </w:rPr>
              <w:t>0.880</w:t>
            </w:r>
          </w:p>
        </w:tc>
        <w:tc>
          <w:tcPr>
            <w:tcW w:type="dxa" w:w="1234"/>
          </w:tcPr>
          <w:p>
            <w:r>
              <w:rPr>
                <w:sz w:val="18"/>
              </w:rPr>
              <w:t>0.968</w:t>
            </w:r>
          </w:p>
        </w:tc>
        <w:tc>
          <w:tcPr>
            <w:tcW w:type="dxa" w:w="1234"/>
          </w:tcPr>
          <w:p>
            <w:r>
              <w:rPr>
                <w:sz w:val="18"/>
              </w:rPr>
              <w:t>0.981</w:t>
            </w:r>
          </w:p>
        </w:tc>
      </w:tr>
      <w:tr>
        <w:tc>
          <w:tcPr>
            <w:tcW w:type="dxa" w:w="1234"/>
          </w:tcPr>
          <w:p>
            <w:r>
              <w:rPr>
                <w:sz w:val="18"/>
              </w:rPr>
              <w:t>carpet</w:t>
            </w:r>
          </w:p>
        </w:tc>
        <w:tc>
          <w:tcPr>
            <w:tcW w:type="dxa" w:w="1234"/>
          </w:tcPr>
          <w:p>
            <w:r>
              <w:rPr>
                <w:sz w:val="18"/>
              </w:rPr>
              <w:t>0.403</w:t>
            </w:r>
          </w:p>
        </w:tc>
        <w:tc>
          <w:tcPr>
            <w:tcW w:type="dxa" w:w="1234"/>
          </w:tcPr>
          <w:p>
            <w:r>
              <w:rPr>
                <w:sz w:val="18"/>
              </w:rPr>
              <w:t>0.797</w:t>
            </w:r>
          </w:p>
        </w:tc>
        <w:tc>
          <w:tcPr>
            <w:tcW w:type="dxa" w:w="1234"/>
          </w:tcPr>
          <w:p>
            <w:r>
              <w:rPr>
                <w:sz w:val="18"/>
              </w:rPr>
              <w:t>0.917</w:t>
            </w:r>
          </w:p>
        </w:tc>
        <w:tc>
          <w:tcPr>
            <w:tcW w:type="dxa" w:w="1234"/>
          </w:tcPr>
          <w:p>
            <w:r>
              <w:rPr>
                <w:sz w:val="18"/>
              </w:rPr>
              <w:t>0.860</w:t>
            </w:r>
          </w:p>
        </w:tc>
        <w:tc>
          <w:tcPr>
            <w:tcW w:type="dxa" w:w="1234"/>
          </w:tcPr>
          <w:p>
            <w:r>
              <w:rPr>
                <w:sz w:val="18"/>
              </w:rPr>
              <w:t>0.991</w:t>
            </w:r>
          </w:p>
        </w:tc>
        <w:tc>
          <w:tcPr>
            <w:tcW w:type="dxa" w:w="1234"/>
          </w:tcPr>
          <w:p>
            <w:r>
              <w:rPr>
                <w:sz w:val="18"/>
              </w:rPr>
              <w:t>0.997</w:t>
            </w:r>
          </w:p>
        </w:tc>
      </w:tr>
      <w:tr>
        <w:tc>
          <w:tcPr>
            <w:tcW w:type="dxa" w:w="1234"/>
          </w:tcPr>
          <w:p>
            <w:r>
              <w:rPr>
                <w:sz w:val="18"/>
              </w:rPr>
              <w:t>grid</w:t>
            </w:r>
          </w:p>
        </w:tc>
        <w:tc>
          <w:tcPr>
            <w:tcW w:type="dxa" w:w="1234"/>
          </w:tcPr>
          <w:p>
            <w:r>
              <w:rPr>
                <w:sz w:val="18"/>
              </w:rPr>
              <w:t>0.719</w:t>
            </w:r>
          </w:p>
        </w:tc>
        <w:tc>
          <w:tcPr>
            <w:tcW w:type="dxa" w:w="1234"/>
          </w:tcPr>
          <w:p>
            <w:r>
              <w:rPr>
                <w:sz w:val="18"/>
              </w:rPr>
              <w:t>0.549</w:t>
            </w:r>
          </w:p>
        </w:tc>
        <w:tc>
          <w:tcPr>
            <w:tcW w:type="dxa" w:w="1234"/>
          </w:tcPr>
          <w:p>
            <w:r>
              <w:rPr>
                <w:sz w:val="18"/>
              </w:rPr>
              <w:t>0.598</w:t>
            </w:r>
          </w:p>
        </w:tc>
        <w:tc>
          <w:tcPr>
            <w:tcW w:type="dxa" w:w="1234"/>
          </w:tcPr>
          <w:p>
            <w:r>
              <w:rPr>
                <w:sz w:val="18"/>
              </w:rPr>
              <w:t>0.839</w:t>
            </w:r>
          </w:p>
        </w:tc>
        <w:tc>
          <w:tcPr>
            <w:tcW w:type="dxa" w:w="1234"/>
          </w:tcPr>
          <w:p>
            <w:r>
              <w:rPr>
                <w:sz w:val="18"/>
              </w:rPr>
              <w:t>0.945</w:t>
            </w:r>
          </w:p>
        </w:tc>
        <w:tc>
          <w:tcPr>
            <w:tcW w:type="dxa" w:w="1234"/>
          </w:tcPr>
          <w:p>
            <w:r>
              <w:rPr>
                <w:sz w:val="18"/>
              </w:rPr>
              <w:t>0.997</w:t>
            </w:r>
          </w:p>
        </w:tc>
      </w:tr>
      <w:tr>
        <w:tc>
          <w:tcPr>
            <w:tcW w:type="dxa" w:w="1234"/>
          </w:tcPr>
          <w:p>
            <w:r>
              <w:rPr>
                <w:sz w:val="18"/>
              </w:rPr>
              <w:t>hazelnut</w:t>
            </w:r>
          </w:p>
        </w:tc>
        <w:tc>
          <w:tcPr>
            <w:tcW w:type="dxa" w:w="1234"/>
          </w:tcPr>
          <w:p>
            <w:r>
              <w:rPr>
                <w:sz w:val="18"/>
              </w:rPr>
              <w:t>0.589</w:t>
            </w:r>
          </w:p>
        </w:tc>
        <w:tc>
          <w:tcPr>
            <w:tcW w:type="dxa" w:w="1234"/>
          </w:tcPr>
          <w:p>
            <w:r>
              <w:rPr>
                <w:sz w:val="18"/>
              </w:rPr>
              <w:t>0.434</w:t>
            </w:r>
          </w:p>
        </w:tc>
        <w:tc>
          <w:tcPr>
            <w:tcW w:type="dxa" w:w="1234"/>
          </w:tcPr>
          <w:p>
            <w:r>
              <w:rPr>
                <w:sz w:val="18"/>
              </w:rPr>
              <w:t>0.403</w:t>
            </w:r>
          </w:p>
        </w:tc>
        <w:tc>
          <w:tcPr>
            <w:tcW w:type="dxa" w:w="1234"/>
          </w:tcPr>
          <w:p>
            <w:r>
              <w:rPr>
                <w:sz w:val="18"/>
              </w:rPr>
              <w:t>0.529</w:t>
            </w:r>
          </w:p>
        </w:tc>
        <w:tc>
          <w:tcPr>
            <w:tcW w:type="dxa" w:w="1234"/>
          </w:tcPr>
          <w:p>
            <w:r>
              <w:rPr>
                <w:sz w:val="18"/>
              </w:rPr>
              <w:t>0.989</w:t>
            </w:r>
          </w:p>
        </w:tc>
        <w:tc>
          <w:tcPr>
            <w:tcW w:type="dxa" w:w="1234"/>
          </w:tcPr>
          <w:p>
            <w:r>
              <w:rPr>
                <w:sz w:val="18"/>
              </w:rPr>
              <w:t>1.000</w:t>
            </w:r>
          </w:p>
        </w:tc>
      </w:tr>
      <w:tr>
        <w:tc>
          <w:tcPr>
            <w:tcW w:type="dxa" w:w="1234"/>
          </w:tcPr>
          <w:p>
            <w:r>
              <w:rPr>
                <w:sz w:val="18"/>
              </w:rPr>
              <w:t>leather</w:t>
            </w:r>
          </w:p>
        </w:tc>
        <w:tc>
          <w:tcPr>
            <w:tcW w:type="dxa" w:w="1234"/>
          </w:tcPr>
          <w:p>
            <w:r>
              <w:rPr>
                <w:sz w:val="18"/>
              </w:rPr>
              <w:t>0.840</w:t>
            </w:r>
          </w:p>
        </w:tc>
        <w:tc>
          <w:tcPr>
            <w:tcW w:type="dxa" w:w="1234"/>
          </w:tcPr>
          <w:p>
            <w:r>
              <w:rPr>
                <w:sz w:val="18"/>
              </w:rPr>
              <w:t>0.761</w:t>
            </w:r>
          </w:p>
        </w:tc>
        <w:tc>
          <w:tcPr>
            <w:tcW w:type="dxa" w:w="1234"/>
          </w:tcPr>
          <w:p>
            <w:r>
              <w:rPr>
                <w:sz w:val="18"/>
              </w:rPr>
              <w:t>0.981</w:t>
            </w:r>
          </w:p>
        </w:tc>
        <w:tc>
          <w:tcPr>
            <w:tcW w:type="dxa" w:w="1234"/>
          </w:tcPr>
          <w:p>
            <w:r>
              <w:rPr>
                <w:sz w:val="18"/>
              </w:rPr>
              <w:t>0.978</w:t>
            </w:r>
          </w:p>
        </w:tc>
        <w:tc>
          <w:tcPr>
            <w:tcW w:type="dxa" w:w="1234"/>
          </w:tcPr>
          <w:p>
            <w:r>
              <w:rPr>
                <w:sz w:val="18"/>
              </w:rPr>
              <w:t>0.994</w:t>
            </w:r>
          </w:p>
        </w:tc>
        <w:tc>
          <w:tcPr>
            <w:tcW w:type="dxa" w:w="1234"/>
          </w:tcPr>
          <w:p>
            <w:r>
              <w:rPr>
                <w:sz w:val="18"/>
              </w:rPr>
              <w:t>1.000</w:t>
            </w:r>
          </w:p>
        </w:tc>
      </w:tr>
      <w:tr>
        <w:tc>
          <w:tcPr>
            <w:tcW w:type="dxa" w:w="1234"/>
          </w:tcPr>
          <w:p>
            <w:r>
              <w:rPr>
                <w:sz w:val="18"/>
              </w:rPr>
              <w:t>metal\_nut</w:t>
            </w:r>
          </w:p>
        </w:tc>
        <w:tc>
          <w:tcPr>
            <w:tcW w:type="dxa" w:w="1234"/>
          </w:tcPr>
          <w:p>
            <w:r>
              <w:rPr>
                <w:sz w:val="18"/>
              </w:rPr>
              <w:t>0.728</w:t>
            </w:r>
          </w:p>
        </w:tc>
        <w:tc>
          <w:tcPr>
            <w:tcW w:type="dxa" w:w="1234"/>
          </w:tcPr>
          <w:p>
            <w:r>
              <w:rPr>
                <w:sz w:val="18"/>
              </w:rPr>
              <w:t>0.814</w:t>
            </w:r>
          </w:p>
        </w:tc>
        <w:tc>
          <w:tcPr>
            <w:tcW w:type="dxa" w:w="1234"/>
          </w:tcPr>
          <w:p>
            <w:r>
              <w:rPr>
                <w:sz w:val="18"/>
              </w:rPr>
              <w:t>0.783</w:t>
            </w:r>
          </w:p>
        </w:tc>
        <w:tc>
          <w:tcPr>
            <w:tcW w:type="dxa" w:w="1234"/>
          </w:tcPr>
          <w:p>
            <w:r>
              <w:rPr>
                <w:sz w:val="18"/>
              </w:rPr>
              <w:t>0.908</w:t>
            </w:r>
          </w:p>
        </w:tc>
        <w:tc>
          <w:tcPr>
            <w:tcW w:type="dxa" w:w="1234"/>
          </w:tcPr>
          <w:p>
            <w:r>
              <w:rPr>
                <w:sz w:val="18"/>
              </w:rPr>
              <w:t>0.952</w:t>
            </w:r>
          </w:p>
        </w:tc>
        <w:tc>
          <w:tcPr>
            <w:tcW w:type="dxa" w:w="1234"/>
          </w:tcPr>
          <w:p>
            <w:r>
              <w:rPr>
                <w:sz w:val="18"/>
              </w:rPr>
              <w:t>1.000</w:t>
            </w:r>
          </w:p>
        </w:tc>
      </w:tr>
      <w:tr>
        <w:tc>
          <w:tcPr>
            <w:tcW w:type="dxa" w:w="1234"/>
          </w:tcPr>
          <w:p>
            <w:r>
              <w:rPr>
                <w:sz w:val="18"/>
              </w:rPr>
              <w:t>pill</w:t>
            </w:r>
          </w:p>
        </w:tc>
        <w:tc>
          <w:tcPr>
            <w:tcW w:type="dxa" w:w="1234"/>
          </w:tcPr>
          <w:p>
            <w:r>
              <w:rPr>
                <w:sz w:val="18"/>
              </w:rPr>
              <w:t>0.528</w:t>
            </w:r>
          </w:p>
        </w:tc>
        <w:tc>
          <w:tcPr>
            <w:tcW w:type="dxa" w:w="1234"/>
          </w:tcPr>
          <w:p>
            <w:r>
              <w:rPr>
                <w:sz w:val="18"/>
              </w:rPr>
              <w:t>0.726</w:t>
            </w:r>
          </w:p>
        </w:tc>
        <w:tc>
          <w:tcPr>
            <w:tcW w:type="dxa" w:w="1234"/>
          </w:tcPr>
          <w:p>
            <w:r>
              <w:rPr>
                <w:sz w:val="18"/>
              </w:rPr>
              <w:t>0.817</w:t>
            </w:r>
          </w:p>
        </w:tc>
        <w:tc>
          <w:tcPr>
            <w:tcW w:type="dxa" w:w="1234"/>
          </w:tcPr>
          <w:p>
            <w:r>
              <w:rPr>
                <w:sz w:val="18"/>
              </w:rPr>
              <w:t>0.836</w:t>
            </w:r>
          </w:p>
        </w:tc>
        <w:tc>
          <w:tcPr>
            <w:tcW w:type="dxa" w:w="1234"/>
          </w:tcPr>
          <w:p>
            <w:r>
              <w:rPr>
                <w:sz w:val="18"/>
              </w:rPr>
              <w:t>0.947</w:t>
            </w:r>
          </w:p>
        </w:tc>
        <w:tc>
          <w:tcPr>
            <w:tcW w:type="dxa" w:w="1234"/>
          </w:tcPr>
          <w:p>
            <w:r>
              <w:rPr>
                <w:sz w:val="18"/>
              </w:rPr>
              <w:t>0.988</w:t>
            </w:r>
          </w:p>
        </w:tc>
      </w:tr>
      <w:tr>
        <w:tc>
          <w:tcPr>
            <w:tcW w:type="dxa" w:w="1234"/>
          </w:tcPr>
          <w:p>
            <w:r>
              <w:rPr>
                <w:sz w:val="18"/>
              </w:rPr>
              <w:t>screw</w:t>
            </w:r>
          </w:p>
        </w:tc>
        <w:tc>
          <w:tcPr>
            <w:tcW w:type="dxa" w:w="1234"/>
          </w:tcPr>
          <w:p>
            <w:r>
              <w:rPr>
                <w:sz w:val="18"/>
              </w:rPr>
              <w:t>0.535</w:t>
            </w:r>
          </w:p>
        </w:tc>
        <w:tc>
          <w:tcPr>
            <w:tcW w:type="dxa" w:w="1234"/>
          </w:tcPr>
          <w:p>
            <w:r>
              <w:rPr>
                <w:sz w:val="18"/>
              </w:rPr>
              <w:t>0.575</w:t>
            </w:r>
          </w:p>
        </w:tc>
        <w:tc>
          <w:tcPr>
            <w:tcW w:type="dxa" w:w="1234"/>
          </w:tcPr>
          <w:p>
            <w:r>
              <w:rPr>
                <w:sz w:val="18"/>
              </w:rPr>
              <w:t>0.617</w:t>
            </w:r>
          </w:p>
        </w:tc>
        <w:tc>
          <w:tcPr>
            <w:tcW w:type="dxa" w:w="1234"/>
          </w:tcPr>
          <w:p>
            <w:r>
              <w:rPr>
                <w:sz w:val="18"/>
              </w:rPr>
              <w:t>0.722</w:t>
            </w:r>
          </w:p>
        </w:tc>
        <w:tc>
          <w:tcPr>
            <w:tcW w:type="dxa" w:w="1234"/>
          </w:tcPr>
          <w:p>
            <w:r>
              <w:rPr>
                <w:sz w:val="18"/>
              </w:rPr>
              <w:t>0.752</w:t>
            </w:r>
          </w:p>
        </w:tc>
        <w:tc>
          <w:tcPr>
            <w:tcW w:type="dxa" w:w="1234"/>
          </w:tcPr>
          <w:p>
            <w:r>
              <w:rPr>
                <w:sz w:val="18"/>
              </w:rPr>
              <w:t>0.982</w:t>
            </w:r>
          </w:p>
        </w:tc>
      </w:tr>
      <w:tr>
        <w:tc>
          <w:tcPr>
            <w:tcW w:type="dxa" w:w="1234"/>
          </w:tcPr>
          <w:p>
            <w:r>
              <w:rPr>
                <w:sz w:val="18"/>
              </w:rPr>
              <w:t>tile</w:t>
            </w:r>
          </w:p>
        </w:tc>
        <w:tc>
          <w:tcPr>
            <w:tcW w:type="dxa" w:w="1234"/>
          </w:tcPr>
          <w:p>
            <w:r>
              <w:rPr>
                <w:sz w:val="18"/>
              </w:rPr>
              <w:t>0.772</w:t>
            </w:r>
          </w:p>
        </w:tc>
        <w:tc>
          <w:tcPr>
            <w:tcW w:type="dxa" w:w="1234"/>
          </w:tcPr>
          <w:p>
            <w:r>
              <w:rPr>
                <w:sz w:val="18"/>
              </w:rPr>
              <w:t>0.697</w:t>
            </w:r>
          </w:p>
        </w:tc>
        <w:tc>
          <w:tcPr>
            <w:tcW w:type="dxa" w:w="1234"/>
          </w:tcPr>
          <w:p>
            <w:r>
              <w:rPr>
                <w:sz w:val="18"/>
              </w:rPr>
              <w:t>0.904</w:t>
            </w:r>
          </w:p>
        </w:tc>
        <w:tc>
          <w:tcPr>
            <w:tcW w:type="dxa" w:w="1234"/>
          </w:tcPr>
          <w:p>
            <w:r>
              <w:rPr>
                <w:sz w:val="18"/>
              </w:rPr>
              <w:t>0.932</w:t>
            </w:r>
          </w:p>
        </w:tc>
        <w:tc>
          <w:tcPr>
            <w:tcW w:type="dxa" w:w="1234"/>
          </w:tcPr>
          <w:p>
            <w:r>
              <w:rPr>
                <w:sz w:val="18"/>
              </w:rPr>
              <w:t>0.975</w:t>
            </w:r>
          </w:p>
        </w:tc>
        <w:tc>
          <w:tcPr>
            <w:tcW w:type="dxa" w:w="1234"/>
          </w:tcPr>
          <w:p>
            <w:r>
              <w:rPr>
                <w:sz w:val="18"/>
              </w:rPr>
              <w:t>1.000</w:t>
            </w:r>
          </w:p>
        </w:tc>
      </w:tr>
      <w:tr>
        <w:tc>
          <w:tcPr>
            <w:tcW w:type="dxa" w:w="1234"/>
          </w:tcPr>
          <w:p>
            <w:r>
              <w:rPr>
                <w:sz w:val="18"/>
              </w:rPr>
              <w:t>toothbrush</w:t>
            </w:r>
          </w:p>
        </w:tc>
        <w:tc>
          <w:tcPr>
            <w:tcW w:type="dxa" w:w="1234"/>
          </w:tcPr>
          <w:p>
            <w:r>
              <w:rPr>
                <w:sz w:val="18"/>
              </w:rPr>
              <w:t>0.736</w:t>
            </w:r>
          </w:p>
        </w:tc>
        <w:tc>
          <w:tcPr>
            <w:tcW w:type="dxa" w:w="1234"/>
          </w:tcPr>
          <w:p>
            <w:r>
              <w:rPr>
                <w:sz w:val="18"/>
              </w:rPr>
              <w:t>0.989</w:t>
            </w:r>
          </w:p>
        </w:tc>
        <w:tc>
          <w:tcPr>
            <w:tcW w:type="dxa" w:w="1234"/>
          </w:tcPr>
          <w:p>
            <w:r>
              <w:rPr>
                <w:sz w:val="18"/>
              </w:rPr>
              <w:t>0.858</w:t>
            </w:r>
          </w:p>
        </w:tc>
        <w:tc>
          <w:tcPr>
            <w:tcW w:type="dxa" w:w="1234"/>
          </w:tcPr>
          <w:p>
            <w:r>
              <w:rPr>
                <w:sz w:val="18"/>
              </w:rPr>
              <w:t>0.839</w:t>
            </w:r>
          </w:p>
        </w:tc>
        <w:tc>
          <w:tcPr>
            <w:tcW w:type="dxa" w:w="1234"/>
          </w:tcPr>
          <w:p>
            <w:r>
              <w:rPr>
                <w:sz w:val="18"/>
              </w:rPr>
              <w:t>0.970</w:t>
            </w:r>
          </w:p>
        </w:tc>
        <w:tc>
          <w:tcPr>
            <w:tcW w:type="dxa" w:w="1234"/>
          </w:tcPr>
          <w:p>
            <w:r>
              <w:rPr>
                <w:sz w:val="18"/>
              </w:rPr>
              <w:t>0.997</w:t>
            </w:r>
          </w:p>
        </w:tc>
      </w:tr>
      <w:tr>
        <w:tc>
          <w:tcPr>
            <w:tcW w:type="dxa" w:w="1234"/>
          </w:tcPr>
          <w:p>
            <w:r>
              <w:rPr>
                <w:sz w:val="18"/>
              </w:rPr>
              <w:t>transistor</w:t>
            </w:r>
          </w:p>
        </w:tc>
        <w:tc>
          <w:tcPr>
            <w:tcW w:type="dxa" w:w="1234"/>
          </w:tcPr>
          <w:p>
            <w:r>
              <w:rPr>
                <w:sz w:val="18"/>
              </w:rPr>
              <w:t>0.815</w:t>
            </w:r>
          </w:p>
        </w:tc>
        <w:tc>
          <w:tcPr>
            <w:tcW w:type="dxa" w:w="1234"/>
          </w:tcPr>
          <w:p>
            <w:r>
              <w:rPr>
                <w:sz w:val="18"/>
              </w:rPr>
              <w:t>0.827</w:t>
            </w:r>
          </w:p>
        </w:tc>
        <w:tc>
          <w:tcPr>
            <w:tcW w:type="dxa" w:w="1234"/>
          </w:tcPr>
          <w:p>
            <w:r>
              <w:rPr>
                <w:sz w:val="18"/>
              </w:rPr>
              <w:t>0.802</w:t>
            </w:r>
          </w:p>
        </w:tc>
        <w:tc>
          <w:tcPr>
            <w:tcW w:type="dxa" w:w="1234"/>
          </w:tcPr>
          <w:p>
            <w:r>
              <w:rPr>
                <w:sz w:val="18"/>
              </w:rPr>
              <w:t>0.929</w:t>
            </w:r>
          </w:p>
        </w:tc>
        <w:tc>
          <w:tcPr>
            <w:tcW w:type="dxa" w:w="1234"/>
          </w:tcPr>
          <w:p>
            <w:r>
              <w:rPr>
                <w:sz w:val="18"/>
              </w:rPr>
              <w:t>0.970</w:t>
            </w:r>
          </w:p>
        </w:tc>
        <w:tc>
          <w:tcPr>
            <w:tcW w:type="dxa" w:w="1234"/>
          </w:tcPr>
          <w:p>
            <w:r>
              <w:rPr>
                <w:sz w:val="18"/>
              </w:rPr>
              <w:t>1.000</w:t>
            </w:r>
          </w:p>
        </w:tc>
      </w:tr>
      <w:tr>
        <w:tc>
          <w:tcPr>
            <w:tcW w:type="dxa" w:w="1234"/>
          </w:tcPr>
          <w:p>
            <w:r>
              <w:rPr>
                <w:sz w:val="18"/>
              </w:rPr>
              <w:t>wood</w:t>
            </w:r>
          </w:p>
        </w:tc>
        <w:tc>
          <w:tcPr>
            <w:tcW w:type="dxa" w:w="1234"/>
          </w:tcPr>
          <w:p>
            <w:r>
              <w:rPr>
                <w:sz w:val="18"/>
              </w:rPr>
              <w:t>0.937</w:t>
            </w:r>
          </w:p>
        </w:tc>
        <w:tc>
          <w:tcPr>
            <w:tcW w:type="dxa" w:w="1234"/>
          </w:tcPr>
          <w:p>
            <w:r>
              <w:rPr>
                <w:sz w:val="18"/>
              </w:rPr>
              <w:t>0.842</w:t>
            </w:r>
          </w:p>
        </w:tc>
        <w:tc>
          <w:tcPr>
            <w:tcW w:type="dxa" w:w="1234"/>
          </w:tcPr>
          <w:p>
            <w:r>
              <w:rPr>
                <w:sz w:val="18"/>
              </w:rPr>
              <w:t>0.960</w:t>
            </w:r>
          </w:p>
        </w:tc>
        <w:tc>
          <w:tcPr>
            <w:tcW w:type="dxa" w:w="1234"/>
          </w:tcPr>
          <w:p>
            <w:r>
              <w:rPr>
                <w:sz w:val="18"/>
              </w:rPr>
              <w:t>0.973</w:t>
            </w:r>
          </w:p>
        </w:tc>
        <w:tc>
          <w:tcPr>
            <w:tcW w:type="dxa" w:w="1234"/>
          </w:tcPr>
          <w:p>
            <w:r>
              <w:rPr>
                <w:sz w:val="18"/>
              </w:rPr>
              <w:t>0.987</w:t>
            </w:r>
          </w:p>
        </w:tc>
        <w:tc>
          <w:tcPr>
            <w:tcW w:type="dxa" w:w="1234"/>
          </w:tcPr>
          <w:p>
            <w:r>
              <w:rPr>
                <w:sz w:val="18"/>
              </w:rPr>
              <w:t>0.993</w:t>
            </w:r>
          </w:p>
        </w:tc>
      </w:tr>
      <w:tr>
        <w:tc>
          <w:tcPr>
            <w:tcW w:type="dxa" w:w="1234"/>
          </w:tcPr>
          <w:p>
            <w:r>
              <w:rPr>
                <w:sz w:val="18"/>
              </w:rPr>
              <w:t>zipper</w:t>
            </w:r>
          </w:p>
        </w:tc>
        <w:tc>
          <w:tcPr>
            <w:tcW w:type="dxa" w:w="1234"/>
          </w:tcPr>
          <w:p>
            <w:r>
              <w:rPr>
                <w:sz w:val="18"/>
              </w:rPr>
              <w:t>0.702</w:t>
            </w:r>
          </w:p>
        </w:tc>
        <w:tc>
          <w:tcPr>
            <w:tcW w:type="dxa" w:w="1234"/>
          </w:tcPr>
          <w:p>
            <w:r>
              <w:rPr>
                <w:sz w:val="18"/>
              </w:rPr>
              <w:t>0.783</w:t>
            </w:r>
          </w:p>
        </w:tc>
        <w:tc>
          <w:tcPr>
            <w:tcW w:type="dxa" w:w="1234"/>
          </w:tcPr>
          <w:p>
            <w:r>
              <w:rPr>
                <w:sz w:val="18"/>
              </w:rPr>
              <w:t>0.898</w:t>
            </w:r>
          </w:p>
        </w:tc>
        <w:tc>
          <w:tcPr>
            <w:tcW w:type="dxa" w:w="1234"/>
          </w:tcPr>
          <w:p>
            <w:r>
              <w:rPr>
                <w:sz w:val="18"/>
              </w:rPr>
              <w:t>0.911</w:t>
            </w:r>
          </w:p>
        </w:tc>
        <w:tc>
          <w:tcPr>
            <w:tcW w:type="dxa" w:w="1234"/>
          </w:tcPr>
          <w:p>
            <w:r>
              <w:rPr>
                <w:sz w:val="18"/>
              </w:rPr>
              <w:t>0.919</w:t>
            </w:r>
          </w:p>
        </w:tc>
        <w:tc>
          <w:tcPr>
            <w:tcW w:type="dxa" w:w="1234"/>
          </w:tcPr>
          <w:p>
            <w:r>
              <w:rPr>
                <w:sz w:val="18"/>
              </w:rPr>
              <w:t>0.996</w:t>
            </w:r>
          </w:p>
        </w:tc>
      </w:tr>
      <w:tr>
        <w:tc>
          <w:tcPr>
            <w:tcW w:type="dxa" w:w="1234"/>
          </w:tcPr>
          <w:p>
            <w:r>
              <w:rPr>
                <w:sz w:val="18"/>
              </w:rPr>
              <w:t>平均</w:t>
            </w:r>
          </w:p>
        </w:tc>
        <w:tc>
          <w:tcPr>
            <w:tcW w:type="dxa" w:w="1234"/>
          </w:tcPr>
          <w:p>
            <w:r>
              <w:rPr>
                <w:sz w:val="18"/>
              </w:rPr>
              <w:t>0.709</w:t>
            </w:r>
          </w:p>
        </w:tc>
        <w:tc>
          <w:tcPr>
            <w:tcW w:type="dxa" w:w="1234"/>
          </w:tcPr>
          <w:p>
            <w:r>
              <w:rPr>
                <w:sz w:val="18"/>
              </w:rPr>
              <w:t>0.751</w:t>
            </w:r>
          </w:p>
        </w:tc>
        <w:tc>
          <w:tcPr>
            <w:tcW w:type="dxa" w:w="1234"/>
          </w:tcPr>
          <w:p>
            <w:r>
              <w:rPr>
                <w:sz w:val="18"/>
              </w:rPr>
              <w:t>0.815</w:t>
            </w:r>
          </w:p>
        </w:tc>
        <w:tc>
          <w:tcPr>
            <w:tcW w:type="dxa" w:w="1234"/>
          </w:tcPr>
          <w:p>
            <w:r>
              <w:rPr>
                <w:sz w:val="18"/>
              </w:rPr>
              <w:t>0.862</w:t>
            </w:r>
          </w:p>
        </w:tc>
        <w:tc>
          <w:tcPr>
            <w:tcW w:type="dxa" w:w="1234"/>
          </w:tcPr>
          <w:p>
            <w:r>
              <w:rPr>
                <w:sz w:val="18"/>
              </w:rPr>
              <w:t>0.975</w:t>
            </w:r>
          </w:p>
        </w:tc>
        <w:tc>
          <w:tcPr>
            <w:tcW w:type="dxa" w:w="1234"/>
          </w:tcPr>
          <w:p>
            <w:r>
              <w:rPr>
                <w:sz w:val="18"/>
              </w:rPr>
              <w:t>0.992</w:t>
            </w:r>
          </w:p>
        </w:tc>
      </w:tr>
    </w:tbl>
    <w:p>
      <w:pPr>
        <w:spacing w:line="324" w:lineRule="auto"/>
        <w:ind w:firstLine="420"/>
      </w:pPr>
      <w:r>
        <w:t>两个发现值得注意。（i）深层主导：L3（0.862）明显优于 L2（0.815）与L1（0.751），与“异常是高层结构的变化”这一认知一致；浅层 L1 仅在与细粒度类（screw 0.722）仍是最弱的——这是真实且可解释的局限，详见消融与分析一节。</w:t>
      </w:r>
    </w:p>
    <w:p>
      <w:pPr>
        <w:spacing w:line="324" w:lineRule="auto"/>
        <w:ind w:firstLine="420"/>
      </w:pPr>
      <w:r>
        <w:t>ResNet18 第 L1/L2/L3 层上的六爻传感器阵列。虚线为报告的 PaDiM（0.975）与 PatchCore（0.992）平均值。深层（L3）六爻传感器平均达 0.862。</w:t>
      </w:r>
    </w:p>
    <w:p>
      <w:pPr>
        <w:pStyle w:val="Heading2"/>
      </w:pPr>
      <w:r>
        <w:t>5.3  信号无关性</w:t>
      </w:r>
    </w:p>
    <w:p>
      <w:pPr>
        <w:spacing w:line="324" w:lineRule="auto"/>
        <w:ind w:firstLine="420"/>
      </w:pPr>
      <w:r>
        <w:t>同一套六爻框架，仅替换提取器而固定判据，便可跨越很宽的性能阶梯（表 [引用:tab:main]）：手工固定卷积 0.709 &lt; ImageNet 预训练 ResNet 0.862。随机初始化 ResNet（有结构无知识）在 4 类子集上几乎无用（0.772），证实框架并不只对局部灰度结构响应。</w:t>
      </w:r>
    </w:p>
    <w:p>
      <w:pPr>
        <w:pStyle w:val="Heading2"/>
      </w:pPr>
      <w:r>
        <w:t>5.4  层贡献、分辨率、在线 vs 冻结</w:t>
      </w:r>
    </w:p>
    <w:p>
      <w:pPr>
        <w:jc w:val="center"/>
      </w:pPr>
      <w:r>
        <w:drawing>
          <wp:inline xmlns:a="http://schemas.openxmlformats.org/drawingml/2006/main" xmlns:pic="http://schemas.openxmlformats.org/drawingml/2006/picture">
            <wp:extent cx="4114800" cy="7498079"/>
            <wp:docPr id="10" name="Picture 10"/>
            <wp:cNvGraphicFramePr>
              <a:graphicFrameLocks noChangeAspect="1"/>
            </wp:cNvGraphicFramePr>
            <a:graphic>
              <a:graphicData uri="http://schemas.openxmlformats.org/drawingml/2006/picture">
                <pic:pic>
                  <pic:nvPicPr>
                    <pic:cNvPr id="0" name="fig7_layer_heatmap.png"/>
                    <pic:cNvPicPr/>
                  </pic:nvPicPr>
                  <pic:blipFill>
                    <a:blip r:embed="rId11"/>
                    <a:stretch>
                      <a:fillRect/>
                    </a:stretch>
                  </pic:blipFill>
                  <pic:spPr>
                    <a:xfrm>
                      <a:off x="0" y="0"/>
                      <a:ext cx="4114800" cy="7498079"/>
                    </a:xfrm>
                    <a:prstGeom prst="rect"/>
                  </pic:spPr>
                </pic:pic>
              </a:graphicData>
            </a:graphic>
          </wp:inline>
        </w:drawing>
      </w:r>
    </w:p>
    <w:p>
      <w:pPr>
        <w:jc w:val="center"/>
      </w:pPr>
      <w:r>
        <w:rPr>
          <w:i/>
          <w:sz w:val="18"/>
        </w:rPr>
        <w:t>图 10  六爻传感器阵列在 ResNet18 第 L1/L2/L3 层上的逐类图像级 AUROC（15 类）。</w:t>
      </w:r>
    </w:p>
    <w:p>
      <w:pPr>
        <w:spacing w:line="324" w:lineRule="auto"/>
        <w:ind w:firstLine="420"/>
      </w:pPr>
      <w:r>
        <w:t>逐层平均 AUROC 为 L1\,=\,0.751、L2\,=\,0.815、L3\,=\,0.862（表 [引用:tab:main]，图 [引用:fig:layer]）。L1\,+\,L3 的朴素秩融合得 0.825，低于单独 L3——因为若干类别（cable、grid、hazelnut、“L1\,+\,L3 融合最优”的观察：在完整基准下，正确的设计是以深层为主，仅在确有增益（如细微局部缺陷）处补充浅层。在线（Welford）与冻结的正常统计在大类上AUROC 几乎无差异（&lt;0.01），但在线学习使冷启动鲁健性成为可能。在线学习过程中分数阈值的收敛见图 [引用:fig:online]。</w:t>
      </w:r>
    </w:p>
    <w:p>
      <w:pPr>
        <w:jc w:val="center"/>
      </w:pPr>
      <w:r>
        <w:drawing>
          <wp:inline xmlns:a="http://schemas.openxmlformats.org/drawingml/2006/main" xmlns:pic="http://schemas.openxmlformats.org/drawingml/2006/picture">
            <wp:extent cx="4114800" cy="2598821"/>
            <wp:docPr id="11" name="Picture 11"/>
            <wp:cNvGraphicFramePr>
              <a:graphicFrameLocks noChangeAspect="1"/>
            </wp:cNvGraphicFramePr>
            <a:graphic>
              <a:graphicData uri="http://schemas.openxmlformats.org/drawingml/2006/picture">
                <pic:pic>
                  <pic:nvPicPr>
                    <pic:cNvPr id="0" name="fig5_online_curve.png"/>
                    <pic:cNvPicPr/>
                  </pic:nvPicPr>
                  <pic:blipFill>
                    <a:blip r:embed="rId16"/>
                    <a:stretch>
                      <a:fillRect/>
                    </a:stretch>
                  </pic:blipFill>
                  <pic:spPr>
                    <a:xfrm>
                      <a:off x="0" y="0"/>
                      <a:ext cx="4114800" cy="2598821"/>
                    </a:xfrm>
                    <a:prstGeom prst="rect"/>
                  </pic:spPr>
                </pic:pic>
              </a:graphicData>
            </a:graphic>
          </wp:inline>
        </w:drawing>
      </w:r>
    </w:p>
    <w:p>
      <w:pPr>
        <w:jc w:val="center"/>
      </w:pPr>
      <w:r>
        <w:rPr>
          <w:i/>
          <w:sz w:val="18"/>
        </w:rPr>
        <w:t>图 11  在线（Welford）与冻结正常统计的分数阈值随样本的演化。两者在大类上</w:t>
      </w:r>
    </w:p>
    <w:p>
      <w:pPr>
        <w:pStyle w:val="Heading2"/>
      </w:pPr>
      <w:r>
        <w:t>5.5  少样本表现</w:t>
      </w:r>
    </w:p>
    <w:p>
      <w:pPr>
        <w:jc w:val="center"/>
      </w:pPr>
      <w:r>
        <w:drawing>
          <wp:inline xmlns:a="http://schemas.openxmlformats.org/drawingml/2006/main" xmlns:pic="http://schemas.openxmlformats.org/drawingml/2006/picture">
            <wp:extent cx="4114800" cy="2652963"/>
            <wp:docPr id="12" name="Picture 12"/>
            <wp:cNvGraphicFramePr>
              <a:graphicFrameLocks noChangeAspect="1"/>
            </wp:cNvGraphicFramePr>
            <a:graphic>
              <a:graphicData uri="http://schemas.openxmlformats.org/drawingml/2006/picture">
                <pic:pic>
                  <pic:nvPicPr>
                    <pic:cNvPr id="0" name="fig8_fewshot.png"/>
                    <pic:cNvPicPr/>
                  </pic:nvPicPr>
                  <pic:blipFill>
                    <a:blip r:embed="rId14"/>
                    <a:stretch>
                      <a:fillRect/>
                    </a:stretch>
                  </pic:blipFill>
                  <pic:spPr>
                    <a:xfrm>
                      <a:off x="0" y="0"/>
                      <a:ext cx="4114800" cy="2652963"/>
                    </a:xfrm>
                    <a:prstGeom prst="rect"/>
                  </pic:spPr>
                </pic:pic>
              </a:graphicData>
            </a:graphic>
          </wp:inline>
        </w:drawing>
      </w:r>
    </w:p>
    <w:p>
      <w:pPr>
        <w:jc w:val="center"/>
      </w:pPr>
      <w:r>
        <w:rPr>
          <w:i/>
          <w:sz w:val="18"/>
        </w:rPr>
        <w:t>图 12  少样本表现：图像级 AUROC 与每类正常训练图数的关系（手工与预训练</w:t>
      </w:r>
    </w:p>
    <w:p>
      <w:pPr>
        <w:spacing w:line="324" w:lineRule="auto"/>
        <w:ind w:firstLine="420"/>
      </w:pPr>
      <w:r>
        <w:t>手工与预训练信号的少样本曲线见图 [引用:fig:few]。预训练实例对样本量极不敏感：每类仅 5 张正常图即恢复其大部分全量 AUROC，因为冻结骨干已承载了大部分判别结构；手工实例退化更平缓但起点更低。</w:t>
      </w:r>
    </w:p>
    <w:p>
      <w:pPr>
        <w:pStyle w:val="Heading1"/>
      </w:pPr>
      <w:r>
        <w:t>6  消融与分析</w:t>
      </w:r>
    </w:p>
    <w:p>
      <w:pPr>
        <w:jc w:val="center"/>
      </w:pPr>
      <w:r>
        <w:drawing>
          <wp:inline xmlns:a="http://schemas.openxmlformats.org/drawingml/2006/main" xmlns:pic="http://schemas.openxmlformats.org/drawingml/2006/picture">
            <wp:extent cx="4114800" cy="2514600"/>
            <wp:docPr id="13" name="Picture 13"/>
            <wp:cNvGraphicFramePr>
              <a:graphicFrameLocks noChangeAspect="1"/>
            </wp:cNvGraphicFramePr>
            <a:graphic>
              <a:graphicData uri="http://schemas.openxmlformats.org/drawingml/2006/picture">
                <pic:pic>
                  <pic:nvPicPr>
                    <pic:cNvPr id="0" name="fig4_knowledge_ladder.png"/>
                    <pic:cNvPicPr/>
                  </pic:nvPicPr>
                  <pic:blipFill>
                    <a:blip r:embed="rId17"/>
                    <a:stretch>
                      <a:fillRect/>
                    </a:stretch>
                  </pic:blipFill>
                  <pic:spPr>
                    <a:xfrm>
                      <a:off x="0" y="0"/>
                      <a:ext cx="4114800" cy="2514600"/>
                    </a:xfrm>
                    <a:prstGeom prst="rect"/>
                  </pic:spPr>
                </pic:pic>
              </a:graphicData>
            </a:graphic>
          </wp:inline>
        </w:drawing>
      </w:r>
    </w:p>
    <w:p>
      <w:pPr>
        <w:jc w:val="center"/>
      </w:pPr>
      <w:r>
        <w:rPr>
          <w:i/>
          <w:sz w:val="18"/>
        </w:rPr>
        <w:t>图 13  知识载体阶梯：随机卷积→手工卷积→手工六爻→预训练。</w:t>
      </w:r>
    </w:p>
    <w:p>
      <w:pPr>
        <w:jc w:val="center"/>
      </w:pPr>
      <w:r>
        <w:drawing>
          <wp:inline xmlns:a="http://schemas.openxmlformats.org/drawingml/2006/main" xmlns:pic="http://schemas.openxmlformats.org/drawingml/2006/picture">
            <wp:extent cx="4114800" cy="1131570"/>
            <wp:docPr id="14" name="Picture 14"/>
            <wp:cNvGraphicFramePr>
              <a:graphicFrameLocks noChangeAspect="1"/>
            </wp:cNvGraphicFramePr>
            <a:graphic>
              <a:graphicData uri="http://schemas.openxmlformats.org/drawingml/2006/picture">
                <pic:pic>
                  <pic:nvPicPr>
                    <pic:cNvPr id="0" name="fig9_sensitive_radar.png"/>
                    <pic:cNvPicPr/>
                  </pic:nvPicPr>
                  <pic:blipFill>
                    <a:blip r:embed="rId18"/>
                    <a:stretch>
                      <a:fillRect/>
                    </a:stretch>
                  </pic:blipFill>
                  <pic:spPr>
                    <a:xfrm>
                      <a:off x="0" y="0"/>
                      <a:ext cx="4114800" cy="1131570"/>
                    </a:xfrm>
                    <a:prstGeom prst="rect"/>
                  </pic:spPr>
                </pic:pic>
              </a:graphicData>
            </a:graphic>
          </wp:inline>
        </w:drawing>
      </w:r>
    </w:p>
    <w:p>
      <w:pPr>
        <w:jc w:val="center"/>
      </w:pPr>
      <w:r>
        <w:rPr>
          <w:i/>
          <w:sz w:val="18"/>
        </w:rPr>
        <w:t>图 14  各物品敏感爻指纹（零手调自动学出）。</w:t>
      </w:r>
    </w:p>
    <w:p>
      <w:pPr>
        <w:jc w:val="center"/>
      </w:pPr>
      <w:r>
        <w:drawing>
          <wp:inline xmlns:a="http://schemas.openxmlformats.org/drawingml/2006/main" xmlns:pic="http://schemas.openxmlformats.org/drawingml/2006/picture">
            <wp:extent cx="4114800" cy="1802674"/>
            <wp:docPr id="15" name="Picture 15"/>
            <wp:cNvGraphicFramePr>
              <a:graphicFrameLocks noChangeAspect="1"/>
            </wp:cNvGraphicFramePr>
            <a:graphic>
              <a:graphicData uri="http://schemas.openxmlformats.org/drawingml/2006/picture">
                <pic:pic>
                  <pic:nvPicPr>
                    <pic:cNvPr id="0" name="fig11_subtype.png"/>
                    <pic:cNvPicPr/>
                  </pic:nvPicPr>
                  <pic:blipFill>
                    <a:blip r:embed="rId19"/>
                    <a:stretch>
                      <a:fillRect/>
                    </a:stretch>
                  </pic:blipFill>
                  <pic:spPr>
                    <a:xfrm>
                      <a:off x="0" y="0"/>
                      <a:ext cx="4114800" cy="1802674"/>
                    </a:xfrm>
                    <a:prstGeom prst="rect"/>
                  </pic:spPr>
                </pic:pic>
              </a:graphicData>
            </a:graphic>
          </wp:inline>
        </w:drawing>
      </w:r>
    </w:p>
    <w:p>
      <w:pPr>
        <w:jc w:val="center"/>
      </w:pPr>
      <w:r>
        <w:rPr>
          <w:i/>
          <w:sz w:val="18"/>
        </w:rPr>
        <w:t>图 15  缺陷子类 AUROC 分解。</w:t>
      </w:r>
    </w:p>
    <w:p>
      <w:pPr>
        <w:pStyle w:val="Heading2"/>
      </w:pPr>
      <w:r>
        <w:t>6.1  知识 vs 载体：预训练消融</w:t>
      </w:r>
    </w:p>
    <w:p>
      <w:pPr>
        <w:spacing w:line="324" w:lineRule="auto"/>
        <w:ind w:firstLine="420"/>
      </w:pPr>
      <w:r>
        <w:t>在保持框架不变的前提下替换特征提取器：随机初始化 ResNet18（有结构、无知识）、手工固定卷积（Sobel/Laplacian/均值）、手工六爻信号（零预训练）、以及ImageNet 预训练 ResNet18。在共同 4 类子集（bottle、tile、&lt; 0.854（手工六爻信号）&lt; 0.932（ImageNet 预训练）；全部 15 类上，手工六爻与预训练变体分别达 0.709 与 0.862。表明性能由信号信息量决定：卷积算子是一个空载体，框架组织而非产生知识。特别地，在由个体形状差异主导的类别（hazelnut、carpet）上，手工信号甚至</w:t>
      </w:r>
    </w:p>
    <w:p>
      <w:pPr>
        <w:jc w:val="center"/>
      </w:pPr>
      <w:r>
        <w:drawing>
          <wp:inline xmlns:a="http://schemas.openxmlformats.org/drawingml/2006/main" xmlns:pic="http://schemas.openxmlformats.org/drawingml/2006/picture">
            <wp:extent cx="4114800" cy="2514600"/>
            <wp:docPr id="16" name="Picture 16"/>
            <wp:cNvGraphicFramePr>
              <a:graphicFrameLocks noChangeAspect="1"/>
            </wp:cNvGraphicFramePr>
            <a:graphic>
              <a:graphicData uri="http://schemas.openxmlformats.org/drawingml/2006/picture">
                <pic:pic>
                  <pic:nvPicPr>
                    <pic:cNvPr id="0" name="fig4_knowledge_ladder.png"/>
                    <pic:cNvPicPr/>
                  </pic:nvPicPr>
                  <pic:blipFill>
                    <a:blip r:embed="rId17"/>
                    <a:stretch>
                      <a:fillRect/>
                    </a:stretch>
                  </pic:blipFill>
                  <pic:spPr>
                    <a:xfrm>
                      <a:off x="0" y="0"/>
                      <a:ext cx="4114800" cy="2514600"/>
                    </a:xfrm>
                    <a:prstGeom prst="rect"/>
                  </pic:spPr>
                </pic:pic>
              </a:graphicData>
            </a:graphic>
          </wp:inline>
        </w:drawing>
      </w:r>
    </w:p>
    <w:p>
      <w:pPr>
        <w:jc w:val="center"/>
      </w:pPr>
      <w:r>
        <w:rPr>
          <w:i/>
          <w:sz w:val="18"/>
        </w:rPr>
        <w:t>图 16  知识-vs-载体阶梯：同一六爻框架配不同信号源。随机初始化 ResNet（</w:t>
      </w:r>
    </w:p>
    <w:p>
      <w:pPr>
        <w:pStyle w:val="Heading2"/>
      </w:pPr>
      <w:r>
        <w:t>6.2  爻变 vs 正交</w:t>
      </w:r>
    </w:p>
    <w:p>
      <w:pPr>
        <w:spacing w:line="324" w:lineRule="auto"/>
        <w:ind w:firstLine="420"/>
      </w:pPr>
      <w:r>
        <w:t>早期假设是：对六爻空间做白化（PCA 正交化）能通过去除冗余而锐化异常信号。受控对比（表 [引用:tab:ortho]）表明结果相反：完全正交化反而有害（平均AUROC 0.803  0.731），证实爻间的相关性携带判别信息——这正是爻变视角主张应予保留而非去除的东西。保留相关性的轻量变体与原始表示持平（0.802）。这是一个核心负结果：对六爻表示而言，相关性是信息，不是冗余。</w:t>
      </w:r>
    </w:p>
    <w:p>
      <w:pPr>
        <w:jc w:val="center"/>
      </w:pPr>
      <w:r>
        <w:rPr>
          <w:i/>
          <w:sz w:val="18"/>
        </w:rPr>
        <w:t>表 4  爻变 vs 正交化（4 类）。</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变体</w:t>
            </w:r>
          </w:p>
        </w:tc>
        <w:tc>
          <w:tcPr>
            <w:tcW w:type="dxa" w:w="4320"/>
          </w:tcPr>
          <w:p>
            <w:r>
              <w:rPr>
                <w:sz w:val="18"/>
              </w:rPr>
              <w:t>平均 AUROC</w:t>
            </w:r>
          </w:p>
        </w:tc>
      </w:tr>
      <w:tr>
        <w:tc>
          <w:tcPr>
            <w:tcW w:type="dxa" w:w="4320"/>
          </w:tcPr>
          <w:p>
            <w:r>
              <w:rPr>
                <w:sz w:val="18"/>
              </w:rPr>
              <w:t>原始六爻</w:t>
            </w:r>
          </w:p>
        </w:tc>
        <w:tc>
          <w:tcPr>
            <w:tcW w:type="dxa" w:w="4320"/>
          </w:tcPr>
          <w:p>
            <w:r>
              <w:rPr>
                <w:sz w:val="18"/>
              </w:rPr>
              <w:t>0.8033</w:t>
            </w:r>
          </w:p>
        </w:tc>
      </w:tr>
      <w:tr>
        <w:tc>
          <w:tcPr>
            <w:tcW w:type="dxa" w:w="4320"/>
          </w:tcPr>
          <w:p>
            <w:r>
              <w:rPr>
                <w:sz w:val="18"/>
              </w:rPr>
              <w:t>完全正交化</w:t>
            </w:r>
          </w:p>
        </w:tc>
        <w:tc>
          <w:tcPr>
            <w:tcW w:type="dxa" w:w="4320"/>
          </w:tcPr>
          <w:p>
            <w:r>
              <w:rPr>
                <w:sz w:val="18"/>
              </w:rPr>
              <w:t>0.7312</w:t>
            </w:r>
          </w:p>
        </w:tc>
      </w:tr>
      <w:tr>
        <w:tc>
          <w:tcPr>
            <w:tcW w:type="dxa" w:w="4320"/>
          </w:tcPr>
          <w:p>
            <w:r>
              <w:rPr>
                <w:sz w:val="18"/>
              </w:rPr>
              <w:t>轻量正交化</w:t>
            </w:r>
          </w:p>
        </w:tc>
        <w:tc>
          <w:tcPr>
            <w:tcW w:type="dxa" w:w="4320"/>
          </w:tcPr>
          <w:p>
            <w:r>
              <w:rPr>
                <w:sz w:val="18"/>
              </w:rPr>
              <w:t>0.8022</w:t>
            </w:r>
          </w:p>
        </w:tc>
      </w:tr>
      <w:tr>
        <w:tc>
          <w:tcPr>
            <w:tcW w:type="dxa" w:w="4320"/>
          </w:tcPr>
          <w:p>
            <w:r>
              <w:rPr>
                <w:sz w:val="18"/>
              </w:rPr>
              <w:t>设计正交</w:t>
            </w:r>
          </w:p>
        </w:tc>
        <w:tc>
          <w:tcPr>
            <w:tcW w:type="dxa" w:w="4320"/>
          </w:tcPr>
          <w:p>
            <w:r>
              <w:rPr>
                <w:sz w:val="18"/>
              </w:rPr>
              <w:t>0.8132</w:t>
            </w:r>
          </w:p>
        </w:tc>
      </w:tr>
    </w:tbl>
    <w:p>
      <w:pPr>
        <w:pStyle w:val="Heading2"/>
      </w:pPr>
      <w:r>
        <w:t>6.3  自动敏感度学习之失败</w:t>
      </w:r>
    </w:p>
    <w:p>
      <w:pPr>
        <w:spacing w:line="324" w:lineRule="auto"/>
        <w:ind w:firstLine="420"/>
      </w:pPr>
      <w:r>
        <w:t>我们测试了三种仅用正常数据让框架学习哪些爻重要的方法：(i) 经逆协方差^-1 的敏感爻加权，(ii) 自适应逐层加权，(iii) 协方差收缩。全部失败或中性。敏感爻加权不比均匀加权更好（如 tile 0.701 vs.\ 0.714；正常数据统计量推断，只能来自异常响应信号。协方差收缩是无效操作：估计的收缩系数极小（0.01–0.05），即协方差并未病态。自适应层加权退化为近均匀0.33，不如固定 L1+L3（0.937 vs.\ 0.947）。</w:t>
      </w:r>
    </w:p>
    <w:p>
      <w:pPr>
        <w:pStyle w:val="Heading2"/>
      </w:pPr>
      <w:r>
        <w:t>6.4  阈值规则扫描</w:t>
      </w:r>
    </w:p>
    <w:p>
      <w:pPr>
        <w:spacing w:line="324" w:lineRule="auto"/>
        <w:ind w:firstLine="420"/>
      </w:pPr>
      <w:r>
        <w:t>我们扫描了候选分位数规则 q\50,60,70,75,80,90\，用于由模型自身的正常分数设定判决阈值。不存在跨类别普遍最优的规则：bottle 偏好较低分位，而 tile 偏好较高分位，且每类最优值随特征信号非单调变化。因此我们采用单一、无参数、稳健的工作点：q=75。它不是每类最优，但是一个可辩护的折中，且无需逐类调参——与零配置目标一致。</w:t>
      </w:r>
    </w:p>
    <w:p>
      <w:pPr>
        <w:pStyle w:val="Heading2"/>
      </w:pPr>
      <w:r>
        <w:t>6.5  冷启动污染</w:t>
      </w:r>
    </w:p>
    <w:p>
      <w:pPr>
        <w:spacing w:line="324" w:lineRule="auto"/>
        <w:ind w:firstLine="420"/>
      </w:pPr>
      <w:r>
        <w:t>在线学习统计量的一个关键优势是对污染开局的鲁棒性。我们在正常流最前端注入k 个缺陷样本（k\0,1,2,3,5\），并在学完整个（干净）正常流后测量最终AUROC。由于 Welford 的 1/n 权重会稀释早期贡献，影响很小：在 MVTec上几乎持平（k=0 时 0.878 vs.\ k=5 时 0.881）（表 [引用:tab:cold]）。对小样本的 toothbrush 类（60 张正常图），影响较大（0.8420.758），因为污染占流量的比例高——这是一个诚实、可解释的局限（图 [引用:fig:cold]）。</w:t>
      </w:r>
    </w:p>
    <w:p>
      <w:pPr>
        <w:jc w:val="center"/>
      </w:pPr>
      <w:r>
        <w:drawing>
          <wp:inline xmlns:a="http://schemas.openxmlformats.org/drawingml/2006/main" xmlns:pic="http://schemas.openxmlformats.org/drawingml/2006/picture">
            <wp:extent cx="4114800" cy="2633472"/>
            <wp:docPr id="17" name="Picture 17"/>
            <wp:cNvGraphicFramePr>
              <a:graphicFrameLocks noChangeAspect="1"/>
            </wp:cNvGraphicFramePr>
            <a:graphic>
              <a:graphicData uri="http://schemas.openxmlformats.org/drawingml/2006/picture">
                <pic:pic>
                  <pic:nvPicPr>
                    <pic:cNvPr id="0" name="fig6_coldstart.png"/>
                    <pic:cNvPicPr/>
                  </pic:nvPicPr>
                  <pic:blipFill>
                    <a:blip r:embed="rId20"/>
                    <a:stretch>
                      <a:fillRect/>
                    </a:stretch>
                  </pic:blipFill>
                  <pic:spPr>
                    <a:xfrm>
                      <a:off x="0" y="0"/>
                      <a:ext cx="4114800" cy="2633472"/>
                    </a:xfrm>
                    <a:prstGeom prst="rect"/>
                  </pic:spPr>
                </pic:pic>
              </a:graphicData>
            </a:graphic>
          </wp:inline>
        </w:drawing>
      </w:r>
    </w:p>
    <w:p>
      <w:pPr>
        <w:jc w:val="center"/>
      </w:pPr>
      <w:r>
        <w:rPr>
          <w:i/>
          <w:sz w:val="18"/>
        </w:rPr>
        <w:t>图 17  冷启动污染：最终 AUROC 与注入到正常流最前的缺陷样本数 k 的关系。</w:t>
      </w:r>
    </w:p>
    <w:p>
      <w:pPr>
        <w:jc w:val="center"/>
      </w:pPr>
      <w:r>
        <w:rPr>
          <w:i/>
          <w:sz w:val="18"/>
        </w:rPr>
        <w:t>表 5  冷启动污染：在正常流最前注入 k 个缺陷样本后的最终 AUROC。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类别</w:t>
            </w:r>
          </w:p>
        </w:tc>
        <w:tc>
          <w:tcPr>
            <w:tcW w:type="dxa" w:w="1440"/>
          </w:tcPr>
          <w:p>
            <w:r>
              <w:rPr>
                <w:sz w:val="18"/>
              </w:rPr>
              <w:t>k=0</w:t>
            </w:r>
          </w:p>
        </w:tc>
        <w:tc>
          <w:tcPr>
            <w:tcW w:type="dxa" w:w="1440"/>
          </w:tcPr>
          <w:p>
            <w:r>
              <w:rPr>
                <w:sz w:val="18"/>
              </w:rPr>
              <w:t>k=1</w:t>
            </w:r>
          </w:p>
        </w:tc>
        <w:tc>
          <w:tcPr>
            <w:tcW w:type="dxa" w:w="1440"/>
          </w:tcPr>
          <w:p>
            <w:r>
              <w:rPr>
                <w:sz w:val="18"/>
              </w:rPr>
              <w:t>k=2</w:t>
            </w:r>
          </w:p>
        </w:tc>
        <w:tc>
          <w:tcPr>
            <w:tcW w:type="dxa" w:w="1440"/>
          </w:tcPr>
          <w:p>
            <w:r>
              <w:rPr>
                <w:sz w:val="18"/>
              </w:rPr>
              <w:t>k=3</w:t>
            </w:r>
          </w:p>
        </w:tc>
        <w:tc>
          <w:tcPr>
            <w:tcW w:type="dxa" w:w="1440"/>
          </w:tcPr>
          <w:p>
            <w:r>
              <w:rPr>
                <w:sz w:val="18"/>
              </w:rPr>
              <w:t>k=5</w:t>
            </w:r>
          </w:p>
        </w:tc>
      </w:tr>
      <w:tr>
        <w:tc>
          <w:tcPr>
            <w:tcW w:type="dxa" w:w="1440"/>
          </w:tcPr>
          <w:p>
            <w:r>
              <w:rPr>
                <w:sz w:val="18"/>
              </w:rPr>
              <w:t>bottle</w:t>
            </w:r>
          </w:p>
        </w:tc>
        <w:tc>
          <w:tcPr>
            <w:tcW w:type="dxa" w:w="1440"/>
          </w:tcPr>
          <w:p>
            <w:r>
              <w:rPr>
                <w:sz w:val="18"/>
              </w:rPr>
              <w:t>0.975</w:t>
            </w:r>
          </w:p>
        </w:tc>
        <w:tc>
          <w:tcPr>
            <w:tcW w:type="dxa" w:w="1440"/>
          </w:tcPr>
          <w:p>
            <w:r>
              <w:rPr>
                <w:sz w:val="18"/>
              </w:rPr>
              <w:t>0.974</w:t>
            </w:r>
          </w:p>
        </w:tc>
        <w:tc>
          <w:tcPr>
            <w:tcW w:type="dxa" w:w="1440"/>
          </w:tcPr>
          <w:p>
            <w:r>
              <w:rPr>
                <w:sz w:val="18"/>
              </w:rPr>
              <w:t>0.974</w:t>
            </w:r>
          </w:p>
        </w:tc>
        <w:tc>
          <w:tcPr>
            <w:tcW w:type="dxa" w:w="1440"/>
          </w:tcPr>
          <w:p>
            <w:r>
              <w:rPr>
                <w:sz w:val="18"/>
              </w:rPr>
              <w:t>0.975</w:t>
            </w:r>
          </w:p>
        </w:tc>
        <w:tc>
          <w:tcPr>
            <w:tcW w:type="dxa" w:w="1440"/>
          </w:tcPr>
          <w:p>
            <w:r>
              <w:rPr>
                <w:sz w:val="18"/>
              </w:rPr>
              <w:t>0.969</w:t>
            </w:r>
          </w:p>
        </w:tc>
      </w:tr>
      <w:tr>
        <w:tc>
          <w:tcPr>
            <w:tcW w:type="dxa" w:w="1440"/>
          </w:tcPr>
          <w:p>
            <w:r>
              <w:rPr>
                <w:sz w:val="18"/>
              </w:rPr>
              <w:t>tile</w:t>
            </w:r>
          </w:p>
        </w:tc>
        <w:tc>
          <w:tcPr>
            <w:tcW w:type="dxa" w:w="1440"/>
          </w:tcPr>
          <w:p>
            <w:r>
              <w:rPr>
                <w:sz w:val="18"/>
              </w:rPr>
              <w:t>0.878</w:t>
            </w:r>
          </w:p>
        </w:tc>
        <w:tc>
          <w:tcPr>
            <w:tcW w:type="dxa" w:w="1440"/>
          </w:tcPr>
          <w:p>
            <w:r>
              <w:rPr>
                <w:sz w:val="18"/>
              </w:rPr>
              <w:t>0.878</w:t>
            </w:r>
          </w:p>
        </w:tc>
        <w:tc>
          <w:tcPr>
            <w:tcW w:type="dxa" w:w="1440"/>
          </w:tcPr>
          <w:p>
            <w:r>
              <w:rPr>
                <w:sz w:val="18"/>
              </w:rPr>
              <w:t>0.884</w:t>
            </w:r>
          </w:p>
        </w:tc>
        <w:tc>
          <w:tcPr>
            <w:tcW w:type="dxa" w:w="1440"/>
          </w:tcPr>
          <w:p>
            <w:r>
              <w:rPr>
                <w:sz w:val="18"/>
              </w:rPr>
              <w:t>0.882</w:t>
            </w:r>
          </w:p>
        </w:tc>
        <w:tc>
          <w:tcPr>
            <w:tcW w:type="dxa" w:w="1440"/>
          </w:tcPr>
          <w:p>
            <w:r>
              <w:rPr>
                <w:sz w:val="18"/>
              </w:rPr>
              <w:t>0.881</w:t>
            </w:r>
          </w:p>
        </w:tc>
      </w:tr>
      <w:tr>
        <w:tc>
          <w:tcPr>
            <w:tcW w:type="dxa" w:w="1440"/>
          </w:tcPr>
          <w:p>
            <w:r>
              <w:rPr>
                <w:sz w:val="18"/>
              </w:rPr>
              <w:t>metal\_nut</w:t>
            </w:r>
          </w:p>
        </w:tc>
        <w:tc>
          <w:tcPr>
            <w:tcW w:type="dxa" w:w="1440"/>
          </w:tcPr>
          <w:p>
            <w:r>
              <w:rPr>
                <w:sz w:val="18"/>
              </w:rPr>
              <w:t>0.746</w:t>
            </w:r>
          </w:p>
        </w:tc>
        <w:tc>
          <w:tcPr>
            <w:tcW w:type="dxa" w:w="1440"/>
          </w:tcPr>
          <w:p>
            <w:r>
              <w:rPr>
                <w:sz w:val="18"/>
              </w:rPr>
              <w:t>0.728</w:t>
            </w:r>
          </w:p>
        </w:tc>
        <w:tc>
          <w:tcPr>
            <w:tcW w:type="dxa" w:w="1440"/>
          </w:tcPr>
          <w:p>
            <w:r>
              <w:rPr>
                <w:sz w:val="18"/>
              </w:rPr>
              <w:t>0.726</w:t>
            </w:r>
          </w:p>
        </w:tc>
        <w:tc>
          <w:tcPr>
            <w:tcW w:type="dxa" w:w="1440"/>
          </w:tcPr>
          <w:p>
            <w:r>
              <w:rPr>
                <w:sz w:val="18"/>
              </w:rPr>
              <w:t>0.728</w:t>
            </w:r>
          </w:p>
        </w:tc>
        <w:tc>
          <w:tcPr>
            <w:tcW w:type="dxa" w:w="1440"/>
          </w:tcPr>
          <w:p>
            <w:r>
              <w:rPr>
                <w:sz w:val="18"/>
              </w:rPr>
              <w:t>0.725</w:t>
            </w:r>
          </w:p>
        </w:tc>
      </w:tr>
      <w:tr>
        <w:tc>
          <w:tcPr>
            <w:tcW w:type="dxa" w:w="1440"/>
          </w:tcPr>
          <w:p>
            <w:r>
              <w:rPr>
                <w:sz w:val="18"/>
              </w:rPr>
              <w:t>toothbrush</w:t>
            </w:r>
          </w:p>
        </w:tc>
        <w:tc>
          <w:tcPr>
            <w:tcW w:type="dxa" w:w="1440"/>
          </w:tcPr>
          <w:p>
            <w:r>
              <w:rPr>
                <w:sz w:val="18"/>
              </w:rPr>
              <w:t>0.842</w:t>
            </w:r>
          </w:p>
        </w:tc>
        <w:tc>
          <w:tcPr>
            <w:tcW w:type="dxa" w:w="1440"/>
          </w:tcPr>
          <w:p>
            <w:r>
              <w:rPr>
                <w:sz w:val="18"/>
              </w:rPr>
              <w:t>0.811</w:t>
            </w:r>
          </w:p>
        </w:tc>
        <w:tc>
          <w:tcPr>
            <w:tcW w:type="dxa" w:w="1440"/>
          </w:tcPr>
          <w:p>
            <w:r>
              <w:rPr>
                <w:sz w:val="18"/>
              </w:rPr>
              <w:t>0.786</w:t>
            </w:r>
          </w:p>
        </w:tc>
        <w:tc>
          <w:tcPr>
            <w:tcW w:type="dxa" w:w="1440"/>
          </w:tcPr>
          <w:p>
            <w:r>
              <w:rPr>
                <w:sz w:val="18"/>
              </w:rPr>
              <w:t>0.767</w:t>
            </w:r>
          </w:p>
        </w:tc>
        <w:tc>
          <w:tcPr>
            <w:tcW w:type="dxa" w:w="1440"/>
          </w:tcPr>
          <w:p>
            <w:r>
              <w:rPr>
                <w:sz w:val="18"/>
              </w:rPr>
              <w:t>0.758</w:t>
            </w:r>
          </w:p>
        </w:tc>
      </w:tr>
    </w:tbl>
    <w:p>
      <w:pPr>
        <w:pStyle w:val="Heading1"/>
      </w:pPr>
      <w:r>
        <w:t>7  讨论</w:t>
      </w:r>
    </w:p>
    <w:p>
      <w:pPr>
        <w:pStyle w:val="Heading2"/>
      </w:pPr>
      <w:r>
        <w:t>7.1  爻变视角</w:t>
      </w:r>
    </w:p>
    <w:p>
      <w:pPr>
        <w:spacing w:line="324" w:lineRule="auto"/>
        <w:ind w:firstLine="420"/>
      </w:pPr>
      <w:r>
        <w:t>传统统计式异常检测通过白化消除相关性，并在去相关空间度量距离。我们的结果表明，对六爻表示而言恰恰相反：爻间相关性是有信息的，对其正交化会损失信号。这与《易经》的视角一致——异常的本质是变化，即构成要素之间关系的改变，而非单纯的量值。</w:t>
      </w:r>
    </w:p>
    <w:p>
      <w:pPr>
        <w:pStyle w:val="Heading2"/>
      </w:pPr>
      <w:r>
        <w:t>7.2  知识与载体</w:t>
      </w:r>
    </w:p>
    <w:p>
      <w:pPr>
        <w:spacing w:line="324" w:lineRule="auto"/>
        <w:ind w:firstLine="420"/>
      </w:pPr>
      <w:r>
        <w:t>预训练消融隔离出一个在概念上重要的点：卷积运算是空载体。随机初始化的ResNet 特征在 4 类子集上几乎无用（0.772），手工固定卷积恢复部分信号（0.709），而 ImageNet 预训练特征达 0.862。框架并不整个阶梯的原因。</w:t>
      </w:r>
    </w:p>
    <w:p>
      <w:pPr>
        <w:pStyle w:val="Heading2"/>
      </w:pPr>
      <w:r>
        <w:t>7.3  负结果的价值</w:t>
      </w:r>
    </w:p>
    <w:p>
      <w:pPr>
        <w:spacing w:line="324" w:lineRule="auto"/>
        <w:ind w:firstLine="420"/>
      </w:pPr>
      <w:r>
        <w:t>我们报告了若干失败——正交化、经 ^-1 的自动敏感度学习、自适应层加权、收缩协方差——它们都指向同一结论：在纯无监督下，敏感度无法由正常数据统计量推断，必须来自异常响应信号。我们认为这是一个有用的方法论发现，而不仅是局限。</w:t>
      </w:r>
    </w:p>
    <w:p>
      <w:pPr>
        <w:pStyle w:val="Heading2"/>
      </w:pPr>
      <w:r>
        <w:t>7.4  局限性</w:t>
      </w:r>
    </w:p>
    <w:p>
      <w:pPr>
        <w:spacing w:line="324" w:lineRule="auto"/>
        <w:ind w:firstLine="420"/>
      </w:pPr>
      <w:r>
        <w:t>预训练实例并非真·零先验：它借用了 ImageNet 视觉先验（尽管不使用目标域标注、不微调）。hazelnut 类别（平均 AUROC 0.529）在所有深度特征路线上均为最弱，因其 391 张正常训练图存在很大的个体形状差异：正常模板被模糊，缺陷信号被淹没。cable 与 screw 同样受困于细微、低对比度缺陷，粗 /4网格可能丢失其信号。未来工作包括面向形状型缺陷的形状/几何传感器与更高分辨率的特征网格。</w:t>
      </w:r>
    </w:p>
    <w:p>
      <w:pPr>
        <w:pStyle w:val="Heading1"/>
      </w:pPr>
      <w:r>
        <w:t>8  结论</w:t>
      </w:r>
    </w:p>
    <w:p>
      <w:pPr>
        <w:spacing w:line="324" w:lineRule="auto"/>
        <w:ind w:firstLine="420"/>
      </w:pPr>
      <w:r>
        <w:t>本文提出了一个信号无关、易经启发的无监督工业图像异常检测框架，基于六爻传感器阵列与爻变判据，并具无参数在线自适应。同一框架同时服务手工信号与预训练信号，对冷启动污染鲁棒，且数据高效。在完整的 15 类 MVTec AD 基准上，它使用预训练特征取得 0.862 平均 AUROC，使用纯手工信号取得 0.709，且不用任何记忆库。未来工作包括面向形状型缺陷的形状/几何传感器、更高分辨率的特征网格，以及向视频/序列流的扩展。</w:t>
      </w:r>
    </w:p>
    <w:p>
      <w:pPr>
        <w:pStyle w:val="Heading1"/>
      </w:pPr>
      <w:r>
        <w:t>参考文献</w:t>
      </w:r>
    </w:p>
    <w:p>
      <w:pPr>
        <w:pStyle w:val="ListNumber"/>
      </w:pPr>
      <w:r>
        <w:t>P. Bergmann 等, “MVTec AD——面向无监督异常检测的</w:t>
      </w:r>
      <w:r>
        <w:t xml:space="preserve"> 综合性真实数据集,” CVPR, 2019.</w:t>
      </w:r>
    </w:p>
    <w:p>
      <w:pPr>
        <w:pStyle w:val="ListNumber"/>
      </w:pPr>
      <w:r>
        <w:t>T. Defard 等, “PaDiM：面向异常检测与定位的 patch 分布</w:t>
      </w:r>
      <w:r>
        <w:t xml:space="preserve"> 建模框架,” ICPR, 2021.</w:t>
      </w:r>
    </w:p>
    <w:p>
      <w:pPr>
        <w:pStyle w:val="ListNumber"/>
      </w:pPr>
      <w:r>
        <w:t>K. Roth 等, “面向工业异常检测的全召回,” CVPR, 2022.</w:t>
      </w:r>
    </w:p>
    <w:p>
      <w:pPr>
        <w:pStyle w:val="ListNumber"/>
      </w:pPr>
      <w:r>
        <w:t>N. Cohen, Y. Hoshen, “基于深度金字塔对应的子图异常检测,”</w:t>
      </w:r>
      <w:r>
        <w:t xml:space="preserve"> 2021.</w:t>
      </w:r>
    </w:p>
    <w:p>
      <w:pPr>
        <w:pStyle w:val="ListNumber"/>
      </w:pPr>
      <w:r>
        <w:t>J. Jeong 等, “WinCLIP：零/少样本异常分类与分割,”</w:t>
      </w:r>
      <w:r>
        <w:t xml:space="preserve"> CVPR, 2023.</w:t>
      </w:r>
    </w:p>
    <w:p>
      <w:pPr>
        <w:pStyle w:val="ListNumber"/>
      </w:pPr>
      <w:r>
        <w:t>Z. Liu 等, “SimpleNet：一种用于图像异常检测与定位的</w:t>
      </w:r>
      <w:r>
        <w:t xml:space="preserve"> 简单网络,” CVPR, 2023.</w:t>
      </w:r>
    </w:p>
    <w:p>
      <w:pPr>
        <w:pStyle w:val="ListNumber"/>
      </w:pPr>
      <w:r>
        <w:t>V. Zavrtanik 等, “DRAEM——面向表面异常检测的判别式</w:t>
      </w:r>
      <w:r>
        <w:t xml:space="preserve"> 训练重建嵌入,” ICCV, 2021.</w:t>
      </w:r>
    </w:p>
    <w:p>
      <w:pPr>
        <w:pStyle w:val="ListNumber"/>
      </w:pPr>
      <w:r>
        <w:t>Y. Zhang, “易经、二进制编码与莱布尼茨：一个计算视角,”</w:t>
      </w:r>
    </w:p>
    <w:p>
      <w:pPr>
        <w:pStyle w:val="ListNumber"/>
      </w:pPr>
      <w:r>
        <w:t>K. He 等, “用于图像识别的深度残差学习,” CVPR,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