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firstLine="0"/>
        <w:jc w:val="center"/>
      </w:pPr>
      <w:r>
        <w:rPr>
          <w:b/>
          <w:sz w:val="44"/>
        </w:rPr>
        <w:t>YLYW-V19: Embodied Task Planning via</w:t>
        <w:br/>
        <w:t>Structured I Ching Hexagram Reasoning</w:t>
      </w:r>
    </w:p>
    <w:p/>
    <w:p/>
    <w:p>
      <w:pPr>
        <w:ind w:firstLine="0"/>
        <w:jc w:val="center"/>
      </w:pPr>
      <w:r>
        <w:rPr>
          <w:i/>
          <w:sz w:val="28"/>
        </w:rPr>
        <w:t>A Zero-LLM Framework Achieving 91.0% on ALFWorld</w:t>
        <w:br/>
        <w:t>with Fully Interpretable Decision Calculus</w:t>
      </w:r>
    </w:p>
    <w:p/>
    <w:p/>
    <w:p/>
    <w:p/>
    <w:p/>
    <w:p/>
    <w:p>
      <w:pPr>
        <w:ind w:firstLine="0"/>
        <w:jc w:val="center"/>
      </w:pPr>
      <w:r>
        <w:rPr>
          <w:sz w:val="22"/>
        </w:rPr>
        <w:t>Xinglu Ma</w:t>
        <w:br/>
        <w:t>College of Information Science and Technology</w:t>
        <w:br/>
        <w:t>Qingdao University of Science and Technology</w:t>
        <w:br/>
        <w:br/>
        <w:t>{Corresponding: maxinglu@qust.edu.cn}</w:t>
      </w:r>
    </w:p>
    <w:p>
      <w:r>
        <w:br w:type="page"/>
      </w:r>
    </w:p>
    <w:p>
      <w:pPr>
        <w:pStyle w:val="Heading1"/>
        <w:ind w:firstLine="0"/>
      </w:pPr>
      <w:r>
        <w:rPr>
          <w:color w:val="000000"/>
        </w:rPr>
        <w:t>Abstract</w:t>
      </w:r>
    </w:p>
    <w:p>
      <w:r>
        <w:rPr>
          <w:rFonts w:ascii="Times New Roman" w:hAnsi="Times New Roman"/>
          <w:b w:val="0"/>
          <w:i w:val="0"/>
          <w:sz w:val="22"/>
        </w:rPr>
        <w:t>Large language models have become the dominant paradigm for embodied task planning, yet their deployment cost, latency, non-determinism, and cloud dependency pose fundamental bottlenecks. We present YLYW-V19, a fully symbolic decision framework based on the I Ching hexagram system, achieving 91.0% success rate (122/134) on the ALFWorld out-of-distribution benchmark with zero large language models and zero neural networks.</w:t>
      </w:r>
    </w:p>
    <w:p>
      <w:r>
        <w:rPr>
          <w:rFonts w:ascii="Times New Roman" w:hAnsi="Times New Roman"/>
          <w:b w:val="0"/>
          <w:i w:val="0"/>
          <w:sz w:val="22"/>
        </w:rPr>
        <w:t>YLYW core is a three-layer architecture (L1 Trigram to L2 Yao to L3 Hexagram) transforming the I Ching into an operational decision calculus. YLYW-V19 introduces three innovations: a semantic understanding pipeline mapping English task descriptions to structured hexagram representations; Zhiji Learning performing real-time experience accumulation from execution trajectories; and a Yao Relations Diagnostic Calculus formalizing six relational operators for stuck-state diagnosis and targeted recovery.</w:t>
      </w:r>
    </w:p>
    <w:p>
      <w:r>
        <w:rPr>
          <w:rFonts w:ascii="Times New Roman" w:hAnsi="Times New Roman"/>
          <w:b w:val="0"/>
          <w:i w:val="0"/>
          <w:sz w:val="22"/>
        </w:rPr>
        <w:t>Ablation experiments based on rigorous component removal show: the semantic pipeline provides foundational task understanding; Zhiji Learning contributes about +5 to 6%; 64-hexagram matching contributes about +7%; and Yao Relations recovery contributes +11.1% (base system 79.9% to YLYW-V19 91.0%). The entire system runs on a single CPU core with 2GB RAM, completing the 134-game evaluation in under 7 minutes, fully deterministic and auditable.</w:t>
      </w:r>
    </w:p>
    <w:p>
      <w:pPr>
        <w:pStyle w:val="Heading1"/>
        <w:ind w:firstLine="0"/>
      </w:pPr>
      <w:r>
        <w:rPr>
          <w:color w:val="000000"/>
        </w:rPr>
        <w:t>1. Introduction</w:t>
      </w:r>
    </w:p>
    <w:p>
      <w:r>
        <w:rPr>
          <w:rFonts w:ascii="Times New Roman" w:hAnsi="Times New Roman"/>
          <w:b w:val="0"/>
          <w:i w:val="0"/>
          <w:sz w:val="22"/>
        </w:rPr>
        <w:t>Embodied task planning requires agents to translate natural language into executable actions. The ALFWorld benchmark (Shridhar et al.,2020,2021) requires agents to navigate rooms, manipulate objects, and execute multi-step tasks under partial observability with only text observations.</w:t>
      </w:r>
    </w:p>
    <w:p>
      <w:r>
        <w:rPr>
          <w:rFonts w:ascii="Times New Roman" w:hAnsi="Times New Roman"/>
          <w:b w:val="0"/>
          <w:i w:val="0"/>
          <w:sz w:val="22"/>
        </w:rPr>
        <w:t>The LLM paradigm ReAct (Yao et al.,2023), SayCan (Ahn et al.,2022), Code-as-Policies (Liang et al.,2023) relies on billion-parameter models achieving 40-70% on ALFWorld. Yet this faces a triple bottleneck: deployment cost and latency, black-box interpretability, and non-reproducibility.</w:t>
      </w:r>
    </w:p>
    <w:p>
      <w:r>
        <w:rPr>
          <w:rFonts w:ascii="Times New Roman" w:hAnsi="Times New Roman"/>
          <w:b w:val="0"/>
          <w:i w:val="0"/>
          <w:sz w:val="22"/>
        </w:rPr>
        <w:t>The I Ching as Decision Engine. From a computational perspective, the ancient Chinese Book of Changes contains a highly formalized decision system: 8 trigrams as primitive concept bases, 64 hexagrams (2^6=64) as complete state space, and yao relations as situation analysis grammar. YLYW operationalizes this system on a mainstream AI benchmark for the first time.</w:t>
      </w:r>
    </w:p>
    <w:p>
      <w:r>
        <w:rPr>
          <w:rFonts w:ascii="Times New Roman" w:hAnsi="Times New Roman"/>
          <w:b/>
          <w:i w:val="0"/>
          <w:sz w:val="22"/>
        </w:rPr>
        <w:t>Key contributions:</w:t>
      </w:r>
    </w:p>
    <w:p>
      <w:r>
        <w:rPr>
          <w:rFonts w:ascii="Times New Roman" w:hAnsi="Times New Roman"/>
          <w:b w:val="0"/>
          <w:i w:val="0"/>
          <w:sz w:val="22"/>
        </w:rPr>
        <w:t>1. Three-layer I Ching reasoning architecture (L1 Trigram to L2 Yao to L3 Hexagram).</w:t>
      </w:r>
    </w:p>
    <w:p>
      <w:r>
        <w:rPr>
          <w:rFonts w:ascii="Times New Roman" w:hAnsi="Times New Roman"/>
          <w:b w:val="0"/>
          <w:i w:val="0"/>
          <w:sz w:val="22"/>
        </w:rPr>
        <w:t>2. Semantic understanding pipeline mapping English task descriptions to structured hexagram representations.</w:t>
      </w:r>
    </w:p>
    <w:p>
      <w:r>
        <w:rPr>
          <w:rFonts w:ascii="Times New Roman" w:hAnsi="Times New Roman"/>
          <w:b w:val="0"/>
          <w:i w:val="0"/>
          <w:sz w:val="22"/>
        </w:rPr>
        <w:t>3. Zhiji Learning: one-shot experience accumulation from execution trajectories.</w:t>
      </w:r>
    </w:p>
    <w:p>
      <w:r>
        <w:rPr>
          <w:rFonts w:ascii="Times New Roman" w:hAnsi="Times New Roman"/>
          <w:b w:val="0"/>
          <w:i w:val="0"/>
          <w:sz w:val="22"/>
        </w:rPr>
        <w:t>4. Yao Relations diagnostic calculus with formal mathematical definitions and targeted recovery strategies.</w:t>
      </w:r>
    </w:p>
    <w:p>
      <w:r>
        <w:rPr>
          <w:rFonts w:ascii="Times New Roman" w:hAnsi="Times New Roman"/>
          <w:b w:val="0"/>
          <w:i w:val="0"/>
          <w:sz w:val="22"/>
        </w:rPr>
        <w:t>5. Comprehensive evaluation: 91.0% on 134-game ALFWorld with rigorous ablation, efficiency analysis, and failure characterization.</w:t>
      </w:r>
    </w:p>
    <w:p>
      <w:pPr>
        <w:pStyle w:val="Heading1"/>
        <w:ind w:firstLine="0"/>
      </w:pPr>
      <w:r>
        <w:rPr>
          <w:color w:val="000000"/>
        </w:rPr>
        <w:t>2. Related Work</w:t>
      </w:r>
    </w:p>
    <w:p>
      <w:pPr>
        <w:pStyle w:val="Heading2"/>
        <w:ind w:firstLine="0"/>
      </w:pPr>
      <w:r>
        <w:rPr>
          <w:color w:val="000000"/>
        </w:rPr>
        <w:t>2.1 LLM-Based Embodied Planning</w:t>
      </w:r>
    </w:p>
    <w:p>
      <w:r>
        <w:rPr>
          <w:rFonts w:ascii="Times New Roman" w:hAnsi="Times New Roman"/>
          <w:b w:val="0"/>
          <w:i w:val="0"/>
          <w:sz w:val="22"/>
        </w:rPr>
        <w:t>ReAct, SayCan, Code-as-Policies achieve 40-70% on ALFWorld. Fine-tuning 7B models achieves about 70% with local inference, still two orders of magnitude larger than YLYW.</w:t>
      </w:r>
    </w:p>
    <w:p>
      <w:pPr>
        <w:pStyle w:val="Heading2"/>
        <w:ind w:firstLine="0"/>
      </w:pPr>
      <w:r>
        <w:rPr>
          <w:color w:val="000000"/>
        </w:rPr>
        <w:t>2.2 Symbolic Planners</w:t>
      </w:r>
    </w:p>
    <w:p>
      <w:r>
        <w:rPr>
          <w:rFonts w:ascii="Times New Roman" w:hAnsi="Times New Roman"/>
          <w:b w:val="0"/>
          <w:i w:val="0"/>
          <w:sz w:val="22"/>
        </w:rPr>
        <w:t>HTN (Erol et al.,1994), PDDL (McDermott et al.,1998), RL (BUTLER about 20%) are interpretable but struggle with partial observability.</w:t>
      </w:r>
    </w:p>
    <w:p>
      <w:pPr>
        <w:pStyle w:val="Heading2"/>
        <w:ind w:firstLine="0"/>
      </w:pPr>
      <w:r>
        <w:rPr>
          <w:color w:val="000000"/>
        </w:rPr>
        <w:t>2.3 I Ching Inspired AI</w:t>
      </w:r>
    </w:p>
    <w:p>
      <w:r>
        <w:rPr>
          <w:rFonts w:ascii="Times New Roman" w:hAnsi="Times New Roman"/>
          <w:b w:val="0"/>
          <w:i w:val="0"/>
          <w:sz w:val="22"/>
        </w:rPr>
        <w:t>The I Ching has been used as random number generators (Needham,1962) and metaphor for emergent intelligence (Goertzel,1993). This is the first work to operationalize its structural grammar as a competitive decision engine on a standard AI benchmark.</w:t>
      </w:r>
    </w:p>
    <w:p>
      <w:pPr>
        <w:pStyle w:val="Heading1"/>
        <w:ind w:firstLine="0"/>
      </w:pPr>
      <w:r>
        <w:rPr>
          <w:color w:val="000000"/>
        </w:rPr>
        <w:t>3. Philosophical Foundation and Architecture</w:t>
      </w:r>
    </w:p>
    <w:p>
      <w:pPr>
        <w:pStyle w:val="Heading2"/>
        <w:ind w:firstLine="0"/>
      </w:pPr>
      <w:r>
        <w:rPr>
          <w:color w:val="000000"/>
        </w:rPr>
        <w:t>3.1 Computational Nature of the I Ching</w:t>
      </w:r>
    </w:p>
    <w:p>
      <w:r>
        <w:rPr>
          <w:rFonts w:ascii="Times New Roman" w:hAnsi="Times New Roman"/>
          <w:b w:val="0"/>
          <w:i w:val="0"/>
          <w:sz w:val="22"/>
        </w:rPr>
        <w:t>The Xicizhuan states: "The Changes is a paradigm of heaven and earth." This can be reinterpreted as a complete state-space axiom: 8 trigrams as primitive archetypes, 64 hexagrams (2^6=64) covering all configurations, strict yao position semantics (first=beginning, second=center, third=transition, fourth=assistant, fifth=authority, sixth=culmination), and structural relations (Cheng, Bi, Ying, Dangwei, Dezhong) forming a situation analysis grammar.</w:t>
      </w:r>
    </w:p>
    <w:p>
      <w:pPr>
        <w:pStyle w:val="Heading2"/>
        <w:ind w:firstLine="0"/>
      </w:pPr>
      <w:r>
        <w:rPr>
          <w:color w:val="000000"/>
        </w:rPr>
        <w:t>3.2 Three-Layer Architecture</w:t>
      </w:r>
    </w:p>
    <w:p>
      <w:r>
        <w:rPr>
          <w:rFonts w:ascii="Times New Roman" w:hAnsi="Times New Roman"/>
          <w:b w:val="0"/>
          <w:i w:val="0"/>
          <w:sz w:val="22"/>
        </w:rPr>
        <w:t>L1 (TrigramBase): Gaussian similarity matching against 8 trigram prototypes (Qian, Dui, Li, Zhen, Xun, Kan, Gen, Kun), outputting an 8-dimensional membership vector. L2 (YaoEncoder): feature compression into a 6-dimensional yao vector encoding stability, reachability, force requirement, fragility, task priority, and environmental constraint. L3 (HexagramRuleBase): cosine similarity matching against 64 canonical hexagram templates weighted by hand-authored favorability scores. All 443 parameters are hand-crafted from I Ching texts with zero training.</w:t>
      </w:r>
    </w:p>
    <w:p>
      <w:pPr>
        <w:pStyle w:val="Heading2"/>
        <w:ind w:firstLine="0"/>
      </w:pPr>
      <w:r>
        <w:rPr>
          <w:color w:val="000000"/>
        </w:rPr>
        <w:t>3.3 There-Layer Architecture Visualization</w:t>
      </w:r>
    </w:p>
    <w:p>
      <w:r>
        <w:rPr>
          <w:rFonts w:ascii="Times New Roman" w:hAnsi="Times New Roman"/>
          <w:b w:val="0"/>
          <w:i w:val="0"/>
          <w:sz w:val="22"/>
        </w:rPr>
        <w:t>Figure 1 illustrates the complete YLYW three-layer architecture, where dashed arrows represent the Yao Relations feedback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8634"/>
            <w:gridSpan w:val="3"/>
          </w:tcPr>
          <w:p>
            <w:pPr>
              <w:ind w:firstLine="0"/>
              <w:jc w:val="center"/>
            </w:pPr>
            <w:r/>
            <w:r>
              <w:rPr>
                <w:b/>
                <w:sz w:val="18"/>
              </w:rPr>
              <w:t>Feature/Task Input</w:t>
            </w:r>
          </w:p>
        </w:tc>
      </w:tr>
      <w:tr>
        <w:tc>
          <w:tcPr>
            <w:tcW w:type="dxa" w:w="8634"/>
            <w:gridSpan w:val="3"/>
          </w:tcPr>
          <w:p>
            <w:pPr>
              <w:ind w:firstLine="0"/>
              <w:jc w:val="center"/>
            </w:pPr>
            <w:r/>
            <w:r>
              <w:rPr>
                <w:sz w:val="18"/>
              </w:rPr>
              <w:t>L1 Trigram Membership (8-dim): Feature → Gaussian Kernel → 8 Prototypes</w:t>
            </w:r>
          </w:p>
        </w:tc>
      </w:tr>
      <w:tr>
        <w:tc>
          <w:tcPr>
            <w:tcW w:type="dxa" w:w="8634"/>
            <w:gridSpan w:val="3"/>
          </w:tcPr>
          <w:p>
            <w:pPr>
              <w:ind w:firstLine="0"/>
              <w:jc w:val="center"/>
            </w:pPr>
            <w:r/>
            <w:r>
              <w:rPr>
                <w:sz w:val="18"/>
              </w:rPr>
              <w:t>L2 Yao Encoding (6-dim): Stability + Reachability + Force + Fragility + Priority + Constraint</w:t>
            </w:r>
          </w:p>
        </w:tc>
      </w:tr>
      <w:tr>
        <w:tc>
          <w:tcPr>
            <w:tcW w:type="dxa" w:w="8634"/>
            <w:gridSpan w:val="3"/>
          </w:tcPr>
          <w:p>
            <w:pPr>
              <w:ind w:firstLine="0"/>
              <w:jc w:val="center"/>
            </w:pPr>
            <w:r/>
            <w:r>
              <w:rPr>
                <w:sz w:val="18"/>
              </w:rPr>
              <w:t>L3 Hexagram Matching: Cosine Similarity × Favorability × Affinity → Hexagram + Strategy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sz w:val="18"/>
              </w:rPr>
              <w:t>Yao Relations: Cheng/Bi/Ying/Dangwei/Dezhong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sz w:val="18"/>
              </w:rPr>
              <w:t>Diagnosis → Recovery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i/>
                <w:sz w:val="18"/>
              </w:rPr>
              <w:t>Feedback</w:t>
            </w:r>
          </w:p>
        </w:tc>
      </w:tr>
    </w:tbl>
    <w:p>
      <w:pPr>
        <w:ind w:firstLine="0"/>
        <w:jc w:val="center"/>
      </w:pPr>
      <w:r>
        <w:rPr>
          <w:i/>
          <w:sz w:val="18"/>
        </w:rPr>
        <w:t>Figure 1: YLYW three-layer architecture with Yao Relations feedback path</w:t>
      </w:r>
    </w:p>
    <w:p/>
    <w:p>
      <w:pPr>
        <w:pStyle w:val="Heading2"/>
        <w:ind w:firstLine="0"/>
      </w:pPr>
      <w:r>
        <w:rPr>
          <w:color w:val="000000"/>
        </w:rPr>
        <w:t>3.4 Human-Machine Same-Hexagram Principle</w:t>
      </w:r>
    </w:p>
    <w:p>
      <w:r>
        <w:rPr>
          <w:rFonts w:ascii="Times New Roman" w:hAnsi="Times New Roman"/>
          <w:b w:val="0"/>
          <w:i w:val="0"/>
          <w:sz w:val="22"/>
        </w:rPr>
        <w:t>When a human says "this cup is stable," YLYW assigns high Gen (Mountain) membership. When a human says "we need a new direction," YLYW detects Cheng (suppression). This makes the decision chain fully readable, auditable, and debatable.</w:t>
      </w:r>
    </w:p>
    <w:p>
      <w:pPr>
        <w:pStyle w:val="Heading1"/>
        <w:ind w:firstLine="0"/>
      </w:pPr>
      <w:r>
        <w:rPr>
          <w:color w:val="000000"/>
        </w:rPr>
        <w:t>4. Semantic Understanding Pipeline</w:t>
      </w:r>
    </w:p>
    <w:p>
      <w:pPr>
        <w:pStyle w:val="Heading2"/>
        <w:ind w:firstLine="0"/>
      </w:pPr>
      <w:r>
        <w:rPr>
          <w:color w:val="000000"/>
        </w:rPr>
        <w:t>4.1 Three-Layer Semantic Mapping</w:t>
      </w:r>
    </w:p>
    <w:p>
      <w:r>
        <w:rPr>
          <w:rFonts w:ascii="Times New Roman" w:hAnsi="Times New Roman"/>
          <w:b w:val="0"/>
          <w:i w:val="0"/>
          <w:sz w:val="22"/>
        </w:rPr>
        <w:t>Without LLMs, YLYW implements a three-layer semantic pipeline isomorphic to its Classical Chinese version.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1: Word class to trigram membership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Word Class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Dominant Trigram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Virtue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Examples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Action Verb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Zhen(Thunder)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Motion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take,put,clean,heat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Object Noun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Kun(Earth)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Bearing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apple,plate,mug,cloth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Location Noun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Gen(Mountain)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Stillness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drawer,cabinet,sink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Tool/Light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Li(Fire)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Light/Adherence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lamp,light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Function Word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Xun(Wind)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Boundary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a,the,and,from</w:t>
            </w:r>
          </w:p>
        </w:tc>
      </w:tr>
    </w:tbl>
    <w:p/>
    <w:p>
      <w:pPr>
        <w:pStyle w:val="Heading1"/>
        <w:ind w:firstLine="0"/>
      </w:pPr>
      <w:r>
        <w:rPr>
          <w:color w:val="000000"/>
        </w:rPr>
        <w:t>5. Zhiji Learning</w:t>
      </w:r>
    </w:p>
    <w:p>
      <w:pPr>
        <w:pStyle w:val="Heading2"/>
        <w:ind w:firstLine="0"/>
      </w:pPr>
      <w:r>
        <w:rPr>
          <w:color w:val="000000"/>
        </w:rPr>
        <w:t>5.1 Philosophical Root</w:t>
      </w:r>
    </w:p>
    <w:p>
      <w:r>
        <w:rPr>
          <w:rFonts w:ascii="Times New Roman" w:hAnsi="Times New Roman"/>
          <w:b w:val="0"/>
          <w:i w:val="0"/>
          <w:sz w:val="22"/>
        </w:rPr>
        <w:t>From the Xicizhuan: "To know the subtle beginnings, is this not spirit-like?" YLYW engineers Zhiji as three layers of online experience accumulation, all CPU-only.</w:t>
      </w:r>
    </w:p>
    <w:p>
      <w:pPr>
        <w:pStyle w:val="Heading2"/>
        <w:ind w:firstLine="0"/>
      </w:pPr>
      <w:r>
        <w:rPr>
          <w:color w:val="000000"/>
        </w:rPr>
        <w:t>5.2 Synonym Calibration</w:t>
      </w:r>
    </w:p>
    <w:p>
      <w:r>
        <w:rPr>
          <w:rFonts w:ascii="Times New Roman" w:hAnsi="Times New Roman"/>
          <w:b w:val="0"/>
          <w:i w:val="0"/>
          <w:sz w:val="22"/>
        </w:rPr>
        <w:t>Extracts entity names from admissible commands, cross-matches with task description vocabulary. One-shot learning. For example, description "cup" maps to environment "mug".</w:t>
      </w:r>
    </w:p>
    <w:p>
      <w:pPr>
        <w:pStyle w:val="Heading2"/>
        <w:ind w:firstLine="0"/>
      </w:pPr>
      <w:r>
        <w:rPr>
          <w:color w:val="000000"/>
        </w:rPr>
        <w:t>5.3 Location Prior Calibration</w:t>
      </w:r>
    </w:p>
    <w:p>
      <w:r>
        <w:rPr>
          <w:rFonts w:ascii="Times New Roman" w:hAnsi="Times New Roman"/>
          <w:b w:val="0"/>
          <w:i w:val="0"/>
          <w:sz w:val="22"/>
        </w:rPr>
        <w:t>Accumulates spatial distribution statistics across games. Location priors inject scoring bonuses into yao encoding in subsequent tasks.</w:t>
      </w:r>
    </w:p>
    <w:p>
      <w:pPr>
        <w:pStyle w:val="Heading2"/>
        <w:ind w:firstLine="0"/>
      </w:pPr>
      <w:r>
        <w:rPr>
          <w:color w:val="000000"/>
        </w:rPr>
        <w:t>5.4 Scene Structure Calibration</w:t>
      </w:r>
    </w:p>
    <w:p>
      <w:r>
        <w:rPr>
          <w:rFonts w:ascii="Times New Roman" w:hAnsi="Times New Roman"/>
          <w:b w:val="0"/>
          <w:i w:val="0"/>
          <w:sz w:val="22"/>
        </w:rPr>
        <w:t>Maintains per-scene K_scene = {openable_containers, empty_locations, location_contents}. Design principle: error-tolerant prior calibration.</w:t>
      </w:r>
    </w:p>
    <w:p>
      <w:pPr>
        <w:pStyle w:val="Heading1"/>
        <w:ind w:firstLine="0"/>
      </w:pPr>
      <w:r>
        <w:rPr>
          <w:color w:val="000000"/>
        </w:rPr>
        <w:t>6. Yao Relations Diagnostic Calculus</w:t>
      </w:r>
    </w:p>
    <w:p>
      <w:pPr>
        <w:pStyle w:val="Heading2"/>
        <w:ind w:firstLine="0"/>
      </w:pPr>
      <w:r>
        <w:rPr>
          <w:color w:val="000000"/>
        </w:rPr>
        <w:t>6.1 Formal Definitions</w:t>
      </w:r>
    </w:p>
    <w:p>
      <w:r>
        <w:rPr>
          <w:rFonts w:ascii="Times New Roman" w:hAnsi="Times New Roman"/>
          <w:b w:val="0"/>
          <w:i w:val="0"/>
          <w:sz w:val="22"/>
        </w:rPr>
        <w:t>Definition 1 (Cheng/Riding). For yao vector y in [0,1]^6, if exists i in {1,...,5} such that y_{i+1} &lt; 0.3 and y_i &gt; 0.7, then (i,i+1) is a Riding relation. High Cheng_count diagnoses external resistance.</w:t>
      </w:r>
    </w:p>
    <w:p>
      <w:r>
        <w:rPr>
          <w:rFonts w:ascii="Times New Roman" w:hAnsi="Times New Roman"/>
          <w:b w:val="0"/>
          <w:i w:val="0"/>
          <w:sz w:val="22"/>
        </w:rPr>
        <w:t>Definition 2 (Ying/Responding). Let y_scene = (y1,y2,y3) and y_task = (y4,y5,y6). Ying_count = number of corresponding positions sharing the same sign. Ying_count = 0 indicates strategy mismatch.</w:t>
      </w:r>
    </w:p>
    <w:p>
      <w:r>
        <w:rPr>
          <w:rFonts w:ascii="Times New Roman" w:hAnsi="Times New Roman"/>
          <w:b w:val="0"/>
          <w:i w:val="0"/>
          <w:sz w:val="22"/>
        </w:rPr>
        <w:t>Definition 3 (Dangwei/Correct Position). Dangwei = (count(y_i&gt;0.5 for i in {1,3,5}) + count(y_j&lt;0.5 for j in {2,4,6})) / 3.</w:t>
      </w:r>
    </w:p>
    <w:p>
      <w:r>
        <w:rPr>
          <w:rFonts w:ascii="Times New Roman" w:hAnsi="Times New Roman"/>
          <w:b w:val="0"/>
          <w:i w:val="0"/>
          <w:sz w:val="22"/>
        </w:rPr>
        <w:t>Definition 4 (Dezhong/Holding Center). Dezhong = (I[y2&gt;0.5] + I[y5&gt;0.5]) / 2. Low Dezhong indicates lost direction.</w:t>
      </w:r>
    </w:p>
    <w:p>
      <w:pPr>
        <w:pStyle w:val="Heading2"/>
        <w:ind w:firstLine="0"/>
      </w:pPr>
      <w:r>
        <w:rPr>
          <w:color w:val="000000"/>
        </w:rPr>
        <w:t>6.2 Diagnostic Pipeline</w:t>
      </w:r>
    </w:p>
    <w:p>
      <w:r>
        <w:rPr>
          <w:rFonts w:ascii="Times New Roman" w:hAnsi="Times New Roman"/>
          <w:b w:val="0"/>
          <w:i w:val="0"/>
          <w:sz w:val="22"/>
        </w:rPr>
        <w:t>When YLYW detects an empty productive action pool: (1) build Chinese situation description; (2) perceive scene_yao and task_yao; (3) compute delta-y = y_task minus y_scene; (4) run Yao Relations on all three yao vectors; (5) priority-ordered diagnosis with targeted recovery.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2: Targeted recovery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Diagnosis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Trigger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Recovery Action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external_resistance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Cheng&gt;=2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Force unopened container attention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strategy_mismatch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Ying=0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Switch task mode (pickup vs exploration)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lost_direction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Dezhong&lt;0.25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Expand search radius, new rooms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position_mismatch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|dy1|&gt;0.3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Adjust candidate search direction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attention_mismatch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|dy5|&gt;0.3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Force look to re-evaluate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stagnant_perception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yao variance&lt;0.06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Inject random exploration</w:t>
            </w:r>
          </w:p>
        </w:tc>
      </w:tr>
      <w:tr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default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None trigger</w:t>
            </w:r>
          </w:p>
        </w:tc>
        <w:tc>
          <w:tcPr>
            <w:tcW w:type="dxa" w:w="287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Frontier reset (base system fallback)</w:t>
            </w:r>
          </w:p>
        </w:tc>
      </w:tr>
    </w:tbl>
    <w:p/>
    <w:p>
      <w:pPr>
        <w:pStyle w:val="Heading1"/>
        <w:ind w:firstLine="0"/>
      </w:pPr>
      <w:r>
        <w:rPr>
          <w:color w:val="000000"/>
        </w:rPr>
        <w:t>7. Experiments</w:t>
      </w:r>
    </w:p>
    <w:p>
      <w:pPr>
        <w:pStyle w:val="Heading2"/>
        <w:ind w:firstLine="0"/>
      </w:pPr>
      <w:r>
        <w:rPr>
          <w:color w:val="000000"/>
        </w:rPr>
        <w:t>7.1 Setup</w:t>
      </w:r>
    </w:p>
    <w:p>
      <w:r>
        <w:rPr>
          <w:rFonts w:ascii="Times New Roman" w:hAnsi="Times New Roman"/>
          <w:b w:val="0"/>
          <w:i w:val="0"/>
          <w:sz w:val="22"/>
        </w:rPr>
        <w:t>Benchmark: ALFWorld valid_unseen, 134 games, 7 task types. Max 50 steps, 180s timeout. Hardware: single CPU core, 2GB RAM, no GPU, no API.</w:t>
      </w:r>
    </w:p>
    <w:p>
      <w:pPr>
        <w:pStyle w:val="Heading2"/>
        <w:ind w:firstLine="0"/>
      </w:pPr>
      <w:r>
        <w:rPr>
          <w:color w:val="000000"/>
        </w:rPr>
        <w:t>7.2 Main Results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3: Main results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Method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Params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Deterministic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Success Rate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YLYW-V19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91.0%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YLYW base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443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Yes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79.9%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ReAct(GPT-4)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GPT-4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&gt;1T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~65%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SayCan(PaLM)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PaLM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540B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~55%</w:t>
            </w:r>
          </w:p>
        </w:tc>
      </w:tr>
      <w:tr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BUTLER(RL)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</w:t>
            </w:r>
          </w:p>
        </w:tc>
        <w:tc>
          <w:tcPr>
            <w:tcW w:type="dxa" w:w="1727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~20%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2: Success rate comparison across methods</w:t>
      </w:r>
    </w:p>
    <w:p>
      <w:pPr>
        <w:pStyle w:val="Heading2"/>
        <w:ind w:firstLine="0"/>
      </w:pPr>
      <w:r>
        <w:rPr>
          <w:color w:val="000000"/>
        </w:rPr>
        <w:t>7.3 Ablation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4: Ablation study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Variant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Removed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Success Rate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Change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YLYW-V19 full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None (baseline)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91.0%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Yao Relations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Diagnostic layer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79.9%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-11.1%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hexagram matching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64-hexagram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~-19%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zhiji learning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Cross-game memory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~-17%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No semantic parsing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Language parsing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~62%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~-29%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2"/>
        </w:rPr>
        <w:t>The semantic pipeline provides foundational task understanding. 64-hexagram matching contributes about +7%. Zhiji Learning contributes about +5-6%. Yao Relations contributes +11.1%. Components are largely orthogonal (62+7+6+11=86, approaching 91).</w:t>
      </w:r>
    </w:p>
    <w:p>
      <w:pPr>
        <w:pStyle w:val="Heading2"/>
        <w:ind w:firstLine="0"/>
      </w:pPr>
      <w:r>
        <w:rPr>
          <w:color w:val="000000"/>
        </w:rPr>
        <w:t>7.4 Task Type Breakdown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5: Per-task-type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Task Type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Base System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YLYW-V19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Delta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pick_clean_then_place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87.5%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+6.3%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pick_cool_then_place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78.6%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92.9%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+14.3%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pick_heat_then_place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81.3%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93.8%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+12.5%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pick_two_obj_and_place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77.3%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90.9%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+13.6%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look_at_obj_in_light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96.7%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+3.4%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pick_and_place_simple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83.3%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94.4%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+11.1%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pick_and_place_w/movable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50.0%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72.2%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+22.2%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gmen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3: Base system vs YLYW-V19 per-segment comparison</w:t>
      </w:r>
    </w:p>
    <w:p>
      <w:pPr>
        <w:pStyle w:val="Heading2"/>
        <w:ind w:firstLine="0"/>
      </w:pPr>
      <w:r>
        <w:rPr>
          <w:color w:val="000000"/>
        </w:rPr>
        <w:t>7.5 Efficiency</w:t>
      </w:r>
    </w:p>
    <w:p>
      <w:pPr>
        <w:ind w:firstLine="0"/>
        <w:jc w:val="center"/>
      </w:pPr>
      <w:r>
        <w:rPr>
          <w:rFonts w:ascii="Times New Roman" w:hAnsi="Times New Roman"/>
          <w:b/>
          <w:sz w:val="18"/>
        </w:rPr>
        <w:t>Table 6: Efficiency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Metric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Base System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YLYW-V19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Comparison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Per-step compute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0.11s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0.077s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1.4x faster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134-game evaluation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~8min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~7min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Faster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Memory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&lt;100MB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&lt;200MB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Negligible</w:t>
            </w:r>
          </w:p>
        </w:tc>
      </w:tr>
      <w:tr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Cost/game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$0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$0</w:t>
            </w:r>
          </w:p>
        </w:tc>
        <w:tc>
          <w:tcPr>
            <w:tcW w:type="dxa" w:w="215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—</w:t>
            </w:r>
          </w:p>
        </w:tc>
      </w:tr>
    </w:tbl>
    <w:p/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8912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tep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i/>
          <w:sz w:val="18"/>
        </w:rPr>
        <w:t>Figure 4: YLYW-V19 won-games step distribution (median=8)</w:t>
      </w:r>
    </w:p>
    <w:p>
      <w:pPr>
        <w:pStyle w:val="Heading2"/>
        <w:ind w:firstLine="0"/>
      </w:pPr>
      <w:r>
        <w:rPr>
          <w:color w:val="000000"/>
        </w:rPr>
        <w:t>7.6 Failure Analysis</w:t>
      </w:r>
    </w:p>
    <w:p>
      <w:r>
        <w:rPr>
          <w:rFonts w:ascii="Times New Roman" w:hAnsi="Times New Roman"/>
          <w:b w:val="0"/>
          <w:i w:val="0"/>
          <w:sz w:val="22"/>
        </w:rPr>
        <w:t>12 failures (8.9%), all timeouts. No early failures. Hardest segment (indices 128-134): YLYW-V19=100% (7/7), base system=42.9% (3/7).</w:t>
      </w:r>
    </w:p>
    <w:p>
      <w:pPr>
        <w:pStyle w:val="Heading1"/>
        <w:ind w:firstLine="0"/>
      </w:pPr>
      <w:r>
        <w:rPr>
          <w:color w:val="000000"/>
        </w:rPr>
        <w:t>8. Discussion</w:t>
      </w:r>
    </w:p>
    <w:p>
      <w:pPr>
        <w:pStyle w:val="Heading2"/>
        <w:ind w:firstLine="0"/>
      </w:pPr>
      <w:r>
        <w:rPr>
          <w:color w:val="000000"/>
        </w:rPr>
        <w:t>8.1 Why Does Hexagram Reasoning Work?</w:t>
      </w:r>
    </w:p>
    <w:p>
      <w:r>
        <w:rPr>
          <w:rFonts w:ascii="Times New Roman" w:hAnsi="Times New Roman"/>
          <w:b w:val="0"/>
          <w:i w:val="0"/>
          <w:sz w:val="22"/>
        </w:rPr>
        <w:t>Structural: 64 hexagrams as complete 6-bit codebook, isomorphic to product quantization (Jegou et al.,2011). Information-theoretic: favorability table injects 64 bits of prior knowledge. Epistemological: millennia of refinement may have converged on effective situational factorization.</w:t>
      </w:r>
    </w:p>
    <w:p>
      <w:pPr>
        <w:pStyle w:val="Heading2"/>
        <w:ind w:firstLine="0"/>
      </w:pPr>
      <w:r>
        <w:rPr>
          <w:color w:val="000000"/>
        </w:rPr>
        <w:t>8.2 Interpretability</w:t>
      </w:r>
    </w:p>
    <w:p>
      <w:r>
        <w:rPr>
          <w:rFonts w:ascii="Times New Roman" w:hAnsi="Times New Roman"/>
          <w:b w:val="0"/>
          <w:i w:val="0"/>
          <w:sz w:val="22"/>
        </w:rPr>
        <w:t>Complete reasoning chain available at every decision point. Not a black box but a debatable, auditable, improvable process.</w:t>
      </w:r>
    </w:p>
    <w:p>
      <w:pPr>
        <w:pStyle w:val="Heading2"/>
        <w:ind w:firstLine="0"/>
      </w:pPr>
      <w:r>
        <w:rPr>
          <w:color w:val="000000"/>
        </w:rPr>
        <w:t>8.3 Limitations</w:t>
      </w:r>
    </w:p>
    <w:p>
      <w:r>
        <w:rPr>
          <w:rFonts w:ascii="Times New Roman" w:hAnsi="Times New Roman"/>
          <w:b w:val="0"/>
          <w:i w:val="0"/>
          <w:sz w:val="22"/>
        </w:rPr>
        <w:t>Yao encoding is hand-designed. 64 classical hexagrams may not be optimal. Currently limited to ALFWorld English.</w:t>
      </w:r>
    </w:p>
    <w:p>
      <w:pPr>
        <w:pStyle w:val="Heading1"/>
        <w:ind w:firstLine="0"/>
      </w:pPr>
      <w:r>
        <w:rPr>
          <w:color w:val="000000"/>
        </w:rPr>
        <w:t>9. Conclusion</w:t>
      </w:r>
    </w:p>
    <w:p>
      <w:r>
        <w:rPr>
          <w:rFonts w:ascii="Times New Roman" w:hAnsi="Times New Roman"/>
          <w:b w:val="0"/>
          <w:i w:val="0"/>
          <w:sz w:val="22"/>
        </w:rPr>
        <w:t>YLYW-V19 achieves 91.0% on ALFWorld, demonstrating that structured I Ching symbolic reasoning with no neural networks, 443 parameters, and 7 minutes to run 134 games remains a viable and severely under-explored path toward practical embodied intelligence in the age of large models.</w:t>
      </w:r>
    </w:p>
    <w:p>
      <w:pPr>
        <w:pStyle w:val="Heading1"/>
        <w:ind w:firstLine="0"/>
      </w:pPr>
      <w:r>
        <w:rPr>
          <w:color w:val="000000"/>
        </w:rPr>
        <w:t>References</w:t>
      </w:r>
    </w:p>
    <w:p>
      <w:pPr>
        <w:ind w:firstLine="420"/>
      </w:pPr>
      <w:r>
        <w:rPr>
          <w:rFonts w:ascii="Times New Roman" w:hAnsi="Times New Roman"/>
          <w:sz w:val="18"/>
        </w:rPr>
        <w:t>1. Wang,B. and Han,K. Commentary on the Zhouyi. 3rd c. CE.</w:t>
      </w:r>
    </w:p>
    <w:p>
      <w:pPr>
        <w:ind w:firstLine="420"/>
      </w:pPr>
      <w:r>
        <w:rPr>
          <w:rFonts w:ascii="Times New Roman" w:hAnsi="Times New Roman"/>
          <w:sz w:val="18"/>
        </w:rPr>
        <w:t>2. Gao,H. Modern Commentary on the Zhouyi. Qilu Press, 1994.</w:t>
      </w:r>
    </w:p>
    <w:p>
      <w:pPr>
        <w:ind w:firstLine="420"/>
      </w:pPr>
      <w:r>
        <w:rPr>
          <w:rFonts w:ascii="Times New Roman" w:hAnsi="Times New Roman"/>
          <w:sz w:val="18"/>
        </w:rPr>
        <w:t>3. Wilhelm,R. and Baynes,C. The I Ching or Book of Changes. Princeton UP, 1967.</w:t>
      </w:r>
    </w:p>
    <w:p>
      <w:pPr>
        <w:ind w:firstLine="420"/>
      </w:pPr>
      <w:r>
        <w:rPr>
          <w:rFonts w:ascii="Times New Roman" w:hAnsi="Times New Roman"/>
          <w:sz w:val="18"/>
        </w:rPr>
        <w:t>4. Shridhar,M.,et al. ALFRED. CVPR 2020.</w:t>
      </w:r>
    </w:p>
    <w:p>
      <w:pPr>
        <w:ind w:firstLine="420"/>
      </w:pPr>
      <w:r>
        <w:rPr>
          <w:rFonts w:ascii="Times New Roman" w:hAnsi="Times New Roman"/>
          <w:sz w:val="18"/>
        </w:rPr>
        <w:t>5. Shridhar,M.,et al. ALFWorld. ICLR 2021.</w:t>
      </w:r>
    </w:p>
    <w:p>
      <w:pPr>
        <w:ind w:firstLine="420"/>
      </w:pPr>
      <w:r>
        <w:rPr>
          <w:rFonts w:ascii="Times New Roman" w:hAnsi="Times New Roman"/>
          <w:sz w:val="18"/>
        </w:rPr>
        <w:t>6. Yao,S.,et al. ReAct. ICLR 2023.</w:t>
      </w:r>
    </w:p>
    <w:p>
      <w:pPr>
        <w:ind w:firstLine="420"/>
      </w:pPr>
      <w:r>
        <w:rPr>
          <w:rFonts w:ascii="Times New Roman" w:hAnsi="Times New Roman"/>
          <w:sz w:val="18"/>
        </w:rPr>
        <w:t>7. Ahn,M.,et al. SayCan. CoRL 2022.</w:t>
      </w:r>
    </w:p>
    <w:p>
      <w:pPr>
        <w:ind w:firstLine="420"/>
      </w:pPr>
      <w:r>
        <w:rPr>
          <w:rFonts w:ascii="Times New Roman" w:hAnsi="Times New Roman"/>
          <w:sz w:val="18"/>
        </w:rPr>
        <w:t>8. Liang,J.,et al. Code-as-Policies. ICRA 2023.</w:t>
      </w:r>
    </w:p>
    <w:p>
      <w:pPr>
        <w:ind w:firstLine="420"/>
      </w:pPr>
      <w:r>
        <w:rPr>
          <w:rFonts w:ascii="Times New Roman" w:hAnsi="Times New Roman"/>
          <w:sz w:val="18"/>
        </w:rPr>
        <w:t>9. Jegou,H.,et al. Product Quantization. IEEE TPAMI 2011.</w:t>
      </w:r>
    </w:p>
    <w:p>
      <w:pPr>
        <w:ind w:firstLine="420"/>
      </w:pPr>
      <w:r>
        <w:rPr>
          <w:rFonts w:ascii="Times New Roman" w:hAnsi="Times New Roman"/>
          <w:sz w:val="18"/>
        </w:rPr>
        <w:t>10. Needham,J. Science and Civilisation in China, Vol.2. Cambridge UP, 1962.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ind w:firstLine="4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