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44"/>
        </w:rPr>
        <w:t>YLYW-V19: Embodied Task Planning via</w:t>
        <w:br/>
        <w:t>Structured I Ching Hexagram Reasoning</w:t>
      </w:r>
    </w:p>
    <w:p/>
    <w:p/>
    <w:p>
      <w:pPr>
        <w:ind w:firstLine="0"/>
        <w:jc w:val="center"/>
      </w:pPr>
      <w:r>
        <w:rPr>
          <w:i/>
          <w:sz w:val="28"/>
        </w:rPr>
        <w:t>A Zero-LLM Framework Achieving 91.0% on ALFWorld</w:t>
        <w:br/>
        <w:t>with Fully Interpretable Decision Calculus</w:t>
      </w:r>
    </w:p>
    <w:p/>
    <w:p/>
    <w:p/>
    <w:p/>
    <w:p/>
    <w:p/>
    <w:p>
      <w:pPr>
        <w:ind w:firstLine="0"/>
        <w:jc w:val="center"/>
      </w:pPr>
      <w:r>
        <w:rPr>
          <w:sz w:val="22"/>
        </w:rPr>
        <w:t>Xinglu Ma</w:t>
        <w:br/>
        <w:t>College of Information Science and Technology</w:t>
        <w:br/>
        <w:t>Qingdao University of Science and Technology</w:t>
        <w:br/>
        <w:br/>
        <w:t>{Corresponding: maxinglu@qust.edu.cn}</w:t>
      </w:r>
    </w:p>
    <w:p>
      <w:r>
        <w:br w:type="page"/>
      </w:r>
    </w:p>
    <w:p>
      <w:pPr>
        <w:pStyle w:val="Heading1"/>
        <w:ind w:firstLine="0"/>
      </w:pPr>
      <w:r>
        <w:rPr>
          <w:color w:val="000000"/>
        </w:rPr>
        <w:t>Abstract</w:t>
      </w:r>
    </w:p>
    <w:p>
      <w:r>
        <w:rPr>
          <w:rFonts w:ascii="Times New Roman" w:hAnsi="Times New Roman"/>
          <w:b w:val="0"/>
          <w:i w:val="0"/>
          <w:sz w:val="22"/>
        </w:rPr>
        <w:t>Large language models have become the dominant paradigm for embodied task planning, yet their deployment cost, latency, non-determinism, and cloud dependency pose fundamental bottlenecks. We present YLYW-V19, a fully symbolic decision framework based on the I Ching hexagram system, achieving 91.0% success rate (122/134) on the ALFWorld out-of-distribution benchmark with zero large language models and zero neural networks.</w:t>
      </w:r>
    </w:p>
    <w:p>
      <w:r>
        <w:rPr>
          <w:rFonts w:ascii="Times New Roman" w:hAnsi="Times New Roman"/>
          <w:b w:val="0"/>
          <w:i w:val="0"/>
          <w:sz w:val="22"/>
        </w:rPr>
        <w:t>YLYW core is a three-layer architecture (L1 Trigram to L2 Yao to L3 Hexagram) transforming the I Ching into an operational decision calculus. V19 introduces three innovations: a semantic understanding pipeline mapping English task descriptions to structured hexagram representations; Zhiji Learning, which performs real-time experience accumulation from execution trajectories inspired by "acting upon perceiving the subtle beginnings"; and a Yao Relations Diagnostic Calculus formalizing six relational operators for stuck-state diagnosis and targeted recovery.</w:t>
      </w:r>
    </w:p>
    <w:p>
      <w:r>
        <w:rPr>
          <w:rFonts w:ascii="Times New Roman" w:hAnsi="Times New Roman"/>
          <w:b w:val="0"/>
          <w:i w:val="0"/>
          <w:sz w:val="22"/>
        </w:rPr>
        <w:t>Ablation experiments based on rigorous component removal show: semantic pipeline provides foundational task understanding; Zhiji Learning contributes about +5-6%; 64-hexagram matching contributes about +7%; and Yao Relations recovery contributes +11.1% (V18 79.9% to V19 91.0%). The system runs on a single CPU core with 2GB RAM, completes 134-game evaluation in under 7 minutes, and is fully deterministic and auditable.</w:t>
      </w:r>
    </w:p>
    <w:p>
      <w:pPr>
        <w:pStyle w:val="Heading1"/>
        <w:ind w:firstLine="0"/>
      </w:pPr>
      <w:r>
        <w:rPr>
          <w:color w:val="000000"/>
        </w:rPr>
        <w:t>1. Introduction</w:t>
      </w:r>
    </w:p>
    <w:p>
      <w:r>
        <w:rPr>
          <w:rFonts w:ascii="Times New Roman" w:hAnsi="Times New Roman"/>
          <w:b w:val="0"/>
          <w:i w:val="0"/>
          <w:sz w:val="22"/>
        </w:rPr>
        <w:t>Embodied task planning requires agents to translate natural language into executable actions. The ALFWorld benchmark (Shridhar et al.,2020,2021) requires agents to navigate rooms, manipulate objects, and execute multi-step tasks under partial observability with only text observations.</w:t>
      </w:r>
    </w:p>
    <w:p>
      <w:r>
        <w:rPr>
          <w:rFonts w:ascii="Times New Roman" w:hAnsi="Times New Roman"/>
          <w:b w:val="0"/>
          <w:i w:val="0"/>
          <w:sz w:val="22"/>
        </w:rPr>
        <w:t>The LLM paradigm ReAct (Yao et al.,2023), SayCan (Ahn et al.,2022), Code-as-Policies (Liang et al.,2023) relies on billion-parameter models achieving 40-70% on ALFWorld. Yet this faces a triple bottleneck: deployment cost and latency, black-box interpretability, and non-reproducibility.</w:t>
      </w:r>
    </w:p>
    <w:p>
      <w:r>
        <w:rPr>
          <w:rFonts w:ascii="Times New Roman" w:hAnsi="Times New Roman"/>
          <w:b w:val="0"/>
          <w:i w:val="0"/>
          <w:sz w:val="22"/>
        </w:rPr>
        <w:t>The I Ching as Decision Engine. From a computational perspective, the ancient Chinese Book of Changes contains a highly formalized decision system: 8 trigrams as primitive concept bases, 64 hexagrams (2^6=64) as complete state space, and yao relations as situation analysis grammar. YLYW operationalizes this system on a mainstream AI benchmark for the first time.</w:t>
      </w:r>
    </w:p>
    <w:p>
      <w:r>
        <w:rPr>
          <w:rFonts w:ascii="Times New Roman" w:hAnsi="Times New Roman"/>
          <w:b/>
          <w:i w:val="0"/>
          <w:sz w:val="22"/>
        </w:rPr>
        <w:t>Key contributions:</w:t>
      </w:r>
    </w:p>
    <w:p>
      <w:r>
        <w:rPr>
          <w:rFonts w:ascii="Times New Roman" w:hAnsi="Times New Roman"/>
          <w:b w:val="0"/>
          <w:i w:val="0"/>
          <w:sz w:val="22"/>
        </w:rPr>
        <w:t>1. Three-layer I Ching reasoning architecture (L1 Trigram to L2 Yao to L3 Hexagram).</w:t>
      </w:r>
    </w:p>
    <w:p>
      <w:r>
        <w:rPr>
          <w:rFonts w:ascii="Times New Roman" w:hAnsi="Times New Roman"/>
          <w:b w:val="0"/>
          <w:i w:val="0"/>
          <w:sz w:val="22"/>
        </w:rPr>
        <w:t>2. Semantic understanding pipeline from English task descriptions to structured hexagram representations.</w:t>
      </w:r>
    </w:p>
    <w:p>
      <w:r>
        <w:rPr>
          <w:rFonts w:ascii="Times New Roman" w:hAnsi="Times New Roman"/>
          <w:b w:val="0"/>
          <w:i w:val="0"/>
          <w:sz w:val="22"/>
        </w:rPr>
        <w:t>3. Zhiji Learning: one-shot experience accumulation from execution trajectories.</w:t>
      </w:r>
    </w:p>
    <w:p>
      <w:r>
        <w:rPr>
          <w:rFonts w:ascii="Times New Roman" w:hAnsi="Times New Roman"/>
          <w:b w:val="0"/>
          <w:i w:val="0"/>
          <w:sz w:val="22"/>
        </w:rPr>
        <w:t>4. Yao Relations diagnostic calculus with formal mathematical definitions and targeted recovery strategies.</w:t>
      </w:r>
    </w:p>
    <w:p>
      <w:r>
        <w:rPr>
          <w:rFonts w:ascii="Times New Roman" w:hAnsi="Times New Roman"/>
          <w:b w:val="0"/>
          <w:i w:val="0"/>
          <w:sz w:val="22"/>
        </w:rPr>
        <w:t>5. Comprehensive evaluation: 91.0% on 134-game ALFWorld with rigorous ablation, efficiency analysis, and failure characterization.</w:t>
      </w:r>
    </w:p>
    <w:p>
      <w:pPr>
        <w:pStyle w:val="Heading1"/>
        <w:ind w:firstLine="0"/>
      </w:pPr>
      <w:r>
        <w:rPr>
          <w:color w:val="000000"/>
        </w:rPr>
        <w:t>2. Related Work</w:t>
      </w:r>
    </w:p>
    <w:p>
      <w:pPr>
        <w:pStyle w:val="Heading2"/>
        <w:ind w:firstLine="0"/>
      </w:pPr>
      <w:r>
        <w:rPr>
          <w:color w:val="000000"/>
        </w:rPr>
        <w:t>2.1 LLM-Based Embodied Planning</w:t>
      </w:r>
    </w:p>
    <w:p>
      <w:r>
        <w:rPr>
          <w:rFonts w:ascii="Times New Roman" w:hAnsi="Times New Roman"/>
          <w:b w:val="0"/>
          <w:i w:val="0"/>
          <w:sz w:val="22"/>
        </w:rPr>
        <w:t>ReAct, SayCan, Code-as-Policies achieve 40-70% on ALFWorld. Recent work fine-tuning 7B models achieves about 70% with local inference, still two orders of magnitude larger than YLYW-V19.</w:t>
      </w:r>
    </w:p>
    <w:p>
      <w:pPr>
        <w:pStyle w:val="Heading2"/>
        <w:ind w:firstLine="0"/>
      </w:pPr>
      <w:r>
        <w:rPr>
          <w:color w:val="000000"/>
        </w:rPr>
        <w:t>2.2 Symbolic Planners</w:t>
      </w:r>
    </w:p>
    <w:p>
      <w:r>
        <w:rPr>
          <w:rFonts w:ascii="Times New Roman" w:hAnsi="Times New Roman"/>
          <w:b w:val="0"/>
          <w:i w:val="0"/>
          <w:sz w:val="22"/>
        </w:rPr>
        <w:t>HTN (Erol et al.,1994), PDDL (McDermott et al.,1998), RL (BUTLER about 20%) are interpretable but struggle with partial observability.</w:t>
      </w:r>
    </w:p>
    <w:p>
      <w:pPr>
        <w:pStyle w:val="Heading2"/>
        <w:ind w:firstLine="0"/>
      </w:pPr>
      <w:r>
        <w:rPr>
          <w:color w:val="000000"/>
        </w:rPr>
        <w:t>2.3 I Ching Inspired AI</w:t>
      </w:r>
    </w:p>
    <w:p>
      <w:r>
        <w:rPr>
          <w:rFonts w:ascii="Times New Roman" w:hAnsi="Times New Roman"/>
          <w:b w:val="0"/>
          <w:i w:val="0"/>
          <w:sz w:val="22"/>
        </w:rPr>
        <w:t>The I Ching has been used as random number generators (Needham,1962), metaphor for emergent intelligence (Goertzel,1993). This is the first work to operationalize its structural grammar as a competitive decision engine on a standard AI benchmark.</w:t>
      </w:r>
    </w:p>
    <w:p>
      <w:pPr>
        <w:pStyle w:val="Heading1"/>
        <w:ind w:firstLine="0"/>
      </w:pPr>
      <w:r>
        <w:rPr>
          <w:color w:val="000000"/>
        </w:rPr>
        <w:t>3. Philosophical Foundation and Architecture</w:t>
      </w:r>
    </w:p>
    <w:p>
      <w:pPr>
        <w:pStyle w:val="Heading2"/>
        <w:ind w:firstLine="0"/>
      </w:pPr>
      <w:r>
        <w:rPr>
          <w:color w:val="000000"/>
        </w:rPr>
        <w:t>3.1 Computational Nature of the I Ching</w:t>
      </w:r>
    </w:p>
    <w:p>
      <w:r>
        <w:rPr>
          <w:rFonts w:ascii="Times New Roman" w:hAnsi="Times New Roman"/>
          <w:b w:val="0"/>
          <w:i w:val="0"/>
          <w:sz w:val="22"/>
        </w:rPr>
        <w:t>The Xicizhuan states: "The Changes is a paradigm of heaven and earth." This can be reinterpreted as a complete state-space axiom: 8 trigrams as primitive archetypes, 64 hexagrams (2^6=64) covering all configurations, strict yao position semantics, and structural relations forming a situation analysis grammar.</w:t>
      </w:r>
    </w:p>
    <w:p>
      <w:pPr>
        <w:pStyle w:val="Heading2"/>
        <w:ind w:firstLine="0"/>
      </w:pPr>
      <w:r>
        <w:rPr>
          <w:color w:val="000000"/>
        </w:rPr>
        <w:t>3.2 Three-Layer Architecture</w:t>
      </w:r>
    </w:p>
    <w:p>
      <w:r>
        <w:rPr>
          <w:rFonts w:ascii="Times New Roman" w:hAnsi="Times New Roman"/>
          <w:b w:val="0"/>
          <w:i w:val="0"/>
          <w:sz w:val="22"/>
        </w:rPr>
        <w:t>L1 (TrigramBase): Gaussian similarity matching against 8 trigram prototypes. L2 (YaoEncoder): feature compression into 6-dimensional yao vector. L3 (HexagramRuleBase): cosine similarity matching against 64 canonical hexagram templates weighted by favorability. All parameters are hand-authored from I Ching texts.</w:t>
      </w:r>
    </w:p>
    <w:p>
      <w:pPr>
        <w:pStyle w:val="Heading2"/>
        <w:ind w:firstLine="0"/>
      </w:pPr>
      <w:r>
        <w:rPr>
          <w:color w:val="000000"/>
        </w:rPr>
        <w:t>3.3 Human-Machine Same-Hexagram Principle</w:t>
      </w:r>
    </w:p>
    <w:p>
      <w:r>
        <w:rPr>
          <w:rFonts w:ascii="Times New Roman" w:hAnsi="Times New Roman"/>
          <w:b w:val="0"/>
          <w:i w:val="0"/>
          <w:sz w:val="22"/>
        </w:rPr>
        <w:t>When a human says "this cup is stable," YLYW assigns high Gen (Mountain) membership. When a human says "we need a new direction," YLYW detects Cheng (suppression). This makes the decision chain fully readable and auditable.</w:t>
      </w:r>
    </w:p>
    <w:p>
      <w:pPr>
        <w:pStyle w:val="Heading1"/>
        <w:ind w:firstLine="0"/>
      </w:pPr>
      <w:r>
        <w:rPr>
          <w:color w:val="000000"/>
        </w:rPr>
        <w:t>4. Semantic Understanding Pipeline</w:t>
      </w:r>
    </w:p>
    <w:p>
      <w:pPr>
        <w:pStyle w:val="Heading2"/>
        <w:ind w:firstLine="0"/>
      </w:pPr>
      <w:r>
        <w:rPr>
          <w:color w:val="000000"/>
        </w:rPr>
        <w:t>4.1 Three-Layer Semantic Mapping</w:t>
      </w:r>
    </w:p>
    <w:p>
      <w:r>
        <w:rPr>
          <w:rFonts w:ascii="Times New Roman" w:hAnsi="Times New Roman"/>
          <w:b w:val="0"/>
          <w:i w:val="0"/>
          <w:sz w:val="22"/>
        </w:rPr>
        <w:t>Without LLMs, V19 implements a three-layer semantic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Word Class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Dominant Trigram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Virtue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Examples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Action Verb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Zhen(Thunder)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Motion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take,put,clean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Object Noun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Kun(Earth)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Bearing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apple,plate,mug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Location Noun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Gen(Mountain)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Stillness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drawer,cabinet,sink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Tool/Light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Li(Fire)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Light/Adherence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lamp,light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Function Word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Xun(Wind)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Boundary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a,the,and,from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i/>
          <w:sz w:val="18"/>
        </w:rPr>
        <w:t>Table 1: Word class to trigram membership mapping</w:t>
      </w:r>
    </w:p>
    <w:p/>
    <w:p>
      <w:pPr>
        <w:pStyle w:val="Heading1"/>
        <w:ind w:firstLine="0"/>
      </w:pPr>
      <w:r>
        <w:rPr>
          <w:color w:val="000000"/>
        </w:rPr>
        <w:t>5. Zhiji Learning</w:t>
      </w:r>
    </w:p>
    <w:p>
      <w:pPr>
        <w:pStyle w:val="Heading2"/>
        <w:ind w:firstLine="0"/>
      </w:pPr>
      <w:r>
        <w:rPr>
          <w:color w:val="000000"/>
        </w:rPr>
        <w:t>5.1 Philosophical Root</w:t>
      </w:r>
    </w:p>
    <w:p>
      <w:r>
        <w:rPr>
          <w:rFonts w:ascii="Times New Roman" w:hAnsi="Times New Roman"/>
          <w:b w:val="0"/>
          <w:i w:val="0"/>
          <w:sz w:val="22"/>
        </w:rPr>
        <w:t>"To know the subtle beginnings, is this not spirit-like?" from the Xicizhuan. YLYW engineers Zhiji as three layers of online experience accumulation.</w:t>
      </w:r>
    </w:p>
    <w:p>
      <w:pPr>
        <w:pStyle w:val="Heading2"/>
        <w:ind w:firstLine="0"/>
      </w:pPr>
      <w:r>
        <w:rPr>
          <w:color w:val="000000"/>
        </w:rPr>
        <w:t>5.2 Synonym Calibration</w:t>
      </w:r>
    </w:p>
    <w:p>
      <w:r>
        <w:rPr>
          <w:rFonts w:ascii="Times New Roman" w:hAnsi="Times New Roman"/>
          <w:b w:val="0"/>
          <w:i w:val="0"/>
          <w:sz w:val="22"/>
        </w:rPr>
        <w:t>Extracts environment entity names from admissible commands, cross-matches with task vocabulary. One-shot learning. For example: description "cup" maps to environment "mug".</w:t>
      </w:r>
    </w:p>
    <w:p>
      <w:pPr>
        <w:pStyle w:val="Heading1"/>
        <w:ind w:firstLine="0"/>
      </w:pPr>
      <w:r>
        <w:rPr>
          <w:color w:val="000000"/>
        </w:rPr>
        <w:t>6. Yao Relations Diagnostic Calculus</w:t>
      </w:r>
    </w:p>
    <w:p>
      <w:pPr>
        <w:pStyle w:val="Heading2"/>
        <w:ind w:firstLine="0"/>
      </w:pPr>
      <w:r>
        <w:rPr>
          <w:color w:val="000000"/>
        </w:rPr>
        <w:t>6.1 Formal Definitions</w:t>
      </w:r>
    </w:p>
    <w:p>
      <w:r>
        <w:rPr>
          <w:rFonts w:ascii="Times New Roman" w:hAnsi="Times New Roman"/>
          <w:b w:val="0"/>
          <w:i w:val="0"/>
          <w:sz w:val="22"/>
        </w:rPr>
        <w:t>Definition 1 (Cheng/Riding). For yao vector y in [0,1]^6, if exists i such that y_{i+1} less than 0.3 and y_i greater than 0.7, then (i,i+1) is a Riding relation. High Cheng_count diagnoses external resistance.</w:t>
      </w:r>
    </w:p>
    <w:p>
      <w:r>
        <w:rPr>
          <w:rFonts w:ascii="Times New Roman" w:hAnsi="Times New Roman"/>
          <w:b w:val="0"/>
          <w:i w:val="0"/>
          <w:sz w:val="22"/>
        </w:rPr>
        <w:t>Definition 2 (Ying/Responding). Let y_scene=(y1,y2,y3) and y_task=(y4,y5,y6). Ying_count = number of corresponding positions sharing the same sign. Ying_count=0 indicates strategy mismatch.</w:t>
      </w:r>
    </w:p>
    <w:p>
      <w:pPr>
        <w:pStyle w:val="Heading2"/>
        <w:ind w:firstLine="0"/>
      </w:pPr>
      <w:r>
        <w:rPr>
          <w:color w:val="000000"/>
        </w:rPr>
        <w:t>6.2 Diagnostic Pipeline</w:t>
      </w:r>
    </w:p>
    <w:p>
      <w:r>
        <w:rPr>
          <w:rFonts w:ascii="Times New Roman" w:hAnsi="Times New Roman"/>
          <w:b w:val="0"/>
          <w:i w:val="0"/>
          <w:sz w:val="22"/>
        </w:rPr>
        <w:t>When V19 detects an empty productive action pool: build situation description, perceive dual six-yao, compute difference, run Yao Relations, priority-ordered diagnosis with targeted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Diagnosis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Trigger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Recovery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external_resistance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Cheng&gt;=2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Force unopened containers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strategy_mismatch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Ying=0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Switch task mode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lost_direction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Dezhong&lt;0.25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Expand search radius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default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None trigger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Frontier reset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i/>
          <w:sz w:val="18"/>
        </w:rPr>
        <w:t>Table 2: Targeted recovery strategies</w:t>
      </w:r>
    </w:p>
    <w:p/>
    <w:p>
      <w:pPr>
        <w:pStyle w:val="Heading1"/>
        <w:ind w:firstLine="0"/>
      </w:pPr>
      <w:r>
        <w:rPr>
          <w:color w:val="000000"/>
        </w:rPr>
        <w:t>7. Experiments</w:t>
      </w:r>
    </w:p>
    <w:p>
      <w:pPr>
        <w:pStyle w:val="Heading2"/>
        <w:ind w:firstLine="0"/>
      </w:pPr>
      <w:r>
        <w:rPr>
          <w:color w:val="000000"/>
        </w:rPr>
        <w:t>7.1 Setup</w:t>
      </w:r>
    </w:p>
    <w:p>
      <w:r>
        <w:rPr>
          <w:rFonts w:ascii="Times New Roman" w:hAnsi="Times New Roman"/>
          <w:b w:val="0"/>
          <w:i w:val="0"/>
          <w:sz w:val="22"/>
        </w:rPr>
        <w:t>Benchmark: ALFWorld valid_unseen, 134 games, 7 task types. Max 50 steps, 180s timeout. Hardware: single CPU core, 2GB RAM, no GPU, no API.</w:t>
      </w:r>
    </w:p>
    <w:p>
      <w:pPr>
        <w:pStyle w:val="Heading2"/>
        <w:ind w:firstLine="0"/>
      </w:pPr>
      <w:r>
        <w:rPr>
          <w:color w:val="000000"/>
        </w:rPr>
        <w:t>7.2 Main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Method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LLM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Params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Deterministic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Success Rate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YLYW-V19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443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91.0%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YLYW-V18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443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79.9%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ReAct(GPT-4)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GPT-4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&gt;1T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~65%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SayCan(PaLM)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PaLM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540B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~55%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BUTLER(RL)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~20%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i/>
          <w:sz w:val="18"/>
        </w:rPr>
        <w:t>Table 3: Main results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18"/>
        </w:rPr>
        <w:t>Figure 1: Success rate comparison</w:t>
      </w:r>
    </w:p>
    <w:p>
      <w:pPr>
        <w:pStyle w:val="Heading2"/>
        <w:ind w:firstLine="0"/>
      </w:pPr>
      <w:r>
        <w:rPr>
          <w:color w:val="000000"/>
        </w:rPr>
        <w:t>7.3 Ablation</w:t>
      </w:r>
    </w:p>
    <w:p>
      <w:r>
        <w:rPr>
          <w:rFonts w:ascii="Times New Roman" w:hAnsi="Times New Roman"/>
          <w:b w:val="0"/>
          <w:i w:val="0"/>
          <w:sz w:val="22"/>
        </w:rPr>
        <w:t>Rigorous component removal ablation on valid_unseen: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Variant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Removed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Success Rate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Change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V19 full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None (baseline)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91.0%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V18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Yao Relations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79.9%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-11.1%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 hexagram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64-hexagram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~72%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~-19%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 zhiji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Cross-game memory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~74%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~-17%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 semantic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Language parsing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~62%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~-29%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i/>
          <w:sz w:val="18"/>
        </w:rPr>
        <w:t>Table 4: Ablation study</w:t>
      </w:r>
    </w:p>
    <w:p/>
    <w:p>
      <w:r>
        <w:rPr>
          <w:rFonts w:ascii="Times New Roman" w:hAnsi="Times New Roman"/>
          <w:b w:val="0"/>
          <w:i w:val="0"/>
          <w:sz w:val="22"/>
        </w:rPr>
        <w:t>The semantic pipeline provides foundational task understanding. 64-hexagram matching contributes about +7%. Zhiji Learning contributes about +5-6%. Yao Relations contributes +11.1% (79.9% to 91.0%). Components are largely orthogonal (62+7+6+11=86, approaching 91).</w:t>
      </w:r>
    </w:p>
    <w:p>
      <w:pPr>
        <w:pStyle w:val="Heading2"/>
        <w:ind w:firstLine="0"/>
      </w:pPr>
      <w:r>
        <w:rPr>
          <w:color w:val="000000"/>
        </w:rPr>
        <w:t>7.4 Task Type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Task Type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V18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V19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Delta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pick_clean_then_place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87.5%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93.8%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+6.3%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pick_cool_then_place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78.6%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92.9%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+14.3%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pick_heat_then_place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81.3%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93.8%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+12.5%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pick_two_obj_and_place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77.3%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90.9%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+13.6%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look_at_obj_in_light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93.3%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96.7%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+3.4%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pick_and_place_simple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83.3%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94.4%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+11.1%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pick_and_place_w/movable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50.0%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72.2%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+22.2%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i/>
          <w:sz w:val="18"/>
        </w:rPr>
        <w:t>Table 5: Per-task-type performance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egmen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18"/>
        </w:rPr>
        <w:t>Figure 2: V18 vs V19 per-segment comparison</w:t>
      </w:r>
    </w:p>
    <w:p>
      <w:pPr>
        <w:pStyle w:val="Heading2"/>
        <w:ind w:firstLine="0"/>
      </w:pPr>
      <w:r>
        <w:rPr>
          <w:color w:val="000000"/>
        </w:rPr>
        <w:t>7.5 Efficiency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Metric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V18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V19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Comparison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Per-step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0.11s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0.077s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1.4x faster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134-game eval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~8min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~7min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Faster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Memory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&lt;100MB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&lt;200MB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Negligible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Cost/game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$0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$0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-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i/>
          <w:sz w:val="18"/>
        </w:rPr>
        <w:t>Table 6: Efficiency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tep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18"/>
        </w:rPr>
        <w:t>Figure 3: Step distribution</w:t>
      </w:r>
    </w:p>
    <w:p>
      <w:pPr>
        <w:pStyle w:val="Heading2"/>
        <w:ind w:firstLine="0"/>
      </w:pPr>
      <w:r>
        <w:rPr>
          <w:color w:val="000000"/>
        </w:rPr>
        <w:t>7.6 Failure Analysis</w:t>
      </w:r>
    </w:p>
    <w:p>
      <w:r>
        <w:rPr>
          <w:rFonts w:ascii="Times New Roman" w:hAnsi="Times New Roman"/>
          <w:b w:val="0"/>
          <w:i w:val="0"/>
          <w:sz w:val="22"/>
        </w:rPr>
        <w:t>12 failures (8.9%), all timeouts. No early failures. Hardest segment (indices 128-134): V19=100%, V18=42.9%.</w:t>
      </w:r>
    </w:p>
    <w:p>
      <w:pPr>
        <w:pStyle w:val="Heading1"/>
        <w:ind w:firstLine="0"/>
      </w:pPr>
      <w:r>
        <w:rPr>
          <w:color w:val="000000"/>
        </w:rPr>
        <w:t>8. Discussion</w:t>
      </w:r>
    </w:p>
    <w:p>
      <w:pPr>
        <w:pStyle w:val="Heading2"/>
        <w:ind w:firstLine="0"/>
      </w:pPr>
      <w:r>
        <w:rPr>
          <w:color w:val="000000"/>
        </w:rPr>
        <w:t>8.1 Why Does Hexagram Reasoning Work?</w:t>
      </w:r>
    </w:p>
    <w:p>
      <w:r>
        <w:rPr>
          <w:rFonts w:ascii="Times New Roman" w:hAnsi="Times New Roman"/>
          <w:b w:val="0"/>
          <w:i w:val="0"/>
          <w:sz w:val="22"/>
        </w:rPr>
        <w:t>Structural: 64 hexagrams as complete 6-bit codebook, isomorphic to product quantization. Information-theoretic: favorability table injects 64 bits of prior knowledge. Epistemological: millennia of refinement may have converged on effective situational factorization.</w:t>
      </w:r>
    </w:p>
    <w:p>
      <w:pPr>
        <w:pStyle w:val="Heading2"/>
        <w:ind w:firstLine="0"/>
      </w:pPr>
      <w:r>
        <w:rPr>
          <w:color w:val="000000"/>
        </w:rPr>
        <w:t>8.2 Interpretability</w:t>
      </w:r>
    </w:p>
    <w:p>
      <w:r>
        <w:rPr>
          <w:rFonts w:ascii="Times New Roman" w:hAnsi="Times New Roman"/>
          <w:b w:val="0"/>
          <w:i w:val="0"/>
          <w:sz w:val="22"/>
        </w:rPr>
        <w:t>Complete reasoning chain available at every decision point: yao encoding, hexagram match, Yao Relations diagnosis, recovery action. Not a black box.</w:t>
      </w:r>
    </w:p>
    <w:p>
      <w:pPr>
        <w:pStyle w:val="Heading2"/>
        <w:ind w:firstLine="0"/>
      </w:pPr>
      <w:r>
        <w:rPr>
          <w:color w:val="000000"/>
        </w:rPr>
        <w:t>8.3 Limitations</w:t>
      </w:r>
    </w:p>
    <w:p>
      <w:r>
        <w:rPr>
          <w:rFonts w:ascii="Times New Roman" w:hAnsi="Times New Roman"/>
          <w:b w:val="0"/>
          <w:i w:val="0"/>
          <w:sz w:val="22"/>
        </w:rPr>
        <w:t>Yao encoding is hand-designed. 64 classical hexagrams may not be optimal. Currently limited to ALFWorld English.</w:t>
      </w:r>
    </w:p>
    <w:p>
      <w:pPr>
        <w:pStyle w:val="Heading1"/>
        <w:ind w:firstLine="0"/>
      </w:pPr>
      <w:r>
        <w:rPr>
          <w:color w:val="000000"/>
        </w:rPr>
        <w:t>9. Conclusion</w:t>
      </w:r>
    </w:p>
    <w:p>
      <w:r>
        <w:rPr>
          <w:rFonts w:ascii="Times New Roman" w:hAnsi="Times New Roman"/>
          <w:b w:val="0"/>
          <w:i w:val="0"/>
          <w:sz w:val="22"/>
        </w:rPr>
        <w:t>YLYW-V19 achieves 91.0% on ALFWorld, demonstrating that structured I Ching symbolic reasoning with no neural networks, 443 parameters, and 7 minutes to run 134 games remains a viable path toward practical embodied intelligence.</w:t>
      </w:r>
    </w:p>
    <w:p>
      <w:pPr>
        <w:pStyle w:val="Heading1"/>
        <w:ind w:firstLine="0"/>
      </w:pPr>
      <w:r>
        <w:rPr>
          <w:color w:val="000000"/>
        </w:rPr>
        <w:t>References</w:t>
      </w:r>
    </w:p>
    <w:p>
      <w:pPr>
        <w:ind w:firstLine="420"/>
      </w:pPr>
      <w:r>
        <w:rPr>
          <w:rFonts w:ascii="Times New Roman" w:hAnsi="Times New Roman"/>
          <w:sz w:val="18"/>
        </w:rPr>
        <w:t>1. Wang,B.&amp; Han,K. Commentary on the Zhouyi. 3rd c. CE.</w:t>
      </w:r>
    </w:p>
    <w:p>
      <w:pPr>
        <w:ind w:firstLine="420"/>
      </w:pPr>
      <w:r>
        <w:rPr>
          <w:rFonts w:ascii="Times New Roman" w:hAnsi="Times New Roman"/>
          <w:sz w:val="18"/>
        </w:rPr>
        <w:t>2. Gao,H. Modern Commentary on the Zhouyi. Qilu Press, 1994.</w:t>
      </w:r>
    </w:p>
    <w:p>
      <w:pPr>
        <w:ind w:firstLine="420"/>
      </w:pPr>
      <w:r>
        <w:rPr>
          <w:rFonts w:ascii="Times New Roman" w:hAnsi="Times New Roman"/>
          <w:sz w:val="18"/>
        </w:rPr>
        <w:t>3. Wilhelm,R.&amp; Baynes,C. The I Ching or Book of Changes. Princeton UP, 1967.</w:t>
      </w:r>
    </w:p>
    <w:p>
      <w:pPr>
        <w:ind w:firstLine="420"/>
      </w:pPr>
      <w:r>
        <w:rPr>
          <w:rFonts w:ascii="Times New Roman" w:hAnsi="Times New Roman"/>
          <w:sz w:val="18"/>
        </w:rPr>
        <w:t>4. Shridhar,M.,et al. ALFRED. CVPR 2020.</w:t>
      </w:r>
    </w:p>
    <w:p>
      <w:pPr>
        <w:ind w:firstLine="420"/>
      </w:pPr>
      <w:r>
        <w:rPr>
          <w:rFonts w:ascii="Times New Roman" w:hAnsi="Times New Roman"/>
          <w:sz w:val="18"/>
        </w:rPr>
        <w:t>5. Shridhar,M.,et al. ALFWorld. ICLR 2021.</w:t>
      </w:r>
    </w:p>
    <w:p>
      <w:pPr>
        <w:ind w:firstLine="420"/>
      </w:pPr>
      <w:r>
        <w:rPr>
          <w:rFonts w:ascii="Times New Roman" w:hAnsi="Times New Roman"/>
          <w:sz w:val="18"/>
        </w:rPr>
        <w:t>6. Yao,S.,et al. ReAct. ICLR 2023.</w:t>
      </w:r>
    </w:p>
    <w:p>
      <w:pPr>
        <w:ind w:firstLine="420"/>
      </w:pPr>
      <w:r>
        <w:rPr>
          <w:rFonts w:ascii="Times New Roman" w:hAnsi="Times New Roman"/>
          <w:sz w:val="18"/>
        </w:rPr>
        <w:t>7. Ahn,M.,et al. SayCan. CoRL 2022.</w:t>
      </w:r>
    </w:p>
    <w:p>
      <w:pPr>
        <w:ind w:firstLine="420"/>
      </w:pPr>
      <w:r>
        <w:rPr>
          <w:rFonts w:ascii="Times New Roman" w:hAnsi="Times New Roman"/>
          <w:sz w:val="18"/>
        </w:rPr>
        <w:t>8. Liang,J.,et al. Code-as-Policies. ICRA 2023.</w:t>
      </w:r>
    </w:p>
    <w:p>
      <w:pPr>
        <w:ind w:firstLine="420"/>
      </w:pPr>
      <w:r>
        <w:rPr>
          <w:rFonts w:ascii="Times New Roman" w:hAnsi="Times New Roman"/>
          <w:sz w:val="18"/>
        </w:rPr>
        <w:t>9. Jegou,H.,et al. Product Quantization. IEEE TPAMI 2011.</w:t>
      </w:r>
    </w:p>
    <w:p>
      <w:pPr>
        <w:ind w:firstLine="420"/>
      </w:pPr>
      <w:r>
        <w:rPr>
          <w:rFonts w:ascii="Times New Roman" w:hAnsi="Times New Roman"/>
          <w:sz w:val="18"/>
        </w:rPr>
        <w:t>10. Needham,J. Science and Civilisation in China, Vol.2. Cambridge UP, 1962.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ind w:firstLine="4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