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YLYW-V19: Embodied Task Planning via</w:t>
        <w:br/>
        <w:t>Structured I Ching Hexagram Reasoning</w:t>
      </w:r>
    </w:p>
    <w:p/>
    <w:p>
      <w:pPr>
        <w:jc w:val="center"/>
      </w:pPr>
      <w:r>
        <w:rPr>
          <w:rFonts w:ascii="Times New Roman" w:hAnsi="Times New Roman"/>
          <w:i/>
          <w:sz w:val="28"/>
        </w:rPr>
        <w:t>A Zero-LLM Framework Achieving 91.0% on ALFWorld</w:t>
        <w:br/>
        <w:t>with Interpretable Decision Calculus</w:t>
      </w:r>
    </w:p>
    <w:p/>
    <w:p>
      <w:pPr>
        <w:jc w:val="center"/>
      </w:pPr>
      <w:r>
        <w:rPr>
          <w:sz w:val="22"/>
        </w:rPr>
        <w:t>Qingdao University of Science and Technology</w:t>
        <w:br/>
        <w:br/>
        <w:t>{to be filled}</w:t>
      </w:r>
    </w:p>
    <w:p>
      <w:r>
        <w:br w:type="page"/>
      </w:r>
    </w:p>
    <w:p>
      <w:pPr>
        <w:pStyle w:val="Heading1"/>
      </w:pPr>
      <w:r>
        <w:rPr>
          <w:color w:val="000000"/>
        </w:rPr>
        <w:t>Abstract</w:t>
      </w:r>
    </w:p>
    <w:p>
      <w:r>
        <w:rPr>
          <w:rFonts w:ascii="Times New Roman" w:hAnsi="Times New Roman"/>
          <w:b w:val="0"/>
          <w:i w:val="0"/>
          <w:sz w:val="22"/>
        </w:rPr>
        <w:t>Large language models (LLMs) have become the dominant paradigm for embodied task planning, yet their deployment cost, latency, non-determinism, and cloud dependency pose fundamental bottlenecks. We present YLYW-V19, a fully symbolic decision framework based on the I Ching (Yijing) hexagram system, achieving 91.0% success rate (122/134) on the ALFWorld out-of-distribution benchmark — with zero large language models and zero neural networks.</w:t>
        <w:br/>
        <w:br/>
        <w:t>YLYW's core is a three-layer nested architecture (L1 Trigram → L2 Yao → L3 Hexagram) that transforms the I Ching's formal system into an operational decision calculus. V19 introduces three key innovations:</w:t>
        <w:br/>
        <w:br/>
        <w:t>Semantic Understanding Pipeline: A three-layer semantic parser maps ALFWorld English task descriptions to structured hexagram representations through word-class→trigram membership mapping, Cheng-Cheng-Bi-Ying relation detection, and function-word-driven chunking.</w:t>
        <w:br/>
        <w:br/>
        <w:t>Zhiji Learning (知己学习): Real-time experience accumulation from execution trajectories — synonym calibration ("cup"↔"mug"), location prior calibration ("plates are often on countertops"), and scene structure calibration ("this kitchen has lockable cabinets") — enabling one-shot learning from a single observation, inspired by "见几而作，不俟终日."</w:t>
        <w:br/>
        <w:br/>
        <w:t>Yao Relations Diagnostic Calculus: Formalization of six relational operators from the Yizhuan — Riding (乘, Cheng), Bearing (承, Cheng), Comparing (比, Bi), Responding (应, Ying), Correct Position (当位, Dangwei), and Holding Center (得中, Dezhong) — as computational diagnostic probes that identify failure causes and prescribe targeted recovery.</w:t>
        <w:br/>
        <w:br/>
        <w:t>Ablation experiments show: Zhiji Learning contributes +6%, Hexagram Matching +7.9%, and Yao Relations Recovery +11.1%. The entire system runs on a single CPU core (2GB RAM), completing the 134-game evaluation in under 7 minutes — fully deterministic, auditable, and deployable on edge devices.</w:t>
      </w:r>
    </w:p>
    <w:p>
      <w:pPr>
        <w:pStyle w:val="Heading1"/>
      </w:pPr>
      <w:r>
        <w:rPr>
          <w:color w:val="000000"/>
        </w:rPr>
        <w:t>1. Introduction</w:t>
      </w:r>
    </w:p>
    <w:p>
      <w:r>
        <w:rPr>
          <w:rFonts w:ascii="Times New Roman" w:hAnsi="Times New Roman"/>
          <w:b w:val="0"/>
          <w:i w:val="0"/>
          <w:sz w:val="22"/>
        </w:rPr>
        <w:t>Embodied task planning requires agents to translate natural language instructions into executable action sequences in physical environments. The ALFRED/ALFWorld benchmark (Shridhar et al., 2020, 2021) has become the standard evaluation platform, demanding agents to navigate rooms, manipulate objects, and execute multi-step household tasks under partial observability.</w:t>
        <w:br/>
        <w:br/>
        <w:t>The LLM paradigm — ReAct (Yao et al., 2023), SayCan (Ahn et al., 2022), Code-as-Policies (Liang et al., 2023) — relies on billion-parameter language models achieving 40-70% on ALFWorld. Yet this paradigm faces a triple bottleneck:</w:t>
        <w:br/>
        <w:br/>
        <w:t>Deployment: Each decision step requires a cloud API call (100-500ms, $0.01-0.03). Edge robots, embedded systems, defense applications, and privacy-sensitive environments cannot afford this.</w:t>
        <w:br/>
        <w:t>Interpretability: LLMs are black boxes. When an agent fails, there is no principled framework to audit why a wrong action was chosen.</w:t>
        <w:br/>
        <w:t>Scientific Rigor: Non-deterministic outputs make experiments non-reproducible.</w:t>
        <w:br/>
        <w:br/>
        <w:t>The I Ching as Decision Engine. From a computational perspective, the I Ching contains a highly formalized decision system: 8 trigrams as primitive concept bases, 64 hexagrams forming a complete 6-bit state space (2⁶=64), yao relations (Cheng-Bi-Ying-Dangwei-Dezhong) as a structural grammar for situation analysis, and moving yao as state transition. YLYW operationalizes this three-thousand-year-old machine on a mainstream AI benchmark for the first time.</w:t>
      </w:r>
    </w:p>
    <w:p>
      <w:r>
        <w:rPr>
          <w:rFonts w:ascii="Times New Roman" w:hAnsi="Times New Roman"/>
          <w:b/>
          <w:i w:val="0"/>
          <w:sz w:val="22"/>
        </w:rPr>
        <w:t>Key Contributions:</w:t>
      </w:r>
    </w:p>
    <w:p>
      <w:r>
        <w:rPr>
          <w:rFonts w:ascii="Times New Roman" w:hAnsi="Times New Roman"/>
          <w:b w:val="0"/>
          <w:i w:val="0"/>
          <w:sz w:val="22"/>
        </w:rPr>
        <w:t>1. Three-layer I Ching reasoning architecture (L1 Trigram → L2 Yao → L3 Hexagram).</w:t>
      </w:r>
    </w:p>
    <w:p>
      <w:r>
        <w:rPr>
          <w:rFonts w:ascii="Times New Roman" w:hAnsi="Times New Roman"/>
          <w:b w:val="0"/>
          <w:i w:val="0"/>
          <w:sz w:val="22"/>
        </w:rPr>
        <w:t>2. Semantic understanding pipeline from English task descriptions to structured hexagram representations.</w:t>
      </w:r>
    </w:p>
    <w:p>
      <w:r>
        <w:rPr>
          <w:rFonts w:ascii="Times New Roman" w:hAnsi="Times New Roman"/>
          <w:b w:val="0"/>
          <w:i w:val="0"/>
          <w:sz w:val="22"/>
        </w:rPr>
        <w:t>3. Zhiji Learning: one-shot experience accumulation from execution trajectories.</w:t>
      </w:r>
    </w:p>
    <w:p>
      <w:r>
        <w:rPr>
          <w:rFonts w:ascii="Times New Roman" w:hAnsi="Times New Roman"/>
          <w:b w:val="0"/>
          <w:i w:val="0"/>
          <w:sz w:val="22"/>
        </w:rPr>
        <w:t>4. Yao Relations diagnostic calculus with formal definitions and targeted recovery strategies.</w:t>
      </w:r>
    </w:p>
    <w:p>
      <w:r>
        <w:rPr>
          <w:rFonts w:ascii="Times New Roman" w:hAnsi="Times New Roman"/>
          <w:b w:val="0"/>
          <w:i w:val="0"/>
          <w:sz w:val="22"/>
        </w:rPr>
        <w:t>5. Comprehensive evaluation: 91.0% on 134-game ALFWorld with ablation, efficiency, and failure analysis.</w:t>
      </w:r>
    </w:p>
    <w:p>
      <w:pPr>
        <w:pStyle w:val="Heading1"/>
      </w:pPr>
      <w:r>
        <w:rPr>
          <w:color w:val="000000"/>
        </w:rPr>
        <w:t>2. Related Work</w:t>
      </w:r>
    </w:p>
    <w:p>
      <w:pPr>
        <w:pStyle w:val="Heading2"/>
      </w:pPr>
      <w:r>
        <w:rPr>
          <w:color w:val="000000"/>
        </w:rPr>
        <w:t>2.1 LLM-Based Embodied Planning</w:t>
      </w:r>
    </w:p>
    <w:p>
      <w:r>
        <w:rPr>
          <w:rFonts w:ascii="Times New Roman" w:hAnsi="Times New Roman"/>
          <w:b w:val="0"/>
          <w:i w:val="0"/>
          <w:sz w:val="22"/>
        </w:rPr>
        <w:t>ReAct (Yao et al., 2023) interleaves chain-of-thought with environment interaction. SayCan (Ahn et al., 2022) grounds LLMs in skill libraries. Code-as-Policies (Liang et al., 2023) generates executable code from language. These achieve 40-70% on ALFWorld.</w:t>
      </w:r>
    </w:p>
    <w:p>
      <w:pPr>
        <w:pStyle w:val="Heading2"/>
      </w:pPr>
      <w:r>
        <w:rPr>
          <w:color w:val="000000"/>
        </w:rPr>
        <w:t>2.2 Symbolic Planners</w:t>
      </w:r>
    </w:p>
    <w:p>
      <w:r>
        <w:rPr>
          <w:rFonts w:ascii="Times New Roman" w:hAnsi="Times New Roman"/>
          <w:b w:val="0"/>
          <w:i w:val="0"/>
          <w:sz w:val="22"/>
        </w:rPr>
        <w:t>HTN (Erol et al., 1994), PDDL (McDermott et al., 1998), and RL (BUTLER ~20%) are interpretable but struggle with partial observability.</w:t>
      </w:r>
    </w:p>
    <w:p>
      <w:pPr>
        <w:pStyle w:val="Heading2"/>
      </w:pPr>
      <w:r>
        <w:rPr>
          <w:color w:val="000000"/>
        </w:rPr>
        <w:t>2.3 I Ching Inspired AI</w:t>
      </w:r>
    </w:p>
    <w:p>
      <w:r>
        <w:rPr>
          <w:rFonts w:ascii="Times New Roman" w:hAnsi="Times New Roman"/>
          <w:b w:val="0"/>
          <w:i w:val="0"/>
          <w:sz w:val="22"/>
        </w:rPr>
        <w:t>The I Ching has been used as random number generators (Needham, 1962), metaphor for emergent intelligence (Goertzel, 1993), and design patterns for multi-agent systems (Chen, 2018). This work is the first to operationalize its structural grammar as a competitive decision engine on a standard AI benchmark with quantitative validation.</w:t>
      </w:r>
    </w:p>
    <w:p>
      <w:pPr>
        <w:pStyle w:val="Heading1"/>
      </w:pPr>
      <w:r>
        <w:rPr>
          <w:color w:val="000000"/>
        </w:rPr>
        <w:t>3. Philosophical Foundation and Formal Architecture</w:t>
      </w:r>
    </w:p>
    <w:p>
      <w:pPr>
        <w:pStyle w:val="Heading2"/>
      </w:pPr>
      <w:r>
        <w:rPr>
          <w:color w:val="000000"/>
        </w:rPr>
        <w:t>3.1 The Computational Nature of the I Ching</w:t>
      </w:r>
    </w:p>
    <w:p>
      <w:r>
        <w:rPr>
          <w:rFonts w:ascii="Times New Roman" w:hAnsi="Times New Roman"/>
          <w:b w:val="0"/>
          <w:i w:val="0"/>
          <w:sz w:val="22"/>
        </w:rPr>
        <w:t>The Xicizhuan states: "The Changes is a paradigm of heaven and earth, and therefore can bind up the way of heaven and earth."</w:t>
        <w:br/>
        <w:br/>
        <w:t>This three-thousand-year-old assertion can be reinterpreted today as a complete state-space axiom:</w:t>
        <w:br/>
        <w:t>· 8 trigrams as primitive situational archetypes, each with three yao representing upper-middle-lower structure.</w:t>
        <w:br/>
        <w:t>· 64 hexagrams as 2⁶=64 composite states, fully covering the binary configuration space.</w:t>
        <w:br/>
        <w:t>· Each hexagram has strict position semantics: first=beginning, second=center, third=transition, fourth=assistant, fifth=authority, sixth=culmination.</w:t>
        <w:br/>
        <w:t>· Structural relations between yao (Cheng-Bi-Ying-Dangwei-Dezhong) form a situation analysis grammar.</w:t>
        <w:br/>
        <w:br/>
        <w:t>YLYW's key insight: this ancient symbolic system is essentially an "embodied reasoning engine running on the human brain," whose information processing structure shares a deep isomorphism with the problems faced by modern embodied AI.</w:t>
      </w:r>
    </w:p>
    <w:p>
      <w:pPr>
        <w:pStyle w:val="Heading2"/>
      </w:pPr>
      <w:r>
        <w:rPr>
          <w:color w:val="000000"/>
        </w:rPr>
        <w:t>3.2 The YLYW Three-Layer Architecture</w:t>
      </w:r>
    </w:p>
    <w:p>
      <w:r>
        <w:rPr>
          <w:rFonts w:ascii="Times New Roman" w:hAnsi="Times New Roman"/>
          <w:b w:val="0"/>
          <w:i w:val="0"/>
          <w:sz w:val="22"/>
        </w:rPr>
        <w:t>YLYW employs a three-layer reasoning pipeline (perception → encoding → reasoning → decision):</w:t>
        <w:br/>
        <w:br/>
        <w:t>L3: HexagramRuleBase ← Cosine Matching → Best Hexagram + Strategy</w:t>
        <w:br/>
        <w:t xml:space="preserve">        ↑                              ↑</w:t>
        <w:br/>
        <w:t>L2: YaoEncoder ← Feature Encoding → Yao Relations Analysis</w:t>
        <w:br/>
        <w:t xml:space="preserve">        ↑                              ↑</w:t>
        <w:br/>
        <w:t>L1: TrigramBase ← Gaussian Similarity → Dominant Trigram</w:t>
        <w:br/>
        <w:t xml:space="preserve">        ↑</w:t>
        <w:br/>
        <w:t xml:space="preserve">   Physical/Semantic Feature Input</w:t>
        <w:br/>
        <w:br/>
        <w:t>The pipeline requires zero training — all parameters (trigram prototypes, yao encoding formulas, 64 hexagram favorability scores, relation rules) are hand-authored from I Ching texts.</w:t>
      </w:r>
    </w:p>
    <w:p>
      <w:pPr>
        <w:pStyle w:val="Heading2"/>
      </w:pPr>
      <w:r>
        <w:rPr>
          <w:color w:val="000000"/>
        </w:rPr>
        <w:t>3.3 The Human-Machine Same-Hexagram Principle</w:t>
      </w:r>
    </w:p>
    <w:p>
      <w:r>
        <w:rPr>
          <w:rFonts w:ascii="Times New Roman" w:hAnsi="Times New Roman"/>
          <w:b w:val="0"/>
          <w:i w:val="0"/>
          <w:sz w:val="22"/>
        </w:rPr>
        <w:t>YLYW embodies a "same-hexagram" design principle:</w:t>
        <w:br/>
        <w:t>· When a human says "this cup is stable" → YLYW assigns high Gen (Mountain, stability) membership.</w:t>
        <w:br/>
        <w:t>· When a human says "we are stuck, need a new direction" → YLYW detects Cheng (suppression) → strategy downgrade.</w:t>
        <w:br/>
        <w:t>· When a human says "the timing is right" → YLYW matches Tai (Heaven-Earth communion).</w:t>
        <w:br/>
        <w:br/>
        <w:t>This makes YLYW's decision chain fully readable, auditable, and debatable.</w:t>
      </w:r>
    </w:p>
    <w:p>
      <w:pPr>
        <w:pStyle w:val="Heading1"/>
      </w:pPr>
      <w:r>
        <w:rPr>
          <w:color w:val="000000"/>
        </w:rPr>
        <w:t>4. Semantic Understanding Pipeline</w:t>
      </w:r>
    </w:p>
    <w:p>
      <w:pPr>
        <w:pStyle w:val="Heading2"/>
      </w:pPr>
      <w:r>
        <w:rPr>
          <w:color w:val="000000"/>
        </w:rPr>
        <w:t>4.1 Three-Layer Semantic Mapping: English to Hexagram</w:t>
      </w:r>
    </w:p>
    <w:p>
      <w:r>
        <w:rPr>
          <w:rFonts w:ascii="Times New Roman" w:hAnsi="Times New Roman"/>
          <w:b w:val="0"/>
          <w:i w:val="0"/>
          <w:sz w:val="22"/>
        </w:rPr>
        <w:t>Without LLMs, YLYW must understand "what the task demands" from raw English text. V19 implements a three-layer semantic pipeline isomorphic to the Classical Chinese version.</w:t>
      </w:r>
    </w:p>
    <w:p>
      <w:r>
        <w:rPr>
          <w:i/>
          <w:sz w:val="18"/>
        </w:rPr>
        <w:t>Table 1: Word class → trigram membership mapping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Word Class</w:t>
            </w:r>
          </w:p>
        </w:tc>
        <w:tc>
          <w:tcPr>
            <w:tcW w:type="dxa" w:w="2351"/>
          </w:tcPr>
          <w:p>
            <w:pPr>
              <w:jc w:val="center"/>
            </w:pPr>
            <w:r>
              <w:rPr>
                <w:rFonts w:ascii="Times New Roman" w:hAnsi="Times New Roman"/>
                <w:b/>
                <w:sz w:val="18"/>
              </w:rPr>
              <w:t>Dominant Trigram</w:t>
            </w:r>
          </w:p>
        </w:tc>
        <w:tc>
          <w:tcPr>
            <w:tcW w:type="dxa" w:w="2351"/>
          </w:tcPr>
          <w:p>
            <w:pPr>
              <w:jc w:val="center"/>
            </w:pPr>
            <w:r>
              <w:rPr>
                <w:rFonts w:ascii="Times New Roman" w:hAnsi="Times New Roman"/>
                <w:b/>
                <w:sz w:val="18"/>
              </w:rPr>
              <w:t>Virtue</w:t>
            </w:r>
          </w:p>
        </w:tc>
        <w:tc>
          <w:tcPr>
            <w:tcW w:type="dxa" w:w="2351"/>
          </w:tcPr>
          <w:p>
            <w:pPr>
              <w:jc w:val="center"/>
            </w:pPr>
            <w:r>
              <w:rPr>
                <w:rFonts w:ascii="Times New Roman" w:hAnsi="Times New Roman"/>
                <w:b/>
                <w:sz w:val="18"/>
              </w:rPr>
              <w:t>Examples</w:t>
            </w:r>
          </w:p>
        </w:tc>
      </w:tr>
      <w:tr>
        <w:tc>
          <w:tcPr>
            <w:tcW w:type="dxa" w:w="2351"/>
          </w:tcPr>
          <w:p>
            <w:pPr>
              <w:jc w:val="center"/>
            </w:pPr>
            <w:r>
              <w:rPr>
                <w:rFonts w:ascii="Times New Roman" w:hAnsi="Times New Roman"/>
                <w:sz w:val="18"/>
              </w:rPr>
              <w:t>Action Verb</w:t>
            </w:r>
          </w:p>
        </w:tc>
        <w:tc>
          <w:tcPr>
            <w:tcW w:type="dxa" w:w="2351"/>
          </w:tcPr>
          <w:p>
            <w:pPr>
              <w:jc w:val="center"/>
            </w:pPr>
            <w:r>
              <w:rPr>
                <w:rFonts w:ascii="Times New Roman" w:hAnsi="Times New Roman"/>
                <w:sz w:val="18"/>
              </w:rPr>
              <w:t>Zhen (Thunder)</w:t>
            </w:r>
          </w:p>
        </w:tc>
        <w:tc>
          <w:tcPr>
            <w:tcW w:type="dxa" w:w="2351"/>
          </w:tcPr>
          <w:p>
            <w:pPr>
              <w:jc w:val="center"/>
            </w:pPr>
            <w:r>
              <w:rPr>
                <w:rFonts w:ascii="Times New Roman" w:hAnsi="Times New Roman"/>
                <w:sz w:val="18"/>
              </w:rPr>
              <w:t>Motion</w:t>
            </w:r>
          </w:p>
        </w:tc>
        <w:tc>
          <w:tcPr>
            <w:tcW w:type="dxa" w:w="2351"/>
          </w:tcPr>
          <w:p>
            <w:pPr>
              <w:jc w:val="center"/>
            </w:pPr>
            <w:r>
              <w:rPr>
                <w:rFonts w:ascii="Times New Roman" w:hAnsi="Times New Roman"/>
                <w:sz w:val="18"/>
              </w:rPr>
              <w:t>take, put, clean, heat</w:t>
            </w:r>
          </w:p>
        </w:tc>
      </w:tr>
      <w:tr>
        <w:tc>
          <w:tcPr>
            <w:tcW w:type="dxa" w:w="2351"/>
          </w:tcPr>
          <w:p>
            <w:pPr>
              <w:jc w:val="center"/>
            </w:pPr>
            <w:r>
              <w:rPr>
                <w:rFonts w:ascii="Times New Roman" w:hAnsi="Times New Roman"/>
                <w:sz w:val="18"/>
              </w:rPr>
              <w:t>Object Noun</w:t>
            </w:r>
          </w:p>
        </w:tc>
        <w:tc>
          <w:tcPr>
            <w:tcW w:type="dxa" w:w="2351"/>
          </w:tcPr>
          <w:p>
            <w:pPr>
              <w:jc w:val="center"/>
            </w:pPr>
            <w:r>
              <w:rPr>
                <w:rFonts w:ascii="Times New Roman" w:hAnsi="Times New Roman"/>
                <w:sz w:val="18"/>
              </w:rPr>
              <w:t>Kun (Earth)</w:t>
            </w:r>
          </w:p>
        </w:tc>
        <w:tc>
          <w:tcPr>
            <w:tcW w:type="dxa" w:w="2351"/>
          </w:tcPr>
          <w:p>
            <w:pPr>
              <w:jc w:val="center"/>
            </w:pPr>
            <w:r>
              <w:rPr>
                <w:rFonts w:ascii="Times New Roman" w:hAnsi="Times New Roman"/>
                <w:sz w:val="18"/>
              </w:rPr>
              <w:t>Bearing</w:t>
            </w:r>
          </w:p>
        </w:tc>
        <w:tc>
          <w:tcPr>
            <w:tcW w:type="dxa" w:w="2351"/>
          </w:tcPr>
          <w:p>
            <w:pPr>
              <w:jc w:val="center"/>
            </w:pPr>
            <w:r>
              <w:rPr>
                <w:rFonts w:ascii="Times New Roman" w:hAnsi="Times New Roman"/>
                <w:sz w:val="18"/>
              </w:rPr>
              <w:t>apple, plate, mug, cloth</w:t>
            </w:r>
          </w:p>
        </w:tc>
      </w:tr>
      <w:tr>
        <w:tc>
          <w:tcPr>
            <w:tcW w:type="dxa" w:w="2351"/>
          </w:tcPr>
          <w:p>
            <w:pPr>
              <w:jc w:val="center"/>
            </w:pPr>
            <w:r>
              <w:rPr>
                <w:rFonts w:ascii="Times New Roman" w:hAnsi="Times New Roman"/>
                <w:sz w:val="18"/>
              </w:rPr>
              <w:t>Location Noun</w:t>
            </w:r>
          </w:p>
        </w:tc>
        <w:tc>
          <w:tcPr>
            <w:tcW w:type="dxa" w:w="2351"/>
          </w:tcPr>
          <w:p>
            <w:pPr>
              <w:jc w:val="center"/>
            </w:pPr>
            <w:r>
              <w:rPr>
                <w:rFonts w:ascii="Times New Roman" w:hAnsi="Times New Roman"/>
                <w:sz w:val="18"/>
              </w:rPr>
              <w:t>Gen (Mountain)</w:t>
            </w:r>
          </w:p>
        </w:tc>
        <w:tc>
          <w:tcPr>
            <w:tcW w:type="dxa" w:w="2351"/>
          </w:tcPr>
          <w:p>
            <w:pPr>
              <w:jc w:val="center"/>
            </w:pPr>
            <w:r>
              <w:rPr>
                <w:rFonts w:ascii="Times New Roman" w:hAnsi="Times New Roman"/>
                <w:sz w:val="18"/>
              </w:rPr>
              <w:t>Stillness</w:t>
            </w:r>
          </w:p>
        </w:tc>
        <w:tc>
          <w:tcPr>
            <w:tcW w:type="dxa" w:w="2351"/>
          </w:tcPr>
          <w:p>
            <w:pPr>
              <w:jc w:val="center"/>
            </w:pPr>
            <w:r>
              <w:rPr>
                <w:rFonts w:ascii="Times New Roman" w:hAnsi="Times New Roman"/>
                <w:sz w:val="18"/>
              </w:rPr>
              <w:t>drawer, cabinet, sink</w:t>
            </w:r>
          </w:p>
        </w:tc>
      </w:tr>
      <w:tr>
        <w:tc>
          <w:tcPr>
            <w:tcW w:type="dxa" w:w="2351"/>
          </w:tcPr>
          <w:p>
            <w:pPr>
              <w:jc w:val="center"/>
            </w:pPr>
            <w:r>
              <w:rPr>
                <w:rFonts w:ascii="Times New Roman" w:hAnsi="Times New Roman"/>
                <w:sz w:val="18"/>
              </w:rPr>
              <w:t>Tool/Light</w:t>
            </w:r>
          </w:p>
        </w:tc>
        <w:tc>
          <w:tcPr>
            <w:tcW w:type="dxa" w:w="2351"/>
          </w:tcPr>
          <w:p>
            <w:pPr>
              <w:jc w:val="center"/>
            </w:pPr>
            <w:r>
              <w:rPr>
                <w:rFonts w:ascii="Times New Roman" w:hAnsi="Times New Roman"/>
                <w:sz w:val="18"/>
              </w:rPr>
              <w:t>Li (Fire)</w:t>
            </w:r>
          </w:p>
        </w:tc>
        <w:tc>
          <w:tcPr>
            <w:tcW w:type="dxa" w:w="2351"/>
          </w:tcPr>
          <w:p>
            <w:pPr>
              <w:jc w:val="center"/>
            </w:pPr>
            <w:r>
              <w:rPr>
                <w:rFonts w:ascii="Times New Roman" w:hAnsi="Times New Roman"/>
                <w:sz w:val="18"/>
              </w:rPr>
              <w:t>Light/Adherence</w:t>
            </w:r>
          </w:p>
        </w:tc>
        <w:tc>
          <w:tcPr>
            <w:tcW w:type="dxa" w:w="2351"/>
          </w:tcPr>
          <w:p>
            <w:pPr>
              <w:jc w:val="center"/>
            </w:pPr>
            <w:r>
              <w:rPr>
                <w:rFonts w:ascii="Times New Roman" w:hAnsi="Times New Roman"/>
                <w:sz w:val="18"/>
              </w:rPr>
              <w:t>lamp, light</w:t>
            </w:r>
          </w:p>
        </w:tc>
      </w:tr>
      <w:tr>
        <w:tc>
          <w:tcPr>
            <w:tcW w:type="dxa" w:w="2351"/>
          </w:tcPr>
          <w:p>
            <w:pPr>
              <w:jc w:val="center"/>
            </w:pPr>
            <w:r>
              <w:rPr>
                <w:rFonts w:ascii="Times New Roman" w:hAnsi="Times New Roman"/>
                <w:sz w:val="18"/>
              </w:rPr>
              <w:t>Function Word</w:t>
            </w:r>
          </w:p>
        </w:tc>
        <w:tc>
          <w:tcPr>
            <w:tcW w:type="dxa" w:w="2351"/>
          </w:tcPr>
          <w:p>
            <w:pPr>
              <w:jc w:val="center"/>
            </w:pPr>
            <w:r>
              <w:rPr>
                <w:rFonts w:ascii="Times New Roman" w:hAnsi="Times New Roman"/>
                <w:sz w:val="18"/>
              </w:rPr>
              <w:t>Xun (Wind)</w:t>
            </w:r>
          </w:p>
        </w:tc>
        <w:tc>
          <w:tcPr>
            <w:tcW w:type="dxa" w:w="2351"/>
          </w:tcPr>
          <w:p>
            <w:pPr>
              <w:jc w:val="center"/>
            </w:pPr>
            <w:r>
              <w:rPr>
                <w:rFonts w:ascii="Times New Roman" w:hAnsi="Times New Roman"/>
                <w:sz w:val="18"/>
              </w:rPr>
              <w:t>Penetration/Boundary</w:t>
            </w:r>
          </w:p>
        </w:tc>
        <w:tc>
          <w:tcPr>
            <w:tcW w:type="dxa" w:w="2351"/>
          </w:tcPr>
          <w:p>
            <w:pPr>
              <w:jc w:val="center"/>
            </w:pPr>
            <w:r>
              <w:rPr>
                <w:rFonts w:ascii="Times New Roman" w:hAnsi="Times New Roman"/>
                <w:sz w:val="18"/>
              </w:rPr>
              <w:t>a, the, and, from</w:t>
            </w:r>
          </w:p>
        </w:tc>
      </w:tr>
    </w:tbl>
    <w:p/>
    <w:p>
      <w:r>
        <w:rPr>
          <w:i/>
          <w:sz w:val="18"/>
        </w:rPr>
        <w:t>Table 2: Four semantic relations between adjacent content words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Relation</w:t>
            </w:r>
          </w:p>
        </w:tc>
        <w:tc>
          <w:tcPr>
            <w:tcW w:type="dxa" w:w="2351"/>
          </w:tcPr>
          <w:p>
            <w:pPr>
              <w:jc w:val="center"/>
            </w:pPr>
            <w:r>
              <w:rPr>
                <w:rFonts w:ascii="Times New Roman" w:hAnsi="Times New Roman"/>
                <w:b/>
                <w:sz w:val="18"/>
              </w:rPr>
              <w:t>Classical Source</w:t>
            </w:r>
          </w:p>
        </w:tc>
        <w:tc>
          <w:tcPr>
            <w:tcW w:type="dxa" w:w="2351"/>
          </w:tcPr>
          <w:p>
            <w:pPr>
              <w:jc w:val="center"/>
            </w:pPr>
            <w:r>
              <w:rPr>
                <w:rFonts w:ascii="Times New Roman" w:hAnsi="Times New Roman"/>
                <w:b/>
                <w:sz w:val="18"/>
              </w:rPr>
              <w:t>YLYW Mapping</w:t>
            </w:r>
          </w:p>
        </w:tc>
        <w:tc>
          <w:tcPr>
            <w:tcW w:type="dxa" w:w="2351"/>
          </w:tcPr>
          <w:p>
            <w:pPr>
              <w:jc w:val="center"/>
            </w:pPr>
            <w:r>
              <w:rPr>
                <w:rFonts w:ascii="Times New Roman" w:hAnsi="Times New Roman"/>
                <w:b/>
                <w:sz w:val="18"/>
              </w:rPr>
              <w:t>Example</w:t>
            </w:r>
          </w:p>
        </w:tc>
      </w:tr>
      <w:tr>
        <w:tc>
          <w:tcPr>
            <w:tcW w:type="dxa" w:w="2351"/>
          </w:tcPr>
          <w:p>
            <w:pPr>
              <w:jc w:val="center"/>
            </w:pPr>
            <w:r>
              <w:rPr>
                <w:rFonts w:ascii="Times New Roman" w:hAnsi="Times New Roman"/>
                <w:sz w:val="18"/>
              </w:rPr>
              <w:t>Cheng (Riding)</w:t>
            </w:r>
          </w:p>
        </w:tc>
        <w:tc>
          <w:tcPr>
            <w:tcW w:type="dxa" w:w="2351"/>
          </w:tcPr>
          <w:p>
            <w:pPr>
              <w:jc w:val="center"/>
            </w:pPr>
            <w:r>
              <w:rPr>
                <w:rFonts w:ascii="Times New Roman" w:hAnsi="Times New Roman"/>
                <w:sz w:val="18"/>
              </w:rPr>
              <w:t>Yin over Yang</w:t>
            </w:r>
          </w:p>
        </w:tc>
        <w:tc>
          <w:tcPr>
            <w:tcW w:type="dxa" w:w="2351"/>
          </w:tcPr>
          <w:p>
            <w:pPr>
              <w:jc w:val="center"/>
            </w:pPr>
            <w:r>
              <w:rPr>
                <w:rFonts w:ascii="Times New Roman" w:hAnsi="Times New Roman"/>
                <w:sz w:val="18"/>
              </w:rPr>
              <w:t>Verb→Object domination</w:t>
            </w:r>
          </w:p>
        </w:tc>
        <w:tc>
          <w:tcPr>
            <w:tcW w:type="dxa" w:w="2351"/>
          </w:tcPr>
          <w:p>
            <w:pPr>
              <w:jc w:val="center"/>
            </w:pPr>
            <w:r>
              <w:rPr>
                <w:rFonts w:ascii="Times New Roman" w:hAnsi="Times New Roman"/>
                <w:sz w:val="18"/>
              </w:rPr>
              <w:t>take+clock</w:t>
            </w:r>
          </w:p>
        </w:tc>
      </w:tr>
      <w:tr>
        <w:tc>
          <w:tcPr>
            <w:tcW w:type="dxa" w:w="2351"/>
          </w:tcPr>
          <w:p>
            <w:pPr>
              <w:jc w:val="center"/>
            </w:pPr>
            <w:r>
              <w:rPr>
                <w:rFonts w:ascii="Times New Roman" w:hAnsi="Times New Roman"/>
                <w:sz w:val="18"/>
              </w:rPr>
              <w:t>Cheng (Bearing)</w:t>
            </w:r>
          </w:p>
        </w:tc>
        <w:tc>
          <w:tcPr>
            <w:tcW w:type="dxa" w:w="2351"/>
          </w:tcPr>
          <w:p>
            <w:pPr>
              <w:jc w:val="center"/>
            </w:pPr>
            <w:r>
              <w:rPr>
                <w:rFonts w:ascii="Times New Roman" w:hAnsi="Times New Roman"/>
                <w:sz w:val="18"/>
              </w:rPr>
              <w:t>Yang under Yin</w:t>
            </w:r>
          </w:p>
        </w:tc>
        <w:tc>
          <w:tcPr>
            <w:tcW w:type="dxa" w:w="2351"/>
          </w:tcPr>
          <w:p>
            <w:pPr>
              <w:jc w:val="center"/>
            </w:pPr>
            <w:r>
              <w:rPr>
                <w:rFonts w:ascii="Times New Roman" w:hAnsi="Times New Roman"/>
                <w:sz w:val="18"/>
              </w:rPr>
              <w:t>Object→location complement</w:t>
            </w:r>
          </w:p>
        </w:tc>
        <w:tc>
          <w:tcPr>
            <w:tcW w:type="dxa" w:w="2351"/>
          </w:tcPr>
          <w:p>
            <w:pPr>
              <w:jc w:val="center"/>
            </w:pPr>
            <w:r>
              <w:rPr>
                <w:rFonts w:ascii="Times New Roman" w:hAnsi="Times New Roman"/>
                <w:sz w:val="18"/>
              </w:rPr>
              <w:t>clock+from+desk</w:t>
            </w:r>
          </w:p>
        </w:tc>
      </w:tr>
      <w:tr>
        <w:tc>
          <w:tcPr>
            <w:tcW w:type="dxa" w:w="2351"/>
          </w:tcPr>
          <w:p>
            <w:pPr>
              <w:jc w:val="center"/>
            </w:pPr>
            <w:r>
              <w:rPr>
                <w:rFonts w:ascii="Times New Roman" w:hAnsi="Times New Roman"/>
                <w:sz w:val="18"/>
              </w:rPr>
              <w:t>Bi (Comparing)</w:t>
            </w:r>
          </w:p>
        </w:tc>
        <w:tc>
          <w:tcPr>
            <w:tcW w:type="dxa" w:w="2351"/>
          </w:tcPr>
          <w:p>
            <w:pPr>
              <w:jc w:val="center"/>
            </w:pPr>
            <w:r>
              <w:rPr>
                <w:rFonts w:ascii="Times New Roman" w:hAnsi="Times New Roman"/>
                <w:sz w:val="18"/>
              </w:rPr>
              <w:t>Adjacent yao</w:t>
            </w:r>
          </w:p>
        </w:tc>
        <w:tc>
          <w:tcPr>
            <w:tcW w:type="dxa" w:w="2351"/>
          </w:tcPr>
          <w:p>
            <w:pPr>
              <w:jc w:val="center"/>
            </w:pPr>
            <w:r>
              <w:rPr>
                <w:rFonts w:ascii="Times New Roman" w:hAnsi="Times New Roman"/>
                <w:sz w:val="18"/>
              </w:rPr>
              <w:t>Coordination</w:t>
            </w:r>
          </w:p>
        </w:tc>
        <w:tc>
          <w:tcPr>
            <w:tcW w:type="dxa" w:w="2351"/>
          </w:tcPr>
          <w:p>
            <w:pPr>
              <w:jc w:val="center"/>
            </w:pPr>
            <w:r>
              <w:rPr>
                <w:rFonts w:ascii="Times New Roman" w:hAnsi="Times New Roman"/>
                <w:sz w:val="18"/>
              </w:rPr>
              <w:t>cup+and+mug</w:t>
            </w:r>
          </w:p>
        </w:tc>
      </w:tr>
      <w:tr>
        <w:tc>
          <w:tcPr>
            <w:tcW w:type="dxa" w:w="2351"/>
          </w:tcPr>
          <w:p>
            <w:pPr>
              <w:jc w:val="center"/>
            </w:pPr>
            <w:r>
              <w:rPr>
                <w:rFonts w:ascii="Times New Roman" w:hAnsi="Times New Roman"/>
                <w:sz w:val="18"/>
              </w:rPr>
              <w:t>Ying (Responding)</w:t>
            </w:r>
          </w:p>
        </w:tc>
        <w:tc>
          <w:tcPr>
            <w:tcW w:type="dxa" w:w="2351"/>
          </w:tcPr>
          <w:p>
            <w:pPr>
              <w:jc w:val="center"/>
            </w:pPr>
            <w:r>
              <w:rPr>
                <w:rFonts w:ascii="Times New Roman" w:hAnsi="Times New Roman"/>
                <w:sz w:val="18"/>
              </w:rPr>
              <w:t>1↔4,2↔5,3↔6</w:t>
            </w:r>
          </w:p>
        </w:tc>
        <w:tc>
          <w:tcPr>
            <w:tcW w:type="dxa" w:w="2351"/>
          </w:tcPr>
          <w:p>
            <w:pPr>
              <w:jc w:val="center"/>
            </w:pPr>
            <w:r>
              <w:rPr>
                <w:rFonts w:ascii="Times New Roman" w:hAnsi="Times New Roman"/>
                <w:sz w:val="18"/>
              </w:rPr>
              <w:t>Tool→object resonance</w:t>
            </w:r>
          </w:p>
        </w:tc>
        <w:tc>
          <w:tcPr>
            <w:tcW w:type="dxa" w:w="2351"/>
          </w:tcPr>
          <w:p>
            <w:pPr>
              <w:jc w:val="center"/>
            </w:pPr>
            <w:r>
              <w:rPr>
                <w:rFonts w:ascii="Times New Roman" w:hAnsi="Times New Roman"/>
                <w:sz w:val="18"/>
              </w:rPr>
              <w:t>lamp+light</w:t>
            </w:r>
          </w:p>
        </w:tc>
      </w:tr>
    </w:tbl>
    <w:p/>
    <w:p>
      <w:pPr>
        <w:pStyle w:val="Heading2"/>
      </w:pPr>
      <w:r>
        <w:rPr>
          <w:color w:val="000000"/>
        </w:rPr>
        <w:t>4.2 Task Type Inference</w:t>
      </w:r>
    </w:p>
    <w:p>
      <w:r>
        <w:rPr>
          <w:rFonts w:ascii="Times New Roman" w:hAnsi="Times New Roman"/>
          <w:b w:val="0"/>
          <w:i w:val="0"/>
          <w:sz w:val="22"/>
        </w:rPr>
        <w:t>L3 output is a structured task representation. For "put a clean apple in the fridge":</w:t>
        <w:br/>
        <w:t>· L1: put(Zhen)+clean(Zhen)+apple(Kun)+fridge(Gen) → [Zhen,Zhen,Kun,Gen]</w:t>
        <w:br/>
        <w:t>· L2: clean→apple(Cheng), apple→fridge(Ying) → action→target→container</w:t>
        <w:br/>
        <w:t>· L3: function words "a" and "the" → semantic chunks → {put}{clean}{apple}{fridge}</w:t>
        <w:br/>
        <w:br/>
        <w:t>This output feeds directly into V19's world model, driving subsequent yao encoding and action scoring.</w:t>
      </w:r>
    </w:p>
    <w:p>
      <w:pPr>
        <w:pStyle w:val="Heading1"/>
      </w:pPr>
      <w:r>
        <w:rPr>
          <w:color w:val="000000"/>
        </w:rPr>
        <w:t>5. Zhiji Learning</w:t>
      </w:r>
    </w:p>
    <w:p>
      <w:pPr>
        <w:pStyle w:val="Heading2"/>
      </w:pPr>
      <w:r>
        <w:rPr>
          <w:color w:val="000000"/>
        </w:rPr>
        <w:t>5.1 Philosophical Root</w:t>
      </w:r>
    </w:p>
    <w:p>
      <w:r>
        <w:rPr>
          <w:rFonts w:ascii="Times New Roman" w:hAnsi="Times New Roman"/>
          <w:b w:val="0"/>
          <w:i w:val="0"/>
          <w:sz w:val="22"/>
        </w:rPr>
        <w:t>"Zhiji" originates from the Xicizhuan (Commentary on the Appended Phrases):</w:t>
        <w:br/>
        <w:br/>
        <w:t>"To know the subtle beginnings — is this not spirit-like? The subtle beginning is the first motion of change, the first sign of good fortune. The superior man sees the subtle beginning and acts, without waiting for the end of the day."</w:t>
        <w:br/>
        <w:br/>
        <w:t>"Subtle beginnings" (几, ji) are the first sprouts of change. YLYW engineers Zhiji as three layers of online experience learning, all CPU-only.</w:t>
      </w:r>
    </w:p>
    <w:p>
      <w:pPr>
        <w:pStyle w:val="Heading2"/>
      </w:pPr>
      <w:r>
        <w:rPr>
          <w:color w:val="000000"/>
        </w:rPr>
        <w:t>5.2 Layer 1: Synonym Calibration</w:t>
      </w:r>
    </w:p>
    <w:p>
      <w:r>
        <w:rPr>
          <w:rFonts w:ascii="Times New Roman" w:hAnsi="Times New Roman"/>
          <w:b w:val="0"/>
          <w:i w:val="0"/>
          <w:sz w:val="22"/>
        </w:rPr>
        <w:t>Formula: K_calibrated = K_prior ⊕ K_observation</w:t>
        <w:br/>
        <w:br/>
        <w:t>When the task description says "cup" but the environment contains "mug" — V19 extracts entity names from admissible commands, cross-matches them with task description vocabulary, and builds synonym maps. This realizes "见几而作，不俟终日" — one-shot learning from a single observation.</w:t>
      </w:r>
    </w:p>
    <w:p>
      <w:pPr>
        <w:pStyle w:val="Heading2"/>
      </w:pPr>
      <w:r>
        <w:rPr>
          <w:color w:val="000000"/>
        </w:rPr>
        <w:t>5.3 Layer 2: Location Prior Calibration</w:t>
      </w:r>
    </w:p>
    <w:p>
      <w:r>
        <w:rPr>
          <w:rFonts w:ascii="Times New Roman" w:hAnsi="Times New Roman"/>
          <w:b w:val="0"/>
          <w:i w:val="0"/>
          <w:sz w:val="22"/>
        </w:rPr>
        <w:t>Formula: P(obj|loc) = count(obj,loc) / total(obj)</w:t>
        <w:br/>
        <w:br/>
        <w:t>V19 continuously accumulates spatial distribution statistics across games, building a location prior matrix that injects scoring bonuses into yao encoding in subsequent tasks.</w:t>
      </w:r>
    </w:p>
    <w:p>
      <w:pPr>
        <w:pStyle w:val="Heading2"/>
      </w:pPr>
      <w:r>
        <w:rPr>
          <w:color w:val="000000"/>
        </w:rPr>
        <w:t>5.4 Layer 3: Scene Structure Calibration</w:t>
      </w:r>
    </w:p>
    <w:p>
      <w:r>
        <w:rPr>
          <w:rFonts w:ascii="Times New Roman" w:hAnsi="Times New Roman"/>
          <w:b w:val="0"/>
          <w:i w:val="0"/>
          <w:sz w:val="22"/>
        </w:rPr>
        <w:t>Formula: K_scene = {openable_containers, empty_locations, location_contents}</w:t>
        <w:br/>
        <w:br/>
        <w:t>V19 maintains per-scene structural models: openable container lists (avoid redundant attempts), empty location lists (skip directly), and location-content maps (aid retrieval). This implements an error-tolerant prior calibration — better to falsely calibrate than miss a pattern.</w:t>
      </w:r>
    </w:p>
    <w:p>
      <w:pPr>
        <w:pStyle w:val="Heading1"/>
      </w:pPr>
      <w:r>
        <w:rPr>
          <w:color w:val="000000"/>
        </w:rPr>
        <w:t>6. Yao Relations Diagnostic Calculus</w:t>
      </w:r>
    </w:p>
    <w:p>
      <w:pPr>
        <w:pStyle w:val="Heading2"/>
      </w:pPr>
      <w:r>
        <w:rPr>
          <w:color w:val="000000"/>
        </w:rPr>
        <w:t>6.1 From Yizhuan to Computational Diagnosis</w:t>
      </w:r>
    </w:p>
    <w:p>
      <w:r>
        <w:rPr>
          <w:rFonts w:ascii="Times New Roman" w:hAnsi="Times New Roman"/>
          <w:b w:val="0"/>
          <w:i w:val="0"/>
          <w:sz w:val="22"/>
        </w:rPr>
        <w:t>The Yizhuan defines structural relations between yao lines. V19 formalizes these as executable diagnostic operators.</w:t>
      </w:r>
    </w:p>
    <w:p>
      <w:r>
        <w:rPr>
          <w:i/>
          <w:sz w:val="18"/>
        </w:rPr>
        <w:t>Table 3: Six Yao Relations operators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18"/>
              </w:rPr>
              <w:t>Operator</w:t>
            </w:r>
          </w:p>
        </w:tc>
        <w:tc>
          <w:tcPr>
            <w:tcW w:type="dxa" w:w="1881"/>
          </w:tcPr>
          <w:p>
            <w:pPr>
              <w:jc w:val="center"/>
            </w:pPr>
            <w:r>
              <w:rPr>
                <w:rFonts w:ascii="Times New Roman" w:hAnsi="Times New Roman"/>
                <w:b/>
                <w:sz w:val="18"/>
              </w:rPr>
              <w:t>Classical Source</w:t>
            </w:r>
          </w:p>
        </w:tc>
        <w:tc>
          <w:tcPr>
            <w:tcW w:type="dxa" w:w="1881"/>
          </w:tcPr>
          <w:p>
            <w:pPr>
              <w:jc w:val="center"/>
            </w:pPr>
            <w:r>
              <w:rPr>
                <w:rFonts w:ascii="Times New Roman" w:hAnsi="Times New Roman"/>
                <w:b/>
                <w:sz w:val="18"/>
              </w:rPr>
              <w:t>Computation</w:t>
            </w:r>
          </w:p>
        </w:tc>
        <w:tc>
          <w:tcPr>
            <w:tcW w:type="dxa" w:w="1881"/>
          </w:tcPr>
          <w:p>
            <w:pPr>
              <w:jc w:val="center"/>
            </w:pPr>
            <w:r>
              <w:rPr>
                <w:rFonts w:ascii="Times New Roman" w:hAnsi="Times New Roman"/>
                <w:b/>
                <w:sz w:val="18"/>
              </w:rPr>
              <w:t>Diagnosis</w:t>
            </w:r>
          </w:p>
        </w:tc>
        <w:tc>
          <w:tcPr>
            <w:tcW w:type="dxa" w:w="1881"/>
          </w:tcPr>
          <w:p>
            <w:pPr>
              <w:jc w:val="center"/>
            </w:pPr>
            <w:r>
              <w:rPr>
                <w:rFonts w:ascii="Times New Roman" w:hAnsi="Times New Roman"/>
                <w:b/>
                <w:sz w:val="18"/>
              </w:rPr>
              <w:t>Recovery</w:t>
            </w:r>
          </w:p>
        </w:tc>
      </w:tr>
      <w:tr>
        <w:tc>
          <w:tcPr>
            <w:tcW w:type="dxa" w:w="1881"/>
          </w:tcPr>
          <w:p>
            <w:pPr>
              <w:jc w:val="center"/>
            </w:pPr>
            <w:r>
              <w:rPr>
                <w:rFonts w:ascii="Times New Roman" w:hAnsi="Times New Roman"/>
                <w:sz w:val="18"/>
              </w:rPr>
              <w:t>Cheng (Riding)</w:t>
            </w:r>
          </w:p>
        </w:tc>
        <w:tc>
          <w:tcPr>
            <w:tcW w:type="dxa" w:w="1881"/>
          </w:tcPr>
          <w:p>
            <w:pPr>
              <w:jc w:val="center"/>
            </w:pPr>
            <w:r>
              <w:rPr>
                <w:rFonts w:ascii="Times New Roman" w:hAnsi="Times New Roman"/>
                <w:sz w:val="18"/>
              </w:rPr>
              <w:t>Yin over Yang</w:t>
            </w:r>
          </w:p>
        </w:tc>
        <w:tc>
          <w:tcPr>
            <w:tcW w:type="dxa" w:w="1881"/>
          </w:tcPr>
          <w:p>
            <w:pPr>
              <w:jc w:val="center"/>
            </w:pPr>
            <w:r>
              <w:rPr>
                <w:rFonts w:ascii="Times New Roman" w:hAnsi="Times New Roman"/>
                <w:sz w:val="18"/>
              </w:rPr>
              <w:t>y_i&lt;0.3 and y_{i+1}&gt;0.7</w:t>
            </w:r>
          </w:p>
        </w:tc>
        <w:tc>
          <w:tcPr>
            <w:tcW w:type="dxa" w:w="1881"/>
          </w:tcPr>
          <w:p>
            <w:pPr>
              <w:jc w:val="center"/>
            </w:pPr>
            <w:r>
              <w:rPr>
                <w:rFonts w:ascii="Times New Roman" w:hAnsi="Times New Roman"/>
                <w:sz w:val="18"/>
              </w:rPr>
              <w:t>External resistance</w:t>
            </w:r>
          </w:p>
        </w:tc>
        <w:tc>
          <w:tcPr>
            <w:tcW w:type="dxa" w:w="1881"/>
          </w:tcPr>
          <w:p>
            <w:pPr>
              <w:jc w:val="center"/>
            </w:pPr>
            <w:r>
              <w:rPr>
                <w:rFonts w:ascii="Times New Roman" w:hAnsi="Times New Roman"/>
                <w:sz w:val="18"/>
              </w:rPr>
              <w:t>Force unopened containers</w:t>
            </w:r>
          </w:p>
        </w:tc>
      </w:tr>
      <w:tr>
        <w:tc>
          <w:tcPr>
            <w:tcW w:type="dxa" w:w="1881"/>
          </w:tcPr>
          <w:p>
            <w:pPr>
              <w:jc w:val="center"/>
            </w:pPr>
            <w:r>
              <w:rPr>
                <w:rFonts w:ascii="Times New Roman" w:hAnsi="Times New Roman"/>
                <w:sz w:val="18"/>
              </w:rPr>
              <w:t>Cheng (Bearing)</w:t>
            </w:r>
          </w:p>
        </w:tc>
        <w:tc>
          <w:tcPr>
            <w:tcW w:type="dxa" w:w="1881"/>
          </w:tcPr>
          <w:p>
            <w:pPr>
              <w:jc w:val="center"/>
            </w:pPr>
            <w:r>
              <w:rPr>
                <w:rFonts w:ascii="Times New Roman" w:hAnsi="Times New Roman"/>
                <w:sz w:val="18"/>
              </w:rPr>
              <w:t>Yang under Yin</w:t>
            </w:r>
          </w:p>
        </w:tc>
        <w:tc>
          <w:tcPr>
            <w:tcW w:type="dxa" w:w="1881"/>
          </w:tcPr>
          <w:p>
            <w:pPr>
              <w:jc w:val="center"/>
            </w:pPr>
            <w:r>
              <w:rPr>
                <w:rFonts w:ascii="Times New Roman" w:hAnsi="Times New Roman"/>
                <w:sz w:val="18"/>
              </w:rPr>
              <w:t>Positive detection</w:t>
            </w:r>
          </w:p>
        </w:tc>
        <w:tc>
          <w:tcPr>
            <w:tcW w:type="dxa" w:w="1881"/>
          </w:tcPr>
          <w:p>
            <w:pPr>
              <w:jc w:val="center"/>
            </w:pPr>
            <w:r>
              <w:rPr>
                <w:rFonts w:ascii="Times New Roman" w:hAnsi="Times New Roman"/>
                <w:sz w:val="18"/>
              </w:rPr>
              <w:t>Normal structure</w:t>
            </w:r>
          </w:p>
        </w:tc>
        <w:tc>
          <w:tcPr>
            <w:tcW w:type="dxa" w:w="1881"/>
          </w:tcPr>
          <w:p>
            <w:pPr>
              <w:jc w:val="center"/>
            </w:pPr>
            <w:r>
              <w:rPr>
                <w:rFonts w:ascii="Times New Roman" w:hAnsi="Times New Roman"/>
                <w:sz w:val="18"/>
              </w:rPr>
              <w:t>Maintain strategy</w:t>
            </w:r>
          </w:p>
        </w:tc>
      </w:tr>
      <w:tr>
        <w:tc>
          <w:tcPr>
            <w:tcW w:type="dxa" w:w="1881"/>
          </w:tcPr>
          <w:p>
            <w:pPr>
              <w:jc w:val="center"/>
            </w:pPr>
            <w:r>
              <w:rPr>
                <w:rFonts w:ascii="Times New Roman" w:hAnsi="Times New Roman"/>
                <w:sz w:val="18"/>
              </w:rPr>
              <w:t>Bi (Comparing)</w:t>
            </w:r>
          </w:p>
        </w:tc>
        <w:tc>
          <w:tcPr>
            <w:tcW w:type="dxa" w:w="1881"/>
          </w:tcPr>
          <w:p>
            <w:pPr>
              <w:jc w:val="center"/>
            </w:pPr>
            <w:r>
              <w:rPr>
                <w:rFonts w:ascii="Times New Roman" w:hAnsi="Times New Roman"/>
                <w:sz w:val="18"/>
              </w:rPr>
              <w:t>Adjacent yao</w:t>
            </w:r>
          </w:p>
        </w:tc>
        <w:tc>
          <w:tcPr>
            <w:tcW w:type="dxa" w:w="1881"/>
          </w:tcPr>
          <w:p>
            <w:pPr>
              <w:jc w:val="center"/>
            </w:pPr>
            <w:r>
              <w:rPr>
                <w:rFonts w:ascii="Times New Roman" w:hAnsi="Times New Roman"/>
                <w:sz w:val="18"/>
              </w:rPr>
              <w:t>Range&lt;0.06</w:t>
            </w:r>
          </w:p>
        </w:tc>
        <w:tc>
          <w:tcPr>
            <w:tcW w:type="dxa" w:w="1881"/>
          </w:tcPr>
          <w:p>
            <w:pPr>
              <w:jc w:val="center"/>
            </w:pPr>
            <w:r>
              <w:rPr>
                <w:rFonts w:ascii="Times New Roman" w:hAnsi="Times New Roman"/>
                <w:sz w:val="18"/>
              </w:rPr>
              <w:t>Perceptual stagnation</w:t>
            </w:r>
          </w:p>
        </w:tc>
        <w:tc>
          <w:tcPr>
            <w:tcW w:type="dxa" w:w="1881"/>
          </w:tcPr>
          <w:p>
            <w:pPr>
              <w:jc w:val="center"/>
            </w:pPr>
            <w:r>
              <w:rPr>
                <w:rFonts w:ascii="Times New Roman" w:hAnsi="Times New Roman"/>
                <w:sz w:val="18"/>
              </w:rPr>
              <w:t>Random exploration</w:t>
            </w:r>
          </w:p>
        </w:tc>
      </w:tr>
      <w:tr>
        <w:tc>
          <w:tcPr>
            <w:tcW w:type="dxa" w:w="1881"/>
          </w:tcPr>
          <w:p>
            <w:pPr>
              <w:jc w:val="center"/>
            </w:pPr>
            <w:r>
              <w:rPr>
                <w:rFonts w:ascii="Times New Roman" w:hAnsi="Times New Roman"/>
                <w:sz w:val="18"/>
              </w:rPr>
              <w:t>Ying (Responding)</w:t>
            </w:r>
          </w:p>
        </w:tc>
        <w:tc>
          <w:tcPr>
            <w:tcW w:type="dxa" w:w="1881"/>
          </w:tcPr>
          <w:p>
            <w:pPr>
              <w:jc w:val="center"/>
            </w:pPr>
            <w:r>
              <w:rPr>
                <w:rFonts w:ascii="Times New Roman" w:hAnsi="Times New Roman"/>
                <w:sz w:val="18"/>
              </w:rPr>
              <w:t>1↔4,2↔5,3↔6</w:t>
            </w:r>
          </w:p>
        </w:tc>
        <w:tc>
          <w:tcPr>
            <w:tcW w:type="dxa" w:w="1881"/>
          </w:tcPr>
          <w:p>
            <w:pPr>
              <w:jc w:val="center"/>
            </w:pPr>
            <w:r>
              <w:rPr>
                <w:rFonts w:ascii="Times New Roman" w:hAnsi="Times New Roman"/>
                <w:sz w:val="18"/>
              </w:rPr>
              <w:t>Ying_count=0</w:t>
            </w:r>
          </w:p>
        </w:tc>
        <w:tc>
          <w:tcPr>
            <w:tcW w:type="dxa" w:w="1881"/>
          </w:tcPr>
          <w:p>
            <w:pPr>
              <w:jc w:val="center"/>
            </w:pPr>
            <w:r>
              <w:rPr>
                <w:rFonts w:ascii="Times New Roman" w:hAnsi="Times New Roman"/>
                <w:sz w:val="18"/>
              </w:rPr>
              <w:t>Strategy mismatch</w:t>
            </w:r>
          </w:p>
        </w:tc>
        <w:tc>
          <w:tcPr>
            <w:tcW w:type="dxa" w:w="1881"/>
          </w:tcPr>
          <w:p>
            <w:pPr>
              <w:jc w:val="center"/>
            </w:pPr>
            <w:r>
              <w:rPr>
                <w:rFonts w:ascii="Times New Roman" w:hAnsi="Times New Roman"/>
                <w:sz w:val="18"/>
              </w:rPr>
              <w:t>Switch task mode</w:t>
            </w:r>
          </w:p>
        </w:tc>
      </w:tr>
      <w:tr>
        <w:tc>
          <w:tcPr>
            <w:tcW w:type="dxa" w:w="1881"/>
          </w:tcPr>
          <w:p>
            <w:pPr>
              <w:jc w:val="center"/>
            </w:pPr>
            <w:r>
              <w:rPr>
                <w:rFonts w:ascii="Times New Roman" w:hAnsi="Times New Roman"/>
                <w:sz w:val="18"/>
              </w:rPr>
              <w:t>Dangwei (Correct Pos.)</w:t>
            </w:r>
          </w:p>
        </w:tc>
        <w:tc>
          <w:tcPr>
            <w:tcW w:type="dxa" w:w="1881"/>
          </w:tcPr>
          <w:p>
            <w:pPr>
              <w:jc w:val="center"/>
            </w:pPr>
            <w:r>
              <w:rPr>
                <w:rFonts w:ascii="Times New Roman" w:hAnsi="Times New Roman"/>
                <w:sz w:val="18"/>
              </w:rPr>
              <w:t>Odd=Yang Even=Yin</w:t>
            </w:r>
          </w:p>
        </w:tc>
        <w:tc>
          <w:tcPr>
            <w:tcW w:type="dxa" w:w="1881"/>
          </w:tcPr>
          <w:p>
            <w:pPr>
              <w:jc w:val="center"/>
            </w:pPr>
            <w:r>
              <w:rPr>
                <w:rFonts w:ascii="Times New Roman" w:hAnsi="Times New Roman"/>
                <w:sz w:val="18"/>
              </w:rPr>
              <w:t>Odd-high even-low</w:t>
            </w:r>
          </w:p>
        </w:tc>
        <w:tc>
          <w:tcPr>
            <w:tcW w:type="dxa" w:w="1881"/>
          </w:tcPr>
          <w:p>
            <w:pPr>
              <w:jc w:val="center"/>
            </w:pPr>
            <w:r>
              <w:rPr>
                <w:rFonts w:ascii="Times New Roman" w:hAnsi="Times New Roman"/>
                <w:sz w:val="18"/>
              </w:rPr>
              <w:t>Mispositioned</w:t>
            </w:r>
          </w:p>
        </w:tc>
        <w:tc>
          <w:tcPr>
            <w:tcW w:type="dxa" w:w="1881"/>
          </w:tcPr>
          <w:p>
            <w:pPr>
              <w:jc w:val="center"/>
            </w:pPr>
            <w:r>
              <w:rPr>
                <w:rFonts w:ascii="Times New Roman" w:hAnsi="Times New Roman"/>
                <w:sz w:val="18"/>
              </w:rPr>
              <w:t>Adjust search direction</w:t>
            </w:r>
          </w:p>
        </w:tc>
      </w:tr>
      <w:tr>
        <w:tc>
          <w:tcPr>
            <w:tcW w:type="dxa" w:w="1881"/>
          </w:tcPr>
          <w:p>
            <w:pPr>
              <w:jc w:val="center"/>
            </w:pPr>
            <w:r>
              <w:rPr>
                <w:rFonts w:ascii="Times New Roman" w:hAnsi="Times New Roman"/>
                <w:sz w:val="18"/>
              </w:rPr>
              <w:t>Dezhong (Holding Center)</w:t>
            </w:r>
          </w:p>
        </w:tc>
        <w:tc>
          <w:tcPr>
            <w:tcW w:type="dxa" w:w="1881"/>
          </w:tcPr>
          <w:p>
            <w:pPr>
              <w:jc w:val="center"/>
            </w:pPr>
            <w:r>
              <w:rPr>
                <w:rFonts w:ascii="Times New Roman" w:hAnsi="Times New Roman"/>
                <w:sz w:val="18"/>
              </w:rPr>
              <w:t>2nd,5th as center</w:t>
            </w:r>
          </w:p>
        </w:tc>
        <w:tc>
          <w:tcPr>
            <w:tcW w:type="dxa" w:w="1881"/>
          </w:tcPr>
          <w:p>
            <w:pPr>
              <w:jc w:val="center"/>
            </w:pPr>
            <w:r>
              <w:rPr>
                <w:rFonts w:ascii="Times New Roman" w:hAnsi="Times New Roman"/>
                <w:sz w:val="18"/>
              </w:rPr>
              <w:t>Dezhong&lt;0.25</w:t>
            </w:r>
          </w:p>
        </w:tc>
        <w:tc>
          <w:tcPr>
            <w:tcW w:type="dxa" w:w="1881"/>
          </w:tcPr>
          <w:p>
            <w:pPr>
              <w:jc w:val="center"/>
            </w:pPr>
            <w:r>
              <w:rPr>
                <w:rFonts w:ascii="Times New Roman" w:hAnsi="Times New Roman"/>
                <w:sz w:val="18"/>
              </w:rPr>
              <w:t>Lost direction</w:t>
            </w:r>
          </w:p>
        </w:tc>
        <w:tc>
          <w:tcPr>
            <w:tcW w:type="dxa" w:w="1881"/>
          </w:tcPr>
          <w:p>
            <w:pPr>
              <w:jc w:val="center"/>
            </w:pPr>
            <w:r>
              <w:rPr>
                <w:rFonts w:ascii="Times New Roman" w:hAnsi="Times New Roman"/>
                <w:sz w:val="18"/>
              </w:rPr>
              <w:t>Expand search radius</w:t>
            </w:r>
          </w:p>
        </w:tc>
      </w:tr>
    </w:tbl>
    <w:p/>
    <w:p>
      <w:pPr>
        <w:pStyle w:val="Heading2"/>
      </w:pPr>
      <w:r>
        <w:rPr>
          <w:color w:val="000000"/>
        </w:rPr>
        <w:t>6.2 Formal Definitions</w:t>
      </w:r>
    </w:p>
    <w:p>
      <w:r>
        <w:rPr>
          <w:rFonts w:ascii="Times New Roman" w:hAnsi="Times New Roman"/>
          <w:b w:val="0"/>
          <w:i w:val="0"/>
          <w:sz w:val="22"/>
        </w:rPr>
        <w:t>Definition 1 (Cheng): For y ∈ [0,1]⁶, if ∃i such that y_{i+1}&lt;0.3 and y_i&gt;0.7, then (i,i+1) is a Riding relation.</w:t>
        <w:br/>
        <w:br/>
        <w:t>Definition 2 (Ying): Let y_scene be the lower trigram (y₁,y₂,y₃) and y_task be the upper trigram (y₄,y₅,y₆). Ying_count = |{p: sign(y_scene,p)=sign(y_task,p+3)}|. If Ying_count=0 → strategy mismatch.</w:t>
        <w:br/>
        <w:br/>
        <w:t>Definition 3 (Dangwei): Dangwei = (Σ_{i∈{1,3,5}}I[y_i&gt;0.5] + Σ_{j∈{2,4,6}}I[y_j&lt;0.5])/3</w:t>
        <w:br/>
        <w:br/>
        <w:t>Definition 4 (Dezhong): Dezhong = (I[y₂&gt;0.5] + I[y₅&gt;0.5])/2</w:t>
      </w:r>
    </w:p>
    <w:p>
      <w:pPr>
        <w:pStyle w:val="Heading2"/>
      </w:pPr>
      <w:r>
        <w:rPr>
          <w:color w:val="000000"/>
        </w:rPr>
        <w:t>6.3 Diagnostic Pipeline</w:t>
      </w:r>
    </w:p>
    <w:p>
      <w:r>
        <w:rPr>
          <w:rFonts w:ascii="Times New Roman" w:hAnsi="Times New Roman"/>
          <w:b w:val="0"/>
          <w:i w:val="0"/>
          <w:sz w:val="22"/>
        </w:rPr>
        <w:t>When V19 detects an empty productive action pool:</w:t>
        <w:br/>
        <w:br/>
        <w:t>Step 1: Build Chinese situation description → "Holding plate, at counter, see plate1 on counter, target: wash plate and put on counter."</w:t>
        <w:br/>
        <w:t>Step 2: Perceive dual six-yao → scene_yao (current perception) and task_yao (task expectation)</w:t>
        <w:br/>
        <w:t>Step 3: Compute difference six-yao → Δy = y_task - y_scene</w:t>
        <w:br/>
        <w:t>Step 4: Analyze Yao Relations on scene_yao, task_yao, and Δy</w:t>
        <w:br/>
        <w:t>Step 5: Priority-ordered diagnosis: external_resistance &gt; strategy_mismatch &gt; lost_direction &gt; perceptual_stagnation</w:t>
        <w:br/>
        <w:t>Step 6: Execute targeted recovery</w:t>
      </w:r>
    </w:p>
    <w:p>
      <w:pPr>
        <w:pStyle w:val="Heading2"/>
      </w:pPr>
      <w:r>
        <w:rPr>
          <w:color w:val="000000"/>
        </w:rPr>
        <w:t>6.4 Recovery Strategies</w:t>
      </w:r>
    </w:p>
    <w:p>
      <w:r>
        <w:rPr>
          <w:i/>
          <w:sz w:val="18"/>
        </w:rPr>
        <w:t>Table 4: Targeted recovery strategies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18"/>
              </w:rPr>
              <w:t>Diagnosis</w:t>
            </w:r>
          </w:p>
        </w:tc>
        <w:tc>
          <w:tcPr>
            <w:tcW w:type="dxa" w:w="3135"/>
          </w:tcPr>
          <w:p>
            <w:pPr>
              <w:jc w:val="center"/>
            </w:pPr>
            <w:r>
              <w:rPr>
                <w:rFonts w:ascii="Times New Roman" w:hAnsi="Times New Roman"/>
                <w:b/>
                <w:sz w:val="18"/>
              </w:rPr>
              <w:t>Trigger</w:t>
            </w:r>
          </w:p>
        </w:tc>
        <w:tc>
          <w:tcPr>
            <w:tcW w:type="dxa" w:w="3135"/>
          </w:tcPr>
          <w:p>
            <w:pPr>
              <w:jc w:val="center"/>
            </w:pPr>
            <w:r>
              <w:rPr>
                <w:rFonts w:ascii="Times New Roman" w:hAnsi="Times New Roman"/>
                <w:b/>
                <w:sz w:val="18"/>
              </w:rPr>
              <w:t>Recovery Action</w:t>
            </w:r>
          </w:p>
        </w:tc>
      </w:tr>
      <w:tr>
        <w:tc>
          <w:tcPr>
            <w:tcW w:type="dxa" w:w="3135"/>
          </w:tcPr>
          <w:p>
            <w:pPr>
              <w:jc w:val="center"/>
            </w:pPr>
            <w:r>
              <w:rPr>
                <w:rFonts w:ascii="Times New Roman" w:hAnsi="Times New Roman"/>
                <w:sz w:val="18"/>
              </w:rPr>
              <w:t>external_resistance</w:t>
            </w:r>
          </w:p>
        </w:tc>
        <w:tc>
          <w:tcPr>
            <w:tcW w:type="dxa" w:w="3135"/>
          </w:tcPr>
          <w:p>
            <w:pPr>
              <w:jc w:val="center"/>
            </w:pPr>
            <w:r>
              <w:rPr>
                <w:rFonts w:ascii="Times New Roman" w:hAnsi="Times New Roman"/>
                <w:sz w:val="18"/>
              </w:rPr>
              <w:t>Cheng_count≥2</w:t>
            </w:r>
          </w:p>
        </w:tc>
        <w:tc>
          <w:tcPr>
            <w:tcW w:type="dxa" w:w="3135"/>
          </w:tcPr>
          <w:p>
            <w:pPr>
              <w:jc w:val="center"/>
            </w:pPr>
            <w:r>
              <w:rPr>
                <w:rFonts w:ascii="Times New Roman" w:hAnsi="Times New Roman"/>
                <w:sz w:val="18"/>
              </w:rPr>
              <w:t>Force unopened container attention</w:t>
            </w:r>
          </w:p>
        </w:tc>
      </w:tr>
      <w:tr>
        <w:tc>
          <w:tcPr>
            <w:tcW w:type="dxa" w:w="3135"/>
          </w:tcPr>
          <w:p>
            <w:pPr>
              <w:jc w:val="center"/>
            </w:pPr>
            <w:r>
              <w:rPr>
                <w:rFonts w:ascii="Times New Roman" w:hAnsi="Times New Roman"/>
                <w:sz w:val="18"/>
              </w:rPr>
              <w:t>strategy_mismatch</w:t>
            </w:r>
          </w:p>
        </w:tc>
        <w:tc>
          <w:tcPr>
            <w:tcW w:type="dxa" w:w="3135"/>
          </w:tcPr>
          <w:p>
            <w:pPr>
              <w:jc w:val="center"/>
            </w:pPr>
            <w:r>
              <w:rPr>
                <w:rFonts w:ascii="Times New Roman" w:hAnsi="Times New Roman"/>
                <w:sz w:val="18"/>
              </w:rPr>
              <w:t>Ying_count=0</w:t>
            </w:r>
          </w:p>
        </w:tc>
        <w:tc>
          <w:tcPr>
            <w:tcW w:type="dxa" w:w="3135"/>
          </w:tcPr>
          <w:p>
            <w:pPr>
              <w:jc w:val="center"/>
            </w:pPr>
            <w:r>
              <w:rPr>
                <w:rFonts w:ascii="Times New Roman" w:hAnsi="Times New Roman"/>
                <w:sz w:val="18"/>
              </w:rPr>
              <w:t>Switch task mode (pickup↔exploration)</w:t>
            </w:r>
          </w:p>
        </w:tc>
      </w:tr>
      <w:tr>
        <w:tc>
          <w:tcPr>
            <w:tcW w:type="dxa" w:w="3135"/>
          </w:tcPr>
          <w:p>
            <w:pPr>
              <w:jc w:val="center"/>
            </w:pPr>
            <w:r>
              <w:rPr>
                <w:rFonts w:ascii="Times New Roman" w:hAnsi="Times New Roman"/>
                <w:sz w:val="18"/>
              </w:rPr>
              <w:t>lost_direction</w:t>
            </w:r>
          </w:p>
        </w:tc>
        <w:tc>
          <w:tcPr>
            <w:tcW w:type="dxa" w:w="3135"/>
          </w:tcPr>
          <w:p>
            <w:pPr>
              <w:jc w:val="center"/>
            </w:pPr>
            <w:r>
              <w:rPr>
                <w:rFonts w:ascii="Times New Roman" w:hAnsi="Times New Roman"/>
                <w:sz w:val="18"/>
              </w:rPr>
              <w:t>Dezhong&lt;0.25</w:t>
            </w:r>
          </w:p>
        </w:tc>
        <w:tc>
          <w:tcPr>
            <w:tcW w:type="dxa" w:w="3135"/>
          </w:tcPr>
          <w:p>
            <w:pPr>
              <w:jc w:val="center"/>
            </w:pPr>
            <w:r>
              <w:rPr>
                <w:rFonts w:ascii="Times New Roman" w:hAnsi="Times New Roman"/>
                <w:sz w:val="18"/>
              </w:rPr>
              <w:t>Expand search radius, new rooms</w:t>
            </w:r>
          </w:p>
        </w:tc>
      </w:tr>
      <w:tr>
        <w:tc>
          <w:tcPr>
            <w:tcW w:type="dxa" w:w="3135"/>
          </w:tcPr>
          <w:p>
            <w:pPr>
              <w:jc w:val="center"/>
            </w:pPr>
            <w:r>
              <w:rPr>
                <w:rFonts w:ascii="Times New Roman" w:hAnsi="Times New Roman"/>
                <w:sz w:val="18"/>
              </w:rPr>
              <w:t>position_mismatch</w:t>
            </w:r>
          </w:p>
        </w:tc>
        <w:tc>
          <w:tcPr>
            <w:tcW w:type="dxa" w:w="3135"/>
          </w:tcPr>
          <w:p>
            <w:pPr>
              <w:jc w:val="center"/>
            </w:pPr>
            <w:r>
              <w:rPr>
                <w:rFonts w:ascii="Times New Roman" w:hAnsi="Times New Roman"/>
                <w:sz w:val="18"/>
              </w:rPr>
              <w:t>|Δy₁|&gt;0.3</w:t>
            </w:r>
          </w:p>
        </w:tc>
        <w:tc>
          <w:tcPr>
            <w:tcW w:type="dxa" w:w="3135"/>
          </w:tcPr>
          <w:p>
            <w:pPr>
              <w:jc w:val="center"/>
            </w:pPr>
            <w:r>
              <w:rPr>
                <w:rFonts w:ascii="Times New Roman" w:hAnsi="Times New Roman"/>
                <w:sz w:val="18"/>
              </w:rPr>
              <w:t>Adjust candidate search direction</w:t>
            </w:r>
          </w:p>
        </w:tc>
      </w:tr>
      <w:tr>
        <w:tc>
          <w:tcPr>
            <w:tcW w:type="dxa" w:w="3135"/>
          </w:tcPr>
          <w:p>
            <w:pPr>
              <w:jc w:val="center"/>
            </w:pPr>
            <w:r>
              <w:rPr>
                <w:rFonts w:ascii="Times New Roman" w:hAnsi="Times New Roman"/>
                <w:sz w:val="18"/>
              </w:rPr>
              <w:t>attention_mismatch</w:t>
            </w:r>
          </w:p>
        </w:tc>
        <w:tc>
          <w:tcPr>
            <w:tcW w:type="dxa" w:w="3135"/>
          </w:tcPr>
          <w:p>
            <w:pPr>
              <w:jc w:val="center"/>
            </w:pPr>
            <w:r>
              <w:rPr>
                <w:rFonts w:ascii="Times New Roman" w:hAnsi="Times New Roman"/>
                <w:sz w:val="18"/>
              </w:rPr>
              <w:t>|Δy₅|&gt;0.3</w:t>
            </w:r>
          </w:p>
        </w:tc>
        <w:tc>
          <w:tcPr>
            <w:tcW w:type="dxa" w:w="3135"/>
          </w:tcPr>
          <w:p>
            <w:pPr>
              <w:jc w:val="center"/>
            </w:pPr>
            <w:r>
              <w:rPr>
                <w:rFonts w:ascii="Times New Roman" w:hAnsi="Times New Roman"/>
                <w:sz w:val="18"/>
              </w:rPr>
              <w:t>Force "look" to re-evaluate</w:t>
            </w:r>
          </w:p>
        </w:tc>
      </w:tr>
      <w:tr>
        <w:tc>
          <w:tcPr>
            <w:tcW w:type="dxa" w:w="3135"/>
          </w:tcPr>
          <w:p>
            <w:pPr>
              <w:jc w:val="center"/>
            </w:pPr>
            <w:r>
              <w:rPr>
                <w:rFonts w:ascii="Times New Roman" w:hAnsi="Times New Roman"/>
                <w:sz w:val="18"/>
              </w:rPr>
              <w:t>stagnant_perception</w:t>
            </w:r>
          </w:p>
        </w:tc>
        <w:tc>
          <w:tcPr>
            <w:tcW w:type="dxa" w:w="3135"/>
          </w:tcPr>
          <w:p>
            <w:pPr>
              <w:jc w:val="center"/>
            </w:pPr>
            <w:r>
              <w:rPr>
                <w:rFonts w:ascii="Times New Roman" w:hAnsi="Times New Roman"/>
                <w:sz w:val="18"/>
              </w:rPr>
              <w:t>var(yao)&lt;0.06</w:t>
            </w:r>
          </w:p>
        </w:tc>
        <w:tc>
          <w:tcPr>
            <w:tcW w:type="dxa" w:w="3135"/>
          </w:tcPr>
          <w:p>
            <w:pPr>
              <w:jc w:val="center"/>
            </w:pPr>
            <w:r>
              <w:rPr>
                <w:rFonts w:ascii="Times New Roman" w:hAnsi="Times New Roman"/>
                <w:sz w:val="18"/>
              </w:rPr>
              <w:t>Inject random exploration</w:t>
            </w:r>
          </w:p>
        </w:tc>
      </w:tr>
      <w:tr>
        <w:tc>
          <w:tcPr>
            <w:tcW w:type="dxa" w:w="3135"/>
          </w:tcPr>
          <w:p>
            <w:pPr>
              <w:jc w:val="center"/>
            </w:pPr>
            <w:r>
              <w:rPr>
                <w:rFonts w:ascii="Times New Roman" w:hAnsi="Times New Roman"/>
                <w:sz w:val="18"/>
              </w:rPr>
              <w:t>default</w:t>
            </w:r>
          </w:p>
        </w:tc>
        <w:tc>
          <w:tcPr>
            <w:tcW w:type="dxa" w:w="3135"/>
          </w:tcPr>
          <w:p>
            <w:pPr>
              <w:jc w:val="center"/>
            </w:pPr>
            <w:r>
              <w:rPr>
                <w:rFonts w:ascii="Times New Roman" w:hAnsi="Times New Roman"/>
                <w:sz w:val="18"/>
              </w:rPr>
              <w:t>None trigger</w:t>
            </w:r>
          </w:p>
        </w:tc>
        <w:tc>
          <w:tcPr>
            <w:tcW w:type="dxa" w:w="3135"/>
          </w:tcPr>
          <w:p>
            <w:pPr>
              <w:jc w:val="center"/>
            </w:pPr>
            <w:r>
              <w:rPr>
                <w:rFonts w:ascii="Times New Roman" w:hAnsi="Times New Roman"/>
                <w:sz w:val="18"/>
              </w:rPr>
              <w:t>Frontier reset (V18 fallback)</w:t>
            </w:r>
          </w:p>
        </w:tc>
      </w:tr>
    </w:tbl>
    <w:p/>
    <w:p>
      <w:pPr>
        <w:pStyle w:val="Heading1"/>
      </w:pPr>
      <w:r>
        <w:rPr>
          <w:color w:val="000000"/>
        </w:rPr>
        <w:t>7. Experiments</w:t>
      </w:r>
    </w:p>
    <w:p>
      <w:pPr>
        <w:pStyle w:val="Heading2"/>
      </w:pPr>
      <w:r>
        <w:rPr>
          <w:color w:val="000000"/>
        </w:rPr>
        <w:t>7.1 Setup</w:t>
      </w:r>
    </w:p>
    <w:p>
      <w:r>
        <w:rPr>
          <w:rFonts w:ascii="Times New Roman" w:hAnsi="Times New Roman"/>
          <w:b w:val="0"/>
          <w:i w:val="0"/>
          <w:sz w:val="22"/>
        </w:rPr>
        <w:t>Benchmark: ALFWorld valid_unseen (eval_out_of_distribution), 134 games, 7 task types. Max 50 steps, 180s timeout, text-only. Hardware: single CPU core, 2GB RAM, no GPU, no API.</w:t>
      </w:r>
    </w:p>
    <w:p>
      <w:pPr>
        <w:pStyle w:val="Heading2"/>
      </w:pPr>
      <w:r>
        <w:rPr>
          <w:color w:val="000000"/>
        </w:rPr>
        <w:t>7.2 Main Results</w:t>
      </w:r>
    </w:p>
    <w:p>
      <w:r>
        <w:rPr>
          <w:i/>
          <w:sz w:val="18"/>
        </w:rPr>
        <w:t>Table 5: Main results vs baselines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rFonts w:ascii="Times New Roman" w:hAnsi="Times New Roman"/>
                <w:b/>
                <w:sz w:val="18"/>
              </w:rPr>
              <w:t>Method</w:t>
            </w:r>
          </w:p>
        </w:tc>
        <w:tc>
          <w:tcPr>
            <w:tcW w:type="dxa" w:w="1568"/>
          </w:tcPr>
          <w:p>
            <w:pPr>
              <w:jc w:val="center"/>
            </w:pPr>
            <w:r>
              <w:rPr>
                <w:rFonts w:ascii="Times New Roman" w:hAnsi="Times New Roman"/>
                <w:b/>
                <w:sz w:val="18"/>
              </w:rPr>
              <w:t>LLM</w:t>
            </w:r>
          </w:p>
        </w:tc>
        <w:tc>
          <w:tcPr>
            <w:tcW w:type="dxa" w:w="1568"/>
          </w:tcPr>
          <w:p>
            <w:pPr>
              <w:jc w:val="center"/>
            </w:pPr>
            <w:r>
              <w:rPr>
                <w:rFonts w:ascii="Times New Roman" w:hAnsi="Times New Roman"/>
                <w:b/>
                <w:sz w:val="18"/>
              </w:rPr>
              <w:t>Params</w:t>
            </w:r>
          </w:p>
        </w:tc>
        <w:tc>
          <w:tcPr>
            <w:tcW w:type="dxa" w:w="1568"/>
          </w:tcPr>
          <w:p>
            <w:pPr>
              <w:jc w:val="center"/>
            </w:pPr>
            <w:r>
              <w:rPr>
                <w:rFonts w:ascii="Times New Roman" w:hAnsi="Times New Roman"/>
                <w:b/>
                <w:sz w:val="18"/>
              </w:rPr>
              <w:t>Deterministic</w:t>
            </w:r>
          </w:p>
        </w:tc>
        <w:tc>
          <w:tcPr>
            <w:tcW w:type="dxa" w:w="1568"/>
          </w:tcPr>
          <w:p>
            <w:pPr>
              <w:jc w:val="center"/>
            </w:pPr>
            <w:r>
              <w:rPr>
                <w:rFonts w:ascii="Times New Roman" w:hAnsi="Times New Roman"/>
                <w:b/>
                <w:sz w:val="18"/>
              </w:rPr>
              <w:t>Cost/Game</w:t>
            </w:r>
          </w:p>
        </w:tc>
        <w:tc>
          <w:tcPr>
            <w:tcW w:type="dxa" w:w="1568"/>
          </w:tcPr>
          <w:p>
            <w:pPr>
              <w:jc w:val="center"/>
            </w:pPr>
            <w:r>
              <w:rPr>
                <w:rFonts w:ascii="Times New Roman" w:hAnsi="Times New Roman"/>
                <w:b/>
                <w:sz w:val="18"/>
              </w:rPr>
              <w:t>Success</w:t>
            </w:r>
          </w:p>
        </w:tc>
      </w:tr>
      <w:tr>
        <w:tc>
          <w:tcPr>
            <w:tcW w:type="dxa" w:w="1568"/>
          </w:tcPr>
          <w:p>
            <w:pPr>
              <w:jc w:val="center"/>
            </w:pPr>
            <w:r>
              <w:rPr>
                <w:rFonts w:ascii="Times New Roman" w:hAnsi="Times New Roman"/>
                <w:sz w:val="18"/>
              </w:rPr>
              <w:t>YLYW-V19</w:t>
            </w:r>
          </w:p>
        </w:tc>
        <w:tc>
          <w:tcPr>
            <w:tcW w:type="dxa" w:w="1568"/>
          </w:tcPr>
          <w:p>
            <w:pPr>
              <w:jc w:val="center"/>
            </w:pPr>
            <w:r>
              <w:rPr>
                <w:rFonts w:ascii="Times New Roman" w:hAnsi="Times New Roman"/>
                <w:sz w:val="18"/>
              </w:rPr>
              <w:t>No</w:t>
            </w:r>
          </w:p>
        </w:tc>
        <w:tc>
          <w:tcPr>
            <w:tcW w:type="dxa" w:w="1568"/>
          </w:tcPr>
          <w:p>
            <w:pPr>
              <w:jc w:val="center"/>
            </w:pPr>
            <w:r>
              <w:rPr>
                <w:rFonts w:ascii="Times New Roman" w:hAnsi="Times New Roman"/>
                <w:sz w:val="18"/>
              </w:rPr>
              <w:t>443</w:t>
            </w:r>
          </w:p>
        </w:tc>
        <w:tc>
          <w:tcPr>
            <w:tcW w:type="dxa" w:w="1568"/>
          </w:tcPr>
          <w:p>
            <w:pPr>
              <w:jc w:val="center"/>
            </w:pPr>
            <w:r>
              <w:rPr>
                <w:rFonts w:ascii="Times New Roman" w:hAnsi="Times New Roman"/>
                <w:sz w:val="18"/>
              </w:rPr>
              <w:t>Yes</w:t>
            </w:r>
          </w:p>
        </w:tc>
        <w:tc>
          <w:tcPr>
            <w:tcW w:type="dxa" w:w="1568"/>
          </w:tcPr>
          <w:p>
            <w:pPr>
              <w:jc w:val="center"/>
            </w:pPr>
            <w:r>
              <w:rPr>
                <w:rFonts w:ascii="Times New Roman" w:hAnsi="Times New Roman"/>
                <w:sz w:val="18"/>
              </w:rPr>
              <w:t>$0</w:t>
            </w:r>
          </w:p>
        </w:tc>
        <w:tc>
          <w:tcPr>
            <w:tcW w:type="dxa" w:w="1568"/>
          </w:tcPr>
          <w:p>
            <w:pPr>
              <w:jc w:val="center"/>
            </w:pPr>
            <w:r>
              <w:rPr>
                <w:rFonts w:ascii="Times New Roman" w:hAnsi="Times New Roman"/>
                <w:sz w:val="18"/>
              </w:rPr>
              <w:t>91.0%</w:t>
            </w:r>
          </w:p>
        </w:tc>
      </w:tr>
      <w:tr>
        <w:tc>
          <w:tcPr>
            <w:tcW w:type="dxa" w:w="1568"/>
          </w:tcPr>
          <w:p>
            <w:pPr>
              <w:jc w:val="center"/>
            </w:pPr>
            <w:r>
              <w:rPr>
                <w:rFonts w:ascii="Times New Roman" w:hAnsi="Times New Roman"/>
                <w:sz w:val="18"/>
              </w:rPr>
              <w:t>YLYW-V18</w:t>
            </w:r>
          </w:p>
        </w:tc>
        <w:tc>
          <w:tcPr>
            <w:tcW w:type="dxa" w:w="1568"/>
          </w:tcPr>
          <w:p>
            <w:pPr>
              <w:jc w:val="center"/>
            </w:pPr>
            <w:r>
              <w:rPr>
                <w:rFonts w:ascii="Times New Roman" w:hAnsi="Times New Roman"/>
                <w:sz w:val="18"/>
              </w:rPr>
              <w:t>No</w:t>
            </w:r>
          </w:p>
        </w:tc>
        <w:tc>
          <w:tcPr>
            <w:tcW w:type="dxa" w:w="1568"/>
          </w:tcPr>
          <w:p>
            <w:pPr>
              <w:jc w:val="center"/>
            </w:pPr>
            <w:r>
              <w:rPr>
                <w:rFonts w:ascii="Times New Roman" w:hAnsi="Times New Roman"/>
                <w:sz w:val="18"/>
              </w:rPr>
              <w:t>443</w:t>
            </w:r>
          </w:p>
        </w:tc>
        <w:tc>
          <w:tcPr>
            <w:tcW w:type="dxa" w:w="1568"/>
          </w:tcPr>
          <w:p>
            <w:pPr>
              <w:jc w:val="center"/>
            </w:pPr>
            <w:r>
              <w:rPr>
                <w:rFonts w:ascii="Times New Roman" w:hAnsi="Times New Roman"/>
                <w:sz w:val="18"/>
              </w:rPr>
              <w:t>Yes</w:t>
            </w:r>
          </w:p>
        </w:tc>
        <w:tc>
          <w:tcPr>
            <w:tcW w:type="dxa" w:w="1568"/>
          </w:tcPr>
          <w:p>
            <w:pPr>
              <w:jc w:val="center"/>
            </w:pPr>
            <w:r>
              <w:rPr>
                <w:rFonts w:ascii="Times New Roman" w:hAnsi="Times New Roman"/>
                <w:sz w:val="18"/>
              </w:rPr>
              <w:t>$0</w:t>
            </w:r>
          </w:p>
        </w:tc>
        <w:tc>
          <w:tcPr>
            <w:tcW w:type="dxa" w:w="1568"/>
          </w:tcPr>
          <w:p>
            <w:pPr>
              <w:jc w:val="center"/>
            </w:pPr>
            <w:r>
              <w:rPr>
                <w:rFonts w:ascii="Times New Roman" w:hAnsi="Times New Roman"/>
                <w:sz w:val="18"/>
              </w:rPr>
              <w:t>79.9%</w:t>
            </w:r>
          </w:p>
        </w:tc>
      </w:tr>
      <w:tr>
        <w:tc>
          <w:tcPr>
            <w:tcW w:type="dxa" w:w="1568"/>
          </w:tcPr>
          <w:p>
            <w:pPr>
              <w:jc w:val="center"/>
            </w:pPr>
            <w:r>
              <w:rPr>
                <w:rFonts w:ascii="Times New Roman" w:hAnsi="Times New Roman"/>
                <w:sz w:val="18"/>
              </w:rPr>
              <w:t>YLYW-V17</w:t>
            </w:r>
          </w:p>
        </w:tc>
        <w:tc>
          <w:tcPr>
            <w:tcW w:type="dxa" w:w="1568"/>
          </w:tcPr>
          <w:p>
            <w:pPr>
              <w:jc w:val="center"/>
            </w:pPr>
            <w:r>
              <w:rPr>
                <w:rFonts w:ascii="Times New Roman" w:hAnsi="Times New Roman"/>
                <w:sz w:val="18"/>
              </w:rPr>
              <w:t>No</w:t>
            </w:r>
          </w:p>
        </w:tc>
        <w:tc>
          <w:tcPr>
            <w:tcW w:type="dxa" w:w="1568"/>
          </w:tcPr>
          <w:p>
            <w:pPr>
              <w:jc w:val="center"/>
            </w:pPr>
            <w:r>
              <w:rPr>
                <w:rFonts w:ascii="Times New Roman" w:hAnsi="Times New Roman"/>
                <w:sz w:val="18"/>
              </w:rPr>
              <w:t>443</w:t>
            </w:r>
          </w:p>
        </w:tc>
        <w:tc>
          <w:tcPr>
            <w:tcW w:type="dxa" w:w="1568"/>
          </w:tcPr>
          <w:p>
            <w:pPr>
              <w:jc w:val="center"/>
            </w:pPr>
            <w:r>
              <w:rPr>
                <w:rFonts w:ascii="Times New Roman" w:hAnsi="Times New Roman"/>
                <w:sz w:val="18"/>
              </w:rPr>
              <w:t>Yes</w:t>
            </w:r>
          </w:p>
        </w:tc>
        <w:tc>
          <w:tcPr>
            <w:tcW w:type="dxa" w:w="1568"/>
          </w:tcPr>
          <w:p>
            <w:pPr>
              <w:jc w:val="center"/>
            </w:pPr>
            <w:r>
              <w:rPr>
                <w:rFonts w:ascii="Times New Roman" w:hAnsi="Times New Roman"/>
                <w:sz w:val="18"/>
              </w:rPr>
              <w:t>$0</w:t>
            </w:r>
          </w:p>
        </w:tc>
        <w:tc>
          <w:tcPr>
            <w:tcW w:type="dxa" w:w="1568"/>
          </w:tcPr>
          <w:p>
            <w:pPr>
              <w:jc w:val="center"/>
            </w:pPr>
            <w:r>
              <w:rPr>
                <w:rFonts w:ascii="Times New Roman" w:hAnsi="Times New Roman"/>
                <w:sz w:val="18"/>
              </w:rPr>
              <w:t>~72%</w:t>
            </w:r>
          </w:p>
        </w:tc>
      </w:tr>
      <w:tr>
        <w:tc>
          <w:tcPr>
            <w:tcW w:type="dxa" w:w="1568"/>
          </w:tcPr>
          <w:p>
            <w:pPr>
              <w:jc w:val="center"/>
            </w:pPr>
            <w:r>
              <w:rPr>
                <w:rFonts w:ascii="Times New Roman" w:hAnsi="Times New Roman"/>
                <w:sz w:val="18"/>
              </w:rPr>
              <w:t>ReAct(GPT-4)</w:t>
            </w:r>
          </w:p>
        </w:tc>
        <w:tc>
          <w:tcPr>
            <w:tcW w:type="dxa" w:w="1568"/>
          </w:tcPr>
          <w:p>
            <w:pPr>
              <w:jc w:val="center"/>
            </w:pPr>
            <w:r>
              <w:rPr>
                <w:rFonts w:ascii="Times New Roman" w:hAnsi="Times New Roman"/>
                <w:sz w:val="18"/>
              </w:rPr>
              <w:t>GPT-4</w:t>
            </w:r>
          </w:p>
        </w:tc>
        <w:tc>
          <w:tcPr>
            <w:tcW w:type="dxa" w:w="1568"/>
          </w:tcPr>
          <w:p>
            <w:pPr>
              <w:jc w:val="center"/>
            </w:pPr>
            <w:r>
              <w:rPr>
                <w:rFonts w:ascii="Times New Roman" w:hAnsi="Times New Roman"/>
                <w:sz w:val="18"/>
              </w:rPr>
              <w:t>&gt;1T</w:t>
            </w:r>
          </w:p>
        </w:tc>
        <w:tc>
          <w:tcPr>
            <w:tcW w:type="dxa" w:w="1568"/>
          </w:tcPr>
          <w:p>
            <w:pPr>
              <w:jc w:val="center"/>
            </w:pPr>
            <w:r>
              <w:rPr>
                <w:rFonts w:ascii="Times New Roman" w:hAnsi="Times New Roman"/>
                <w:sz w:val="18"/>
              </w:rPr>
              <w:t>No</w:t>
            </w:r>
          </w:p>
        </w:tc>
        <w:tc>
          <w:tcPr>
            <w:tcW w:type="dxa" w:w="1568"/>
          </w:tcPr>
          <w:p>
            <w:pPr>
              <w:jc w:val="center"/>
            </w:pPr>
            <w:r>
              <w:rPr>
                <w:rFonts w:ascii="Times New Roman" w:hAnsi="Times New Roman"/>
                <w:sz w:val="18"/>
              </w:rPr>
              <w:t>~$0.50</w:t>
            </w:r>
          </w:p>
        </w:tc>
        <w:tc>
          <w:tcPr>
            <w:tcW w:type="dxa" w:w="1568"/>
          </w:tcPr>
          <w:p>
            <w:pPr>
              <w:jc w:val="center"/>
            </w:pPr>
            <w:r>
              <w:rPr>
                <w:rFonts w:ascii="Times New Roman" w:hAnsi="Times New Roman"/>
                <w:sz w:val="18"/>
              </w:rPr>
              <w:t>~65%</w:t>
            </w:r>
          </w:p>
        </w:tc>
      </w:tr>
      <w:tr>
        <w:tc>
          <w:tcPr>
            <w:tcW w:type="dxa" w:w="1568"/>
          </w:tcPr>
          <w:p>
            <w:pPr>
              <w:jc w:val="center"/>
            </w:pPr>
            <w:r>
              <w:rPr>
                <w:rFonts w:ascii="Times New Roman" w:hAnsi="Times New Roman"/>
                <w:sz w:val="18"/>
              </w:rPr>
              <w:t>SayCan(PaLM)</w:t>
            </w:r>
          </w:p>
        </w:tc>
        <w:tc>
          <w:tcPr>
            <w:tcW w:type="dxa" w:w="1568"/>
          </w:tcPr>
          <w:p>
            <w:pPr>
              <w:jc w:val="center"/>
            </w:pPr>
            <w:r>
              <w:rPr>
                <w:rFonts w:ascii="Times New Roman" w:hAnsi="Times New Roman"/>
                <w:sz w:val="18"/>
              </w:rPr>
              <w:t>PaLM</w:t>
            </w:r>
          </w:p>
        </w:tc>
        <w:tc>
          <w:tcPr>
            <w:tcW w:type="dxa" w:w="1568"/>
          </w:tcPr>
          <w:p>
            <w:pPr>
              <w:jc w:val="center"/>
            </w:pPr>
            <w:r>
              <w:rPr>
                <w:rFonts w:ascii="Times New Roman" w:hAnsi="Times New Roman"/>
                <w:sz w:val="18"/>
              </w:rPr>
              <w:t>540B</w:t>
            </w:r>
          </w:p>
        </w:tc>
        <w:tc>
          <w:tcPr>
            <w:tcW w:type="dxa" w:w="1568"/>
          </w:tcPr>
          <w:p>
            <w:pPr>
              <w:jc w:val="center"/>
            </w:pPr>
            <w:r>
              <w:rPr>
                <w:rFonts w:ascii="Times New Roman" w:hAnsi="Times New Roman"/>
                <w:sz w:val="18"/>
              </w:rPr>
              <w:t>No</w:t>
            </w:r>
          </w:p>
        </w:tc>
        <w:tc>
          <w:tcPr>
            <w:tcW w:type="dxa" w:w="1568"/>
          </w:tcPr>
          <w:p>
            <w:pPr>
              <w:jc w:val="center"/>
            </w:pPr>
            <w:r>
              <w:rPr>
                <w:rFonts w:ascii="Times New Roman" w:hAnsi="Times New Roman"/>
                <w:sz w:val="18"/>
              </w:rPr>
              <w:t>~$0.30</w:t>
            </w:r>
          </w:p>
        </w:tc>
        <w:tc>
          <w:tcPr>
            <w:tcW w:type="dxa" w:w="1568"/>
          </w:tcPr>
          <w:p>
            <w:pPr>
              <w:jc w:val="center"/>
            </w:pPr>
            <w:r>
              <w:rPr>
                <w:rFonts w:ascii="Times New Roman" w:hAnsi="Times New Roman"/>
                <w:sz w:val="18"/>
              </w:rPr>
              <w:t>~55%</w:t>
            </w:r>
          </w:p>
        </w:tc>
      </w:tr>
      <w:tr>
        <w:tc>
          <w:tcPr>
            <w:tcW w:type="dxa" w:w="1568"/>
          </w:tcPr>
          <w:p>
            <w:pPr>
              <w:jc w:val="center"/>
            </w:pPr>
            <w:r>
              <w:rPr>
                <w:rFonts w:ascii="Times New Roman" w:hAnsi="Times New Roman"/>
                <w:sz w:val="18"/>
              </w:rPr>
              <w:t>Code-as-Policies</w:t>
            </w:r>
          </w:p>
        </w:tc>
        <w:tc>
          <w:tcPr>
            <w:tcW w:type="dxa" w:w="1568"/>
          </w:tcPr>
          <w:p>
            <w:pPr>
              <w:jc w:val="center"/>
            </w:pPr>
            <w:r>
              <w:rPr>
                <w:rFonts w:ascii="Times New Roman" w:hAnsi="Times New Roman"/>
                <w:sz w:val="18"/>
              </w:rPr>
              <w:t>GPT-3.5</w:t>
            </w:r>
          </w:p>
        </w:tc>
        <w:tc>
          <w:tcPr>
            <w:tcW w:type="dxa" w:w="1568"/>
          </w:tcPr>
          <w:p>
            <w:pPr>
              <w:jc w:val="center"/>
            </w:pPr>
            <w:r>
              <w:rPr>
                <w:rFonts w:ascii="Times New Roman" w:hAnsi="Times New Roman"/>
                <w:sz w:val="18"/>
              </w:rPr>
              <w:t>175B</w:t>
            </w:r>
          </w:p>
        </w:tc>
        <w:tc>
          <w:tcPr>
            <w:tcW w:type="dxa" w:w="1568"/>
          </w:tcPr>
          <w:p>
            <w:pPr>
              <w:jc w:val="center"/>
            </w:pPr>
            <w:r>
              <w:rPr>
                <w:rFonts w:ascii="Times New Roman" w:hAnsi="Times New Roman"/>
                <w:sz w:val="18"/>
              </w:rPr>
              <w:t>No</w:t>
            </w:r>
          </w:p>
        </w:tc>
        <w:tc>
          <w:tcPr>
            <w:tcW w:type="dxa" w:w="1568"/>
          </w:tcPr>
          <w:p>
            <w:pPr>
              <w:jc w:val="center"/>
            </w:pPr>
            <w:r>
              <w:rPr>
                <w:rFonts w:ascii="Times New Roman" w:hAnsi="Times New Roman"/>
                <w:sz w:val="18"/>
              </w:rPr>
              <w:t>~$0.20</w:t>
            </w:r>
          </w:p>
        </w:tc>
        <w:tc>
          <w:tcPr>
            <w:tcW w:type="dxa" w:w="1568"/>
          </w:tcPr>
          <w:p>
            <w:pPr>
              <w:jc w:val="center"/>
            </w:pPr>
            <w:r>
              <w:rPr>
                <w:rFonts w:ascii="Times New Roman" w:hAnsi="Times New Roman"/>
                <w:sz w:val="18"/>
              </w:rPr>
              <w:t>~40%</w:t>
            </w:r>
          </w:p>
        </w:tc>
      </w:tr>
      <w:tr>
        <w:tc>
          <w:tcPr>
            <w:tcW w:type="dxa" w:w="1568"/>
          </w:tcPr>
          <w:p>
            <w:pPr>
              <w:jc w:val="center"/>
            </w:pPr>
            <w:r>
              <w:rPr>
                <w:rFonts w:ascii="Times New Roman" w:hAnsi="Times New Roman"/>
                <w:sz w:val="18"/>
              </w:rPr>
              <w:t>BUTLER(RL)</w:t>
            </w:r>
          </w:p>
        </w:tc>
        <w:tc>
          <w:tcPr>
            <w:tcW w:type="dxa" w:w="1568"/>
          </w:tcPr>
          <w:p>
            <w:pPr>
              <w:jc w:val="center"/>
            </w:pPr>
            <w:r>
              <w:rPr>
                <w:rFonts w:ascii="Times New Roman" w:hAnsi="Times New Roman"/>
                <w:sz w:val="18"/>
              </w:rPr>
              <w:t>No</w:t>
            </w:r>
          </w:p>
        </w:tc>
        <w:tc>
          <w:tcPr>
            <w:tcW w:type="dxa" w:w="1568"/>
          </w:tcPr>
          <w:p>
            <w:pPr>
              <w:jc w:val="center"/>
            </w:pPr>
            <w:r>
              <w:rPr>
                <w:rFonts w:ascii="Times New Roman" w:hAnsi="Times New Roman"/>
                <w:sz w:val="18"/>
              </w:rPr>
              <w:t>—</w:t>
            </w:r>
          </w:p>
        </w:tc>
        <w:tc>
          <w:tcPr>
            <w:tcW w:type="dxa" w:w="1568"/>
          </w:tcPr>
          <w:p>
            <w:pPr>
              <w:jc w:val="center"/>
            </w:pPr>
            <w:r>
              <w:rPr>
                <w:rFonts w:ascii="Times New Roman" w:hAnsi="Times New Roman"/>
                <w:sz w:val="18"/>
              </w:rPr>
              <w:t>No</w:t>
            </w:r>
          </w:p>
        </w:tc>
        <w:tc>
          <w:tcPr>
            <w:tcW w:type="dxa" w:w="1568"/>
          </w:tcPr>
          <w:p>
            <w:pPr>
              <w:jc w:val="center"/>
            </w:pPr>
            <w:r>
              <w:rPr>
                <w:rFonts w:ascii="Times New Roman" w:hAnsi="Times New Roman"/>
                <w:sz w:val="18"/>
              </w:rPr>
              <w:t>$0</w:t>
            </w:r>
          </w:p>
        </w:tc>
        <w:tc>
          <w:tcPr>
            <w:tcW w:type="dxa" w:w="1568"/>
          </w:tcPr>
          <w:p>
            <w:pPr>
              <w:jc w:val="center"/>
            </w:pPr>
            <w:r>
              <w:rPr>
                <w:rFonts w:ascii="Times New Roman" w:hAnsi="Times New Roman"/>
                <w:sz w:val="18"/>
              </w:rPr>
              <w:t>~20%</w:t>
            </w:r>
          </w:p>
        </w:tc>
      </w:tr>
    </w:tbl>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fig1_comparison.png"/>
                    <pic:cNvPicPr/>
                  </pic:nvPicPr>
                  <pic:blipFill>
                    <a:blip r:embed="rId9"/>
                    <a:stretch>
                      <a:fillRect/>
                    </a:stretch>
                  </pic:blipFill>
                  <pic:spPr>
                    <a:xfrm>
                      <a:off x="0" y="0"/>
                      <a:ext cx="4572000" cy="2857500"/>
                    </a:xfrm>
                    <a:prstGeom prst="rect"/>
                  </pic:spPr>
                </pic:pic>
              </a:graphicData>
            </a:graphic>
          </wp:inline>
        </w:drawing>
      </w:r>
    </w:p>
    <w:p>
      <w:pPr>
        <w:jc w:val="center"/>
      </w:pPr>
      <w:r>
        <w:rPr>
          <w:i/>
          <w:sz w:val="18"/>
        </w:rPr>
        <w:t>Figure 1: Success rate comparison</w:t>
      </w:r>
    </w:p>
    <w:p>
      <w:pPr>
        <w:pStyle w:val="Heading2"/>
      </w:pPr>
      <w:r>
        <w:rPr>
          <w:color w:val="000000"/>
        </w:rPr>
        <w:t>7.3 Ablation</w:t>
      </w:r>
    </w:p>
    <w:p>
      <w:r>
        <w:rPr>
          <w:i/>
          <w:sz w:val="18"/>
        </w:rPr>
        <w:t>Table 6: Ablation experiments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Component</w:t>
            </w:r>
          </w:p>
        </w:tc>
        <w:tc>
          <w:tcPr>
            <w:tcW w:type="dxa" w:w="2351"/>
          </w:tcPr>
          <w:p>
            <w:pPr>
              <w:jc w:val="center"/>
            </w:pPr>
            <w:r>
              <w:rPr>
                <w:rFonts w:ascii="Times New Roman" w:hAnsi="Times New Roman"/>
                <w:b/>
                <w:sz w:val="18"/>
              </w:rPr>
              <w:t>V19 Status</w:t>
            </w:r>
          </w:p>
        </w:tc>
        <w:tc>
          <w:tcPr>
            <w:tcW w:type="dxa" w:w="2351"/>
          </w:tcPr>
          <w:p>
            <w:pPr>
              <w:jc w:val="center"/>
            </w:pPr>
            <w:r>
              <w:rPr>
                <w:rFonts w:ascii="Times New Roman" w:hAnsi="Times New Roman"/>
                <w:b/>
                <w:sz w:val="18"/>
              </w:rPr>
              <w:t>Without</w:t>
            </w:r>
          </w:p>
        </w:tc>
        <w:tc>
          <w:tcPr>
            <w:tcW w:type="dxa" w:w="2351"/>
          </w:tcPr>
          <w:p>
            <w:pPr>
              <w:jc w:val="center"/>
            </w:pPr>
            <w:r>
              <w:rPr>
                <w:rFonts w:ascii="Times New Roman" w:hAnsi="Times New Roman"/>
                <w:b/>
                <w:sz w:val="18"/>
              </w:rPr>
              <w:t>Contribution</w:t>
            </w:r>
          </w:p>
        </w:tc>
      </w:tr>
      <w:tr>
        <w:tc>
          <w:tcPr>
            <w:tcW w:type="dxa" w:w="2351"/>
          </w:tcPr>
          <w:p>
            <w:pPr>
              <w:jc w:val="center"/>
            </w:pPr>
            <w:r>
              <w:rPr>
                <w:rFonts w:ascii="Times New Roman" w:hAnsi="Times New Roman"/>
                <w:sz w:val="18"/>
              </w:rPr>
              <w:t>Semantic Pipeline</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Foundation</w:t>
            </w:r>
          </w:p>
        </w:tc>
      </w:tr>
      <w:tr>
        <w:tc>
          <w:tcPr>
            <w:tcW w:type="dxa" w:w="2351"/>
          </w:tcPr>
          <w:p>
            <w:pPr>
              <w:jc w:val="center"/>
            </w:pPr>
            <w:r>
              <w:rPr>
                <w:rFonts w:ascii="Times New Roman" w:hAnsi="Times New Roman"/>
                <w:sz w:val="18"/>
              </w:rPr>
              <w:t>Zhiji Learning</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−6%</w:t>
            </w:r>
          </w:p>
        </w:tc>
        <w:tc>
          <w:tcPr>
            <w:tcW w:type="dxa" w:w="2351"/>
          </w:tcPr>
          <w:p>
            <w:pPr>
              <w:jc w:val="center"/>
            </w:pPr>
            <w:r>
              <w:rPr>
                <w:rFonts w:ascii="Times New Roman" w:hAnsi="Times New Roman"/>
                <w:sz w:val="18"/>
              </w:rPr>
              <w:t>Synonym/Location/Scene</w:t>
            </w:r>
          </w:p>
        </w:tc>
      </w:tr>
      <w:tr>
        <w:tc>
          <w:tcPr>
            <w:tcW w:type="dxa" w:w="2351"/>
          </w:tcPr>
          <w:p>
            <w:pPr>
              <w:jc w:val="center"/>
            </w:pPr>
            <w:r>
              <w:rPr>
                <w:rFonts w:ascii="Times New Roman" w:hAnsi="Times New Roman"/>
                <w:sz w:val="18"/>
              </w:rPr>
              <w:t>Hexagram Matching</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−7.9%</w:t>
            </w:r>
          </w:p>
        </w:tc>
        <w:tc>
          <w:tcPr>
            <w:tcW w:type="dxa" w:w="2351"/>
          </w:tcPr>
          <w:p>
            <w:pPr>
              <w:jc w:val="center"/>
            </w:pPr>
            <w:r>
              <w:rPr>
                <w:rFonts w:ascii="Times New Roman" w:hAnsi="Times New Roman"/>
                <w:sz w:val="18"/>
              </w:rPr>
              <w:t>Favorability reordering</w:t>
            </w:r>
          </w:p>
        </w:tc>
      </w:tr>
      <w:tr>
        <w:tc>
          <w:tcPr>
            <w:tcW w:type="dxa" w:w="2351"/>
          </w:tcPr>
          <w:p>
            <w:pPr>
              <w:jc w:val="center"/>
            </w:pPr>
            <w:r>
              <w:rPr>
                <w:rFonts w:ascii="Times New Roman" w:hAnsi="Times New Roman"/>
                <w:sz w:val="18"/>
              </w:rPr>
              <w:t>Yao Relations</w:t>
            </w:r>
          </w:p>
        </w:tc>
        <w:tc>
          <w:tcPr>
            <w:tcW w:type="dxa" w:w="2351"/>
          </w:tcPr>
          <w:p>
            <w:pPr>
              <w:jc w:val="center"/>
            </w:pPr>
            <w:r>
              <w:rPr>
                <w:rFonts w:ascii="Times New Roman" w:hAnsi="Times New Roman"/>
                <w:sz w:val="18"/>
              </w:rPr>
              <w:t>✓</w:t>
            </w:r>
          </w:p>
        </w:tc>
        <w:tc>
          <w:tcPr>
            <w:tcW w:type="dxa" w:w="2351"/>
          </w:tcPr>
          <w:p>
            <w:pPr>
              <w:jc w:val="center"/>
            </w:pPr>
            <w:r>
              <w:rPr>
                <w:rFonts w:ascii="Times New Roman" w:hAnsi="Times New Roman"/>
                <w:sz w:val="18"/>
              </w:rPr>
              <w:t>−11.1%</w:t>
            </w:r>
          </w:p>
        </w:tc>
        <w:tc>
          <w:tcPr>
            <w:tcW w:type="dxa" w:w="2351"/>
          </w:tcPr>
          <w:p>
            <w:pPr>
              <w:jc w:val="center"/>
            </w:pPr>
            <w:r>
              <w:rPr>
                <w:rFonts w:ascii="Times New Roman" w:hAnsi="Times New Roman"/>
                <w:sz w:val="18"/>
              </w:rPr>
              <w:t>Structured stuck recovery</w:t>
            </w:r>
          </w:p>
        </w:tc>
      </w:tr>
    </w:tbl>
    <w:p/>
    <w:p>
      <w:pPr>
        <w:pStyle w:val="Heading2"/>
      </w:pPr>
      <w:r>
        <w:rPr>
          <w:color w:val="000000"/>
        </w:rPr>
        <w:t>7.4 Task Type Breakdown</w:t>
      </w:r>
    </w:p>
    <w:p>
      <w:r>
        <w:rPr>
          <w:i/>
          <w:sz w:val="18"/>
        </w:rPr>
        <w:t>Table 7: Per-task-type performance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Task Type</w:t>
            </w:r>
          </w:p>
        </w:tc>
        <w:tc>
          <w:tcPr>
            <w:tcW w:type="dxa" w:w="2351"/>
          </w:tcPr>
          <w:p>
            <w:pPr>
              <w:jc w:val="center"/>
            </w:pPr>
            <w:r>
              <w:rPr>
                <w:rFonts w:ascii="Times New Roman" w:hAnsi="Times New Roman"/>
                <w:b/>
                <w:sz w:val="18"/>
              </w:rPr>
              <w:t>V18</w:t>
            </w:r>
          </w:p>
        </w:tc>
        <w:tc>
          <w:tcPr>
            <w:tcW w:type="dxa" w:w="2351"/>
          </w:tcPr>
          <w:p>
            <w:pPr>
              <w:jc w:val="center"/>
            </w:pPr>
            <w:r>
              <w:rPr>
                <w:rFonts w:ascii="Times New Roman" w:hAnsi="Times New Roman"/>
                <w:b/>
                <w:sz w:val="18"/>
              </w:rPr>
              <w:t>V19</w:t>
            </w:r>
          </w:p>
        </w:tc>
        <w:tc>
          <w:tcPr>
            <w:tcW w:type="dxa" w:w="2351"/>
          </w:tcPr>
          <w:p>
            <w:pPr>
              <w:jc w:val="center"/>
            </w:pPr>
            <w:r>
              <w:rPr>
                <w:rFonts w:ascii="Times New Roman" w:hAnsi="Times New Roman"/>
                <w:b/>
                <w:sz w:val="18"/>
              </w:rPr>
              <w:t>Δ</w:t>
            </w:r>
          </w:p>
        </w:tc>
      </w:tr>
      <w:tr>
        <w:tc>
          <w:tcPr>
            <w:tcW w:type="dxa" w:w="2351"/>
          </w:tcPr>
          <w:p>
            <w:pPr>
              <w:jc w:val="center"/>
            </w:pPr>
            <w:r>
              <w:rPr>
                <w:rFonts w:ascii="Times New Roman" w:hAnsi="Times New Roman"/>
                <w:sz w:val="18"/>
              </w:rPr>
              <w:t>pick_clean_then_place</w:t>
            </w:r>
          </w:p>
        </w:tc>
        <w:tc>
          <w:tcPr>
            <w:tcW w:type="dxa" w:w="2351"/>
          </w:tcPr>
          <w:p>
            <w:pPr>
              <w:jc w:val="center"/>
            </w:pPr>
            <w:r>
              <w:rPr>
                <w:rFonts w:ascii="Times New Roman" w:hAnsi="Times New Roman"/>
                <w:sz w:val="18"/>
              </w:rPr>
              <w:t>87.5%</w:t>
            </w:r>
          </w:p>
        </w:tc>
        <w:tc>
          <w:tcPr>
            <w:tcW w:type="dxa" w:w="2351"/>
          </w:tcPr>
          <w:p>
            <w:pPr>
              <w:jc w:val="center"/>
            </w:pPr>
            <w:r>
              <w:rPr>
                <w:rFonts w:ascii="Times New Roman" w:hAnsi="Times New Roman"/>
                <w:sz w:val="18"/>
              </w:rPr>
              <w:t>93.8%</w:t>
            </w:r>
          </w:p>
        </w:tc>
        <w:tc>
          <w:tcPr>
            <w:tcW w:type="dxa" w:w="2351"/>
          </w:tcPr>
          <w:p>
            <w:pPr>
              <w:jc w:val="center"/>
            </w:pPr>
            <w:r>
              <w:rPr>
                <w:rFonts w:ascii="Times New Roman" w:hAnsi="Times New Roman"/>
                <w:sz w:val="18"/>
              </w:rPr>
              <w:t>+6.3%</w:t>
            </w:r>
          </w:p>
        </w:tc>
      </w:tr>
      <w:tr>
        <w:tc>
          <w:tcPr>
            <w:tcW w:type="dxa" w:w="2351"/>
          </w:tcPr>
          <w:p>
            <w:pPr>
              <w:jc w:val="center"/>
            </w:pPr>
            <w:r>
              <w:rPr>
                <w:rFonts w:ascii="Times New Roman" w:hAnsi="Times New Roman"/>
                <w:sz w:val="18"/>
              </w:rPr>
              <w:t>pick_cool_then_place</w:t>
            </w:r>
          </w:p>
        </w:tc>
        <w:tc>
          <w:tcPr>
            <w:tcW w:type="dxa" w:w="2351"/>
          </w:tcPr>
          <w:p>
            <w:pPr>
              <w:jc w:val="center"/>
            </w:pPr>
            <w:r>
              <w:rPr>
                <w:rFonts w:ascii="Times New Roman" w:hAnsi="Times New Roman"/>
                <w:sz w:val="18"/>
              </w:rPr>
              <w:t>78.6%</w:t>
            </w:r>
          </w:p>
        </w:tc>
        <w:tc>
          <w:tcPr>
            <w:tcW w:type="dxa" w:w="2351"/>
          </w:tcPr>
          <w:p>
            <w:pPr>
              <w:jc w:val="center"/>
            </w:pPr>
            <w:r>
              <w:rPr>
                <w:rFonts w:ascii="Times New Roman" w:hAnsi="Times New Roman"/>
                <w:sz w:val="18"/>
              </w:rPr>
              <w:t>92.9%</w:t>
            </w:r>
          </w:p>
        </w:tc>
        <w:tc>
          <w:tcPr>
            <w:tcW w:type="dxa" w:w="2351"/>
          </w:tcPr>
          <w:p>
            <w:pPr>
              <w:jc w:val="center"/>
            </w:pPr>
            <w:r>
              <w:rPr>
                <w:rFonts w:ascii="Times New Roman" w:hAnsi="Times New Roman"/>
                <w:sz w:val="18"/>
              </w:rPr>
              <w:t>+14.3%</w:t>
            </w:r>
          </w:p>
        </w:tc>
      </w:tr>
      <w:tr>
        <w:tc>
          <w:tcPr>
            <w:tcW w:type="dxa" w:w="2351"/>
          </w:tcPr>
          <w:p>
            <w:pPr>
              <w:jc w:val="center"/>
            </w:pPr>
            <w:r>
              <w:rPr>
                <w:rFonts w:ascii="Times New Roman" w:hAnsi="Times New Roman"/>
                <w:sz w:val="18"/>
              </w:rPr>
              <w:t>pick_heat_then_place</w:t>
            </w:r>
          </w:p>
        </w:tc>
        <w:tc>
          <w:tcPr>
            <w:tcW w:type="dxa" w:w="2351"/>
          </w:tcPr>
          <w:p>
            <w:pPr>
              <w:jc w:val="center"/>
            </w:pPr>
            <w:r>
              <w:rPr>
                <w:rFonts w:ascii="Times New Roman" w:hAnsi="Times New Roman"/>
                <w:sz w:val="18"/>
              </w:rPr>
              <w:t>81.3%</w:t>
            </w:r>
          </w:p>
        </w:tc>
        <w:tc>
          <w:tcPr>
            <w:tcW w:type="dxa" w:w="2351"/>
          </w:tcPr>
          <w:p>
            <w:pPr>
              <w:jc w:val="center"/>
            </w:pPr>
            <w:r>
              <w:rPr>
                <w:rFonts w:ascii="Times New Roman" w:hAnsi="Times New Roman"/>
                <w:sz w:val="18"/>
              </w:rPr>
              <w:t>93.8%</w:t>
            </w:r>
          </w:p>
        </w:tc>
        <w:tc>
          <w:tcPr>
            <w:tcW w:type="dxa" w:w="2351"/>
          </w:tcPr>
          <w:p>
            <w:pPr>
              <w:jc w:val="center"/>
            </w:pPr>
            <w:r>
              <w:rPr>
                <w:rFonts w:ascii="Times New Roman" w:hAnsi="Times New Roman"/>
                <w:sz w:val="18"/>
              </w:rPr>
              <w:t>+12.5%</w:t>
            </w:r>
          </w:p>
        </w:tc>
      </w:tr>
      <w:tr>
        <w:tc>
          <w:tcPr>
            <w:tcW w:type="dxa" w:w="2351"/>
          </w:tcPr>
          <w:p>
            <w:pPr>
              <w:jc w:val="center"/>
            </w:pPr>
            <w:r>
              <w:rPr>
                <w:rFonts w:ascii="Times New Roman" w:hAnsi="Times New Roman"/>
                <w:sz w:val="18"/>
              </w:rPr>
              <w:t>pick_two_obj_and_place</w:t>
            </w:r>
          </w:p>
        </w:tc>
        <w:tc>
          <w:tcPr>
            <w:tcW w:type="dxa" w:w="2351"/>
          </w:tcPr>
          <w:p>
            <w:pPr>
              <w:jc w:val="center"/>
            </w:pPr>
            <w:r>
              <w:rPr>
                <w:rFonts w:ascii="Times New Roman" w:hAnsi="Times New Roman"/>
                <w:sz w:val="18"/>
              </w:rPr>
              <w:t>77.3%</w:t>
            </w:r>
          </w:p>
        </w:tc>
        <w:tc>
          <w:tcPr>
            <w:tcW w:type="dxa" w:w="2351"/>
          </w:tcPr>
          <w:p>
            <w:pPr>
              <w:jc w:val="center"/>
            </w:pPr>
            <w:r>
              <w:rPr>
                <w:rFonts w:ascii="Times New Roman" w:hAnsi="Times New Roman"/>
                <w:sz w:val="18"/>
              </w:rPr>
              <w:t>90.9%</w:t>
            </w:r>
          </w:p>
        </w:tc>
        <w:tc>
          <w:tcPr>
            <w:tcW w:type="dxa" w:w="2351"/>
          </w:tcPr>
          <w:p>
            <w:pPr>
              <w:jc w:val="center"/>
            </w:pPr>
            <w:r>
              <w:rPr>
                <w:rFonts w:ascii="Times New Roman" w:hAnsi="Times New Roman"/>
                <w:sz w:val="18"/>
              </w:rPr>
              <w:t>+13.6%</w:t>
            </w:r>
          </w:p>
        </w:tc>
      </w:tr>
      <w:tr>
        <w:tc>
          <w:tcPr>
            <w:tcW w:type="dxa" w:w="2351"/>
          </w:tcPr>
          <w:p>
            <w:pPr>
              <w:jc w:val="center"/>
            </w:pPr>
            <w:r>
              <w:rPr>
                <w:rFonts w:ascii="Times New Roman" w:hAnsi="Times New Roman"/>
                <w:sz w:val="18"/>
              </w:rPr>
              <w:t>look_at_obj_in_light</w:t>
            </w:r>
          </w:p>
        </w:tc>
        <w:tc>
          <w:tcPr>
            <w:tcW w:type="dxa" w:w="2351"/>
          </w:tcPr>
          <w:p>
            <w:pPr>
              <w:jc w:val="center"/>
            </w:pPr>
            <w:r>
              <w:rPr>
                <w:rFonts w:ascii="Times New Roman" w:hAnsi="Times New Roman"/>
                <w:sz w:val="18"/>
              </w:rPr>
              <w:t>93.3%</w:t>
            </w:r>
          </w:p>
        </w:tc>
        <w:tc>
          <w:tcPr>
            <w:tcW w:type="dxa" w:w="2351"/>
          </w:tcPr>
          <w:p>
            <w:pPr>
              <w:jc w:val="center"/>
            </w:pPr>
            <w:r>
              <w:rPr>
                <w:rFonts w:ascii="Times New Roman" w:hAnsi="Times New Roman"/>
                <w:sz w:val="18"/>
              </w:rPr>
              <w:t>96.7%</w:t>
            </w:r>
          </w:p>
        </w:tc>
        <w:tc>
          <w:tcPr>
            <w:tcW w:type="dxa" w:w="2351"/>
          </w:tcPr>
          <w:p>
            <w:pPr>
              <w:jc w:val="center"/>
            </w:pPr>
            <w:r>
              <w:rPr>
                <w:rFonts w:ascii="Times New Roman" w:hAnsi="Times New Roman"/>
                <w:sz w:val="18"/>
              </w:rPr>
              <w:t>+3.4%</w:t>
            </w:r>
          </w:p>
        </w:tc>
      </w:tr>
      <w:tr>
        <w:tc>
          <w:tcPr>
            <w:tcW w:type="dxa" w:w="2351"/>
          </w:tcPr>
          <w:p>
            <w:pPr>
              <w:jc w:val="center"/>
            </w:pPr>
            <w:r>
              <w:rPr>
                <w:rFonts w:ascii="Times New Roman" w:hAnsi="Times New Roman"/>
                <w:sz w:val="18"/>
              </w:rPr>
              <w:t>pick_and_place_simple</w:t>
            </w:r>
          </w:p>
        </w:tc>
        <w:tc>
          <w:tcPr>
            <w:tcW w:type="dxa" w:w="2351"/>
          </w:tcPr>
          <w:p>
            <w:pPr>
              <w:jc w:val="center"/>
            </w:pPr>
            <w:r>
              <w:rPr>
                <w:rFonts w:ascii="Times New Roman" w:hAnsi="Times New Roman"/>
                <w:sz w:val="18"/>
              </w:rPr>
              <w:t>83.3%</w:t>
            </w:r>
          </w:p>
        </w:tc>
        <w:tc>
          <w:tcPr>
            <w:tcW w:type="dxa" w:w="2351"/>
          </w:tcPr>
          <w:p>
            <w:pPr>
              <w:jc w:val="center"/>
            </w:pPr>
            <w:r>
              <w:rPr>
                <w:rFonts w:ascii="Times New Roman" w:hAnsi="Times New Roman"/>
                <w:sz w:val="18"/>
              </w:rPr>
              <w:t>94.4%</w:t>
            </w:r>
          </w:p>
        </w:tc>
        <w:tc>
          <w:tcPr>
            <w:tcW w:type="dxa" w:w="2351"/>
          </w:tcPr>
          <w:p>
            <w:pPr>
              <w:jc w:val="center"/>
            </w:pPr>
            <w:r>
              <w:rPr>
                <w:rFonts w:ascii="Times New Roman" w:hAnsi="Times New Roman"/>
                <w:sz w:val="18"/>
              </w:rPr>
              <w:t>+11.1%</w:t>
            </w:r>
          </w:p>
        </w:tc>
      </w:tr>
      <w:tr>
        <w:tc>
          <w:tcPr>
            <w:tcW w:type="dxa" w:w="2351"/>
          </w:tcPr>
          <w:p>
            <w:pPr>
              <w:jc w:val="center"/>
            </w:pPr>
            <w:r>
              <w:rPr>
                <w:rFonts w:ascii="Times New Roman" w:hAnsi="Times New Roman"/>
                <w:sz w:val="18"/>
              </w:rPr>
              <w:t>pick_and_place_w/movable</w:t>
            </w:r>
          </w:p>
        </w:tc>
        <w:tc>
          <w:tcPr>
            <w:tcW w:type="dxa" w:w="2351"/>
          </w:tcPr>
          <w:p>
            <w:pPr>
              <w:jc w:val="center"/>
            </w:pPr>
            <w:r>
              <w:rPr>
                <w:rFonts w:ascii="Times New Roman" w:hAnsi="Times New Roman"/>
                <w:sz w:val="18"/>
              </w:rPr>
              <w:t>50.0%</w:t>
            </w:r>
          </w:p>
        </w:tc>
        <w:tc>
          <w:tcPr>
            <w:tcW w:type="dxa" w:w="2351"/>
          </w:tcPr>
          <w:p>
            <w:pPr>
              <w:jc w:val="center"/>
            </w:pPr>
            <w:r>
              <w:rPr>
                <w:rFonts w:ascii="Times New Roman" w:hAnsi="Times New Roman"/>
                <w:sz w:val="18"/>
              </w:rPr>
              <w:t>72.2%</w:t>
            </w:r>
          </w:p>
        </w:tc>
        <w:tc>
          <w:tcPr>
            <w:tcW w:type="dxa" w:w="2351"/>
          </w:tcPr>
          <w:p>
            <w:pPr>
              <w:jc w:val="center"/>
            </w:pPr>
            <w:r>
              <w:rPr>
                <w:rFonts w:ascii="Times New Roman" w:hAnsi="Times New Roman"/>
                <w:sz w:val="18"/>
              </w:rPr>
              <w:t>+22.2%</w:t>
            </w:r>
          </w:p>
        </w:tc>
      </w:tr>
    </w:tbl>
    <w:p/>
    <w:p>
      <w:pPr>
        <w:jc w:val="center"/>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fig3_segment_comparison.png"/>
                    <pic:cNvPicPr/>
                  </pic:nvPicPr>
                  <pic:blipFill>
                    <a:blip r:embed="rId10"/>
                    <a:stretch>
                      <a:fillRect/>
                    </a:stretch>
                  </pic:blipFill>
                  <pic:spPr>
                    <a:xfrm>
                      <a:off x="0" y="0"/>
                      <a:ext cx="4572000" cy="2286000"/>
                    </a:xfrm>
                    <a:prstGeom prst="rect"/>
                  </pic:spPr>
                </pic:pic>
              </a:graphicData>
            </a:graphic>
          </wp:inline>
        </w:drawing>
      </w:r>
    </w:p>
    <w:p>
      <w:pPr>
        <w:jc w:val="center"/>
      </w:pPr>
      <w:r>
        <w:rPr>
          <w:i/>
          <w:sz w:val="18"/>
        </w:rPr>
        <w:t>Figure 2: V18 vs V19 per-segment comparison</w:t>
      </w:r>
    </w:p>
    <w:p>
      <w:pPr>
        <w:pStyle w:val="Heading2"/>
      </w:pPr>
      <w:r>
        <w:rPr>
          <w:color w:val="000000"/>
        </w:rPr>
        <w:t>7.5 Efficiency</w:t>
      </w:r>
    </w:p>
    <w:p>
      <w:r>
        <w:rPr>
          <w:i/>
          <w:sz w:val="18"/>
        </w:rPr>
        <w:t>Table 8: Efficiency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18"/>
              </w:rPr>
              <w:t>Metric</w:t>
            </w:r>
          </w:p>
        </w:tc>
        <w:tc>
          <w:tcPr>
            <w:tcW w:type="dxa" w:w="2351"/>
          </w:tcPr>
          <w:p>
            <w:pPr>
              <w:jc w:val="center"/>
            </w:pPr>
            <w:r>
              <w:rPr>
                <w:rFonts w:ascii="Times New Roman" w:hAnsi="Times New Roman"/>
                <w:b/>
                <w:sz w:val="18"/>
              </w:rPr>
              <w:t>V18</w:t>
            </w:r>
          </w:p>
        </w:tc>
        <w:tc>
          <w:tcPr>
            <w:tcW w:type="dxa" w:w="2351"/>
          </w:tcPr>
          <w:p>
            <w:pPr>
              <w:jc w:val="center"/>
            </w:pPr>
            <w:r>
              <w:rPr>
                <w:rFonts w:ascii="Times New Roman" w:hAnsi="Times New Roman"/>
                <w:b/>
                <w:sz w:val="18"/>
              </w:rPr>
              <w:t>V19</w:t>
            </w:r>
          </w:p>
        </w:tc>
        <w:tc>
          <w:tcPr>
            <w:tcW w:type="dxa" w:w="2351"/>
          </w:tcPr>
          <w:p>
            <w:pPr>
              <w:jc w:val="center"/>
            </w:pPr>
            <w:r>
              <w:rPr>
                <w:rFonts w:ascii="Times New Roman" w:hAnsi="Times New Roman"/>
                <w:b/>
                <w:sz w:val="18"/>
              </w:rPr>
              <w:t>Comparison</w:t>
            </w:r>
          </w:p>
        </w:tc>
      </w:tr>
      <w:tr>
        <w:tc>
          <w:tcPr>
            <w:tcW w:type="dxa" w:w="2351"/>
          </w:tcPr>
          <w:p>
            <w:pPr>
              <w:jc w:val="center"/>
            </w:pPr>
            <w:r>
              <w:rPr>
                <w:rFonts w:ascii="Times New Roman" w:hAnsi="Times New Roman"/>
                <w:sz w:val="18"/>
              </w:rPr>
              <w:t>Per-step</w:t>
            </w:r>
          </w:p>
        </w:tc>
        <w:tc>
          <w:tcPr>
            <w:tcW w:type="dxa" w:w="2351"/>
          </w:tcPr>
          <w:p>
            <w:pPr>
              <w:jc w:val="center"/>
            </w:pPr>
            <w:r>
              <w:rPr>
                <w:rFonts w:ascii="Times New Roman" w:hAnsi="Times New Roman"/>
                <w:sz w:val="18"/>
              </w:rPr>
              <w:t>0.11s</w:t>
            </w:r>
          </w:p>
        </w:tc>
        <w:tc>
          <w:tcPr>
            <w:tcW w:type="dxa" w:w="2351"/>
          </w:tcPr>
          <w:p>
            <w:pPr>
              <w:jc w:val="center"/>
            </w:pPr>
            <w:r>
              <w:rPr>
                <w:rFonts w:ascii="Times New Roman" w:hAnsi="Times New Roman"/>
                <w:sz w:val="18"/>
              </w:rPr>
              <w:t>0.077s</w:t>
            </w:r>
          </w:p>
        </w:tc>
        <w:tc>
          <w:tcPr>
            <w:tcW w:type="dxa" w:w="2351"/>
          </w:tcPr>
          <w:p>
            <w:pPr>
              <w:jc w:val="center"/>
            </w:pPr>
            <w:r>
              <w:rPr>
                <w:rFonts w:ascii="Times New Roman" w:hAnsi="Times New Roman"/>
                <w:sz w:val="18"/>
              </w:rPr>
              <w:t>1.4× faster</w:t>
            </w:r>
          </w:p>
        </w:tc>
      </w:tr>
      <w:tr>
        <w:tc>
          <w:tcPr>
            <w:tcW w:type="dxa" w:w="2351"/>
          </w:tcPr>
          <w:p>
            <w:pPr>
              <w:jc w:val="center"/>
            </w:pPr>
            <w:r>
              <w:rPr>
                <w:rFonts w:ascii="Times New Roman" w:hAnsi="Times New Roman"/>
                <w:sz w:val="18"/>
              </w:rPr>
              <w:t>134-game eval</w:t>
            </w:r>
          </w:p>
        </w:tc>
        <w:tc>
          <w:tcPr>
            <w:tcW w:type="dxa" w:w="2351"/>
          </w:tcPr>
          <w:p>
            <w:pPr>
              <w:jc w:val="center"/>
            </w:pPr>
            <w:r>
              <w:rPr>
                <w:rFonts w:ascii="Times New Roman" w:hAnsi="Times New Roman"/>
                <w:sz w:val="18"/>
              </w:rPr>
              <w:t>~8min</w:t>
            </w:r>
          </w:p>
        </w:tc>
        <w:tc>
          <w:tcPr>
            <w:tcW w:type="dxa" w:w="2351"/>
          </w:tcPr>
          <w:p>
            <w:pPr>
              <w:jc w:val="center"/>
            </w:pPr>
            <w:r>
              <w:rPr>
                <w:rFonts w:ascii="Times New Roman" w:hAnsi="Times New Roman"/>
                <w:sz w:val="18"/>
              </w:rPr>
              <w:t>~7min</w:t>
            </w:r>
          </w:p>
        </w:tc>
        <w:tc>
          <w:tcPr>
            <w:tcW w:type="dxa" w:w="2351"/>
          </w:tcPr>
          <w:p>
            <w:pPr>
              <w:jc w:val="center"/>
            </w:pPr>
            <w:r>
              <w:rPr>
                <w:rFonts w:ascii="Times New Roman" w:hAnsi="Times New Roman"/>
                <w:sz w:val="18"/>
              </w:rPr>
              <w:t>Faster</w:t>
            </w:r>
          </w:p>
        </w:tc>
      </w:tr>
      <w:tr>
        <w:tc>
          <w:tcPr>
            <w:tcW w:type="dxa" w:w="2351"/>
          </w:tcPr>
          <w:p>
            <w:pPr>
              <w:jc w:val="center"/>
            </w:pPr>
            <w:r>
              <w:rPr>
                <w:rFonts w:ascii="Times New Roman" w:hAnsi="Times New Roman"/>
                <w:sz w:val="18"/>
              </w:rPr>
              <w:t>Memory</w:t>
            </w:r>
          </w:p>
        </w:tc>
        <w:tc>
          <w:tcPr>
            <w:tcW w:type="dxa" w:w="2351"/>
          </w:tcPr>
          <w:p>
            <w:pPr>
              <w:jc w:val="center"/>
            </w:pPr>
            <w:r>
              <w:rPr>
                <w:rFonts w:ascii="Times New Roman" w:hAnsi="Times New Roman"/>
                <w:sz w:val="18"/>
              </w:rPr>
              <w:t>&lt;100MB</w:t>
            </w:r>
          </w:p>
        </w:tc>
        <w:tc>
          <w:tcPr>
            <w:tcW w:type="dxa" w:w="2351"/>
          </w:tcPr>
          <w:p>
            <w:pPr>
              <w:jc w:val="center"/>
            </w:pPr>
            <w:r>
              <w:rPr>
                <w:rFonts w:ascii="Times New Roman" w:hAnsi="Times New Roman"/>
                <w:sz w:val="18"/>
              </w:rPr>
              <w:t>&lt;200MB</w:t>
            </w:r>
          </w:p>
        </w:tc>
        <w:tc>
          <w:tcPr>
            <w:tcW w:type="dxa" w:w="2351"/>
          </w:tcPr>
          <w:p>
            <w:pPr>
              <w:jc w:val="center"/>
            </w:pPr>
            <w:r>
              <w:rPr>
                <w:rFonts w:ascii="Times New Roman" w:hAnsi="Times New Roman"/>
                <w:sz w:val="18"/>
              </w:rPr>
              <w:t>Negligible</w:t>
            </w:r>
          </w:p>
        </w:tc>
      </w:tr>
      <w:tr>
        <w:tc>
          <w:tcPr>
            <w:tcW w:type="dxa" w:w="2351"/>
          </w:tcPr>
          <w:p>
            <w:pPr>
              <w:jc w:val="center"/>
            </w:pPr>
            <w:r>
              <w:rPr>
                <w:rFonts w:ascii="Times New Roman" w:hAnsi="Times New Roman"/>
                <w:sz w:val="18"/>
              </w:rPr>
              <w:t>Cost/game</w:t>
            </w:r>
          </w:p>
        </w:tc>
        <w:tc>
          <w:tcPr>
            <w:tcW w:type="dxa" w:w="2351"/>
          </w:tcPr>
          <w:p>
            <w:pPr>
              <w:jc w:val="center"/>
            </w:pPr>
            <w:r>
              <w:rPr>
                <w:rFonts w:ascii="Times New Roman" w:hAnsi="Times New Roman"/>
                <w:sz w:val="18"/>
              </w:rPr>
              <w:t>$0</w:t>
            </w:r>
          </w:p>
        </w:tc>
        <w:tc>
          <w:tcPr>
            <w:tcW w:type="dxa" w:w="2351"/>
          </w:tcPr>
          <w:p>
            <w:pPr>
              <w:jc w:val="center"/>
            </w:pPr>
            <w:r>
              <w:rPr>
                <w:rFonts w:ascii="Times New Roman" w:hAnsi="Times New Roman"/>
                <w:sz w:val="18"/>
              </w:rPr>
              <w:t>$0</w:t>
            </w:r>
          </w:p>
        </w:tc>
        <w:tc>
          <w:tcPr>
            <w:tcW w:type="dxa" w:w="2351"/>
          </w:tcPr>
          <w:p>
            <w:pPr>
              <w:jc w:val="center"/>
            </w:pPr>
            <w:r>
              <w:rPr>
                <w:rFonts w:ascii="Times New Roman" w:hAnsi="Times New Roman"/>
                <w:sz w:val="18"/>
              </w:rPr>
              <w:t>-</w:t>
            </w:r>
          </w:p>
        </w:tc>
      </w:tr>
    </w:tbl>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fig2_step_distribution.png"/>
                    <pic:cNvPicPr/>
                  </pic:nvPicPr>
                  <pic:blipFill>
                    <a:blip r:embed="rId11"/>
                    <a:stretch>
                      <a:fillRect/>
                    </a:stretch>
                  </pic:blipFill>
                  <pic:spPr>
                    <a:xfrm>
                      <a:off x="0" y="0"/>
                      <a:ext cx="4572000" cy="2857500"/>
                    </a:xfrm>
                    <a:prstGeom prst="rect"/>
                  </pic:spPr>
                </pic:pic>
              </a:graphicData>
            </a:graphic>
          </wp:inline>
        </w:drawing>
      </w:r>
    </w:p>
    <w:p>
      <w:pPr>
        <w:jc w:val="center"/>
      </w:pPr>
      <w:r>
        <w:rPr>
          <w:i/>
          <w:sz w:val="18"/>
        </w:rPr>
        <w:t>Figure 3: Steps distribution (median=8)</w:t>
      </w:r>
    </w:p>
    <w:p>
      <w:pPr>
        <w:pStyle w:val="Heading2"/>
      </w:pPr>
      <w:r>
        <w:rPr>
          <w:color w:val="000000"/>
        </w:rPr>
        <w:t>7.6 Failure Analysis</w:t>
      </w:r>
    </w:p>
    <w:p>
      <w:r>
        <w:rPr>
          <w:rFonts w:ascii="Times New Roman" w:hAnsi="Times New Roman"/>
          <w:b w:val="0"/>
          <w:i w:val="0"/>
          <w:sz w:val="22"/>
        </w:rPr>
        <w:t>12 failures (8.9%), all timeouts (50 steps):</w:t>
        <w:br/>
        <w:t>· 4 pick_and_place_with_movable_recep (hardest subtask)</w:t>
        <w:br/>
        <w:t>· 3 pick_two_obj_and_place (second object hard to find)</w:t>
        <w:br/>
        <w:t>· 3 pick_heat_then_place (microwave search timeout)</w:t>
        <w:br/>
        <w:t>· 2 pick_and_place_simple (special locations)</w:t>
        <w:br/>
        <w:br/>
        <w:t>No early failures. Hardest segment (indices 120-133): V18=78.6%, V19=100%.</w:t>
      </w:r>
    </w:p>
    <w:p>
      <w:pPr>
        <w:pStyle w:val="Heading2"/>
      </w:pPr>
      <w:r>
        <w:rPr>
          <w:color w:val="000000"/>
        </w:rPr>
        <w:t>7.7 Case Study</w:t>
      </w:r>
    </w:p>
    <w:p>
      <w:r>
        <w:rPr>
          <w:rFonts w:ascii="Times New Roman" w:hAnsi="Times New Roman"/>
          <w:b w:val="0"/>
          <w:i w:val="0"/>
          <w:sz w:val="22"/>
        </w:rPr>
        <w:t>Game 124 (pick_and_place_with_movable_recep "put a vase in the cabinet"):</w:t>
        <w:br/>
        <w:br/>
        <w:t>V18: Repeatedly tries wrong cabinet → frontier reset → retries same cabinets → 50-step timeout.</w:t>
        <w:br/>
        <w:br/>
        <w:t>V19: After 3 failed attempts, detects external_resistance (Cheng=2). Forces attention to unopened cabinets containing target-compatible objects → finds correct cabinet on first retry → wins in 42 steps.</w:t>
      </w:r>
    </w:p>
    <w:p>
      <w:pPr>
        <w:pStyle w:val="Heading1"/>
      </w:pPr>
      <w:r>
        <w:rPr>
          <w:color w:val="000000"/>
        </w:rPr>
        <w:t>8. Discussion</w:t>
      </w:r>
    </w:p>
    <w:p>
      <w:pPr>
        <w:pStyle w:val="Heading2"/>
      </w:pPr>
      <w:r>
        <w:rPr>
          <w:color w:val="000000"/>
        </w:rPr>
        <w:t>8.1 Why Does Hexagram Reasoning Work?</w:t>
      </w:r>
    </w:p>
    <w:p>
      <w:r>
        <w:rPr>
          <w:rFonts w:ascii="Times New Roman" w:hAnsi="Times New Roman"/>
          <w:b w:val="0"/>
          <w:i w:val="0"/>
          <w:sz w:val="22"/>
        </w:rPr>
        <w:t>Three levels of explanation:</w:t>
        <w:br/>
        <w:br/>
        <w:t>Structural: 64 hexagrams form a complete set of 6-bit binary patterns. Matching is equivalent to nearest-neighbor search in a well-distributed discrete codebook — isomorphic to product quantization (Jegou et al., 2011).</w:t>
        <w:br/>
        <w:br/>
        <w:t>Information-Theoretic: The hexagram favorability table injects 64 bits of task-relevant prior into the scoring function, acting as structured regularization in sparse data regimes.</w:t>
        <w:br/>
        <w:br/>
        <w:t>Epistemological: Millennia of iterative refinement by I Ching scholars may have converged on an effective factorization of situational structure — analogous to how human language embodies optimized communication patterns through cultural evolution.</w:t>
      </w:r>
    </w:p>
    <w:p>
      <w:pPr>
        <w:pStyle w:val="Heading2"/>
      </w:pPr>
      <w:r>
        <w:rPr>
          <w:color w:val="000000"/>
        </w:rPr>
        <w:t>8.2 Interpretability as Key Advantage</w:t>
      </w:r>
    </w:p>
    <w:p>
      <w:r>
        <w:rPr>
          <w:rFonts w:ascii="Times New Roman" w:hAnsi="Times New Roman"/>
          <w:b w:val="0"/>
          <w:i w:val="0"/>
          <w:sz w:val="22"/>
        </w:rPr>
        <w:t>For every failure case, YLYW provides a complete reasoning chain — the six-yao encoding at each step, best-matching hexagram, Yao Relations diagnosis, and recovery action. This is not a black-box output but a debatable, auditable, improvable decision process — a significant advantage in the embodied AI landscape.</w:t>
      </w:r>
    </w:p>
    <w:p>
      <w:pPr>
        <w:pStyle w:val="Heading2"/>
      </w:pPr>
      <w:r>
        <w:rPr>
          <w:color w:val="000000"/>
        </w:rPr>
        <w:t>8.3 Limitations &amp; Future Work</w:t>
      </w:r>
    </w:p>
    <w:p>
      <w:r>
        <w:rPr>
          <w:rFonts w:ascii="Times New Roman" w:hAnsi="Times New Roman"/>
          <w:b w:val="0"/>
          <w:i w:val="0"/>
          <w:sz w:val="22"/>
        </w:rPr>
        <w:t>· Yao encoding is hand-designed; learning optimal encoding is a natural extension.</w:t>
        <w:br/>
        <w:t>· The 64 classical hexagrams may not be the optimal codebook for embodied planning.</w:t>
        <w:br/>
        <w:t>· Currently limited to ALFWorld English; migration to Chinese and real robots.</w:t>
        <w:br/>
        <w:t>· Task types limited to 7; extension to open-domain tasks.</w:t>
        <w:br/>
        <w:t>· Synonym mapping is pattern-based; probabilistic synonym graphs would improve robustness.</w:t>
      </w:r>
    </w:p>
    <w:p>
      <w:pPr>
        <w:pStyle w:val="Heading1"/>
      </w:pPr>
      <w:r>
        <w:rPr>
          <w:color w:val="000000"/>
        </w:rPr>
        <w:t>9. Conclusion</w:t>
      </w:r>
    </w:p>
    <w:p>
      <w:r>
        <w:rPr>
          <w:rFonts w:ascii="Times New Roman" w:hAnsi="Times New Roman"/>
          <w:b w:val="0"/>
          <w:i w:val="0"/>
          <w:sz w:val="22"/>
        </w:rPr>
        <w:t>YLYW-V19 achieves 91.0% on ALFWorld, demonstrating that structured I Ching symbolic reasoning — with no neural networks, no training, 443 parameters, and 7 minutes to run 134 games — remains a viable and severely under-explored path toward practical embodied intelligence in the age of large models.</w:t>
        <w:br/>
        <w:br/>
        <w:t>More deeply, this work reveals a striking correspondence between three-thousand-year-old thinking about "the grammar of situation recognition" — Cheng-Bi-Ying, Dangwei-Dezhong, the 64 hexagrams — and the fundamental information structure problems faced by modern embodied AI. We do not claim the I Ching is "ancient machine learning." Rather, it contains an effective situation encoding schema — a human-refined, readable, auditable, computable, CPU-printed decision language.</w:t>
      </w:r>
    </w:p>
    <w:p>
      <w:pPr>
        <w:pStyle w:val="Heading1"/>
      </w:pPr>
      <w:r>
        <w:rPr>
          <w:color w:val="000000"/>
        </w:rPr>
        <w:t>References</w:t>
      </w:r>
    </w:p>
    <w:p>
      <w:r>
        <w:rPr>
          <w:rFonts w:ascii="Times New Roman" w:hAnsi="Times New Roman"/>
          <w:sz w:val="18"/>
        </w:rPr>
        <w:t>1. King Wen et al. The I Ching (Zhouyi). c. 1000 BCE.</w:t>
      </w:r>
    </w:p>
    <w:p>
      <w:r>
        <w:rPr>
          <w:rFonts w:ascii="Times New Roman" w:hAnsi="Times New Roman"/>
          <w:sz w:val="18"/>
        </w:rPr>
        <w:t>2. Confucius (attrib.). The Ten Wings (Shiyi). c. 5th-3rd c. BCE.</w:t>
      </w:r>
    </w:p>
    <w:p>
      <w:r>
        <w:rPr>
          <w:rFonts w:ascii="Times New Roman" w:hAnsi="Times New Roman"/>
          <w:sz w:val="18"/>
        </w:rPr>
        <w:t>3. Wang, B. &amp; Han, K. Commentary on the Zhouyi. 3rd c. CE.</w:t>
      </w:r>
    </w:p>
    <w:p>
      <w:r>
        <w:rPr>
          <w:rFonts w:ascii="Times New Roman" w:hAnsi="Times New Roman"/>
          <w:sz w:val="18"/>
        </w:rPr>
        <w:t>4. Zhu, X. Original Meaning of the Zhouyi. 12th c. CE.</w:t>
      </w:r>
    </w:p>
    <w:p>
      <w:r>
        <w:rPr>
          <w:rFonts w:ascii="Times New Roman" w:hAnsi="Times New Roman"/>
          <w:sz w:val="18"/>
        </w:rPr>
        <w:t>5. Gao, H. Modern Commentary on the Zhouyi. Qilu Press, 1994.</w:t>
      </w:r>
    </w:p>
    <w:p>
      <w:r>
        <w:rPr>
          <w:rFonts w:ascii="Times New Roman" w:hAnsi="Times New Roman"/>
          <w:sz w:val="18"/>
        </w:rPr>
        <w:t>6. Wilhelm, R. &amp; Baynes, C. The I Ching or Book of Changes. Princeton UP, 1967.</w:t>
      </w:r>
    </w:p>
    <w:p>
      <w:r>
        <w:rPr>
          <w:rFonts w:ascii="Times New Roman" w:hAnsi="Times New Roman"/>
          <w:sz w:val="18"/>
        </w:rPr>
        <w:t>7. Shridhar, M., et al. "ALFRED: A Benchmark for Interpreting Grounded Instructions." CVPR 2020.</w:t>
      </w:r>
    </w:p>
    <w:p>
      <w:r>
        <w:rPr>
          <w:rFonts w:ascii="Times New Roman" w:hAnsi="Times New Roman"/>
          <w:sz w:val="18"/>
        </w:rPr>
        <w:t>8. Shridhar, M., et al. "ALFWorld: Aligning Text and Embodied Environments." ICLR 2021.</w:t>
      </w:r>
    </w:p>
    <w:p>
      <w:r>
        <w:rPr>
          <w:rFonts w:ascii="Times New Roman" w:hAnsi="Times New Roman"/>
          <w:sz w:val="18"/>
        </w:rPr>
        <w:t>9. Yao, S., et al. "ReAct: Synergizing Reasoning and Acting in Language Models." ICLR 2023.</w:t>
      </w:r>
    </w:p>
    <w:p>
      <w:r>
        <w:rPr>
          <w:rFonts w:ascii="Times New Roman" w:hAnsi="Times New Roman"/>
          <w:sz w:val="18"/>
        </w:rPr>
        <w:t>10. Ahn, M., et al. "Do As I Can, Not As I Say." CoRL 2022.</w:t>
      </w:r>
    </w:p>
    <w:p>
      <w:r>
        <w:rPr>
          <w:rFonts w:ascii="Times New Roman" w:hAnsi="Times New Roman"/>
          <w:sz w:val="18"/>
        </w:rPr>
        <w:t>11. Liang, J., et al. "Code as Policies." ICRA 2023.</w:t>
      </w:r>
    </w:p>
    <w:p>
      <w:r>
        <w:rPr>
          <w:rFonts w:ascii="Times New Roman" w:hAnsi="Times New Roman"/>
          <w:sz w:val="18"/>
        </w:rPr>
        <w:t>12. Jegou, H., et al. "Product Quantization." IEEE TPAMI 2011.</w:t>
      </w:r>
    </w:p>
    <w:p>
      <w:r>
        <w:rPr>
          <w:rFonts w:ascii="Times New Roman" w:hAnsi="Times New Roman"/>
          <w:sz w:val="18"/>
        </w:rPr>
        <w:t>13. Needham, J. Science and Civilisation in China, Vol. 2. Cambridge UP, 1962.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