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firstLine="0"/>
        <w:jc w:val="center"/>
      </w:pPr>
      <w:r>
        <w:rPr>
          <w:rFonts w:ascii="Times New Roman" w:hAnsi="Times New Roman"/>
          <w:b/>
          <w:sz w:val="44"/>
        </w:rPr>
        <w:t>YLYW-V19: Embodied Task Planning via</w:t>
        <w:br/>
        <w:t>Structured I Ching Hexagram Reasoning</w:t>
      </w:r>
    </w:p>
    <w:p/>
    <w:p/>
    <w:p>
      <w:pPr>
        <w:ind w:firstLine="0"/>
        <w:jc w:val="center"/>
      </w:pPr>
      <w:r>
        <w:rPr>
          <w:rFonts w:ascii="Times New Roman" w:hAnsi="Times New Roman"/>
          <w:i/>
          <w:sz w:val="28"/>
        </w:rPr>
        <w:t>A Zero-LLM Framework Achieving 91.0% on ALFWorld</w:t>
        <w:br/>
        <w:t>with Fully Interpretable Decision Calculus</w:t>
      </w:r>
    </w:p>
    <w:p/>
    <w:p/>
    <w:p/>
    <w:p/>
    <w:p/>
    <w:p/>
    <w:p>
      <w:pPr>
        <w:ind w:firstLine="0"/>
        <w:jc w:val="center"/>
      </w:pPr>
      <w:r>
        <w:rPr>
          <w:sz w:val="22"/>
        </w:rPr>
        <w:t>Xinglu Ma</w:t>
        <w:br/>
        <w:t>College of Information Science and Technology, Qingdao University of Science and Technology</w:t>
        <w:br/>
        <w:br/>
        <w:t>{Corresponding: maxinglu@qust.edu.cn}</w:t>
      </w:r>
    </w:p>
    <w:p>
      <w:r>
        <w:br w:type="page"/>
      </w:r>
    </w:p>
    <w:p>
      <w:pPr>
        <w:pStyle w:val="Heading1"/>
        <w:ind w:firstLine="0"/>
      </w:pPr>
      <w:r>
        <w:rPr>
          <w:color w:val="000000"/>
        </w:rPr>
        <w:t>Abstract</w:t>
      </w:r>
    </w:p>
    <w:p>
      <w:r>
        <w:rPr>
          <w:rFonts w:ascii="Times New Roman" w:hAnsi="Times New Roman"/>
          <w:b w:val="0"/>
          <w:i w:val="0"/>
          <w:sz w:val="22"/>
        </w:rPr>
        <w:t>Large language models (LLMs) have become the dominant paradigm for embodied task planning, yet their deployment cost, latency, non-determinism, and cloud dependency pose fundamental bottlenecks. We present YLYW-V19, a fully symbolic decision framework based on the I Ching (Yijing) hexagram system, achieving 91.0% success rate (122/134) on the ALFWorld out-of-distribution benchmark with zero large language models and zero neural networks.</w:t>
      </w:r>
    </w:p>
    <w:p>
      <w:r>
        <w:rPr>
          <w:rFonts w:ascii="Times New Roman" w:hAnsi="Times New Roman"/>
          <w:b w:val="0"/>
          <w:i w:val="0"/>
          <w:sz w:val="22"/>
        </w:rPr>
        <w:t>YLYW's core is a three-layer nested architecture (L1 Trigram Membership → L2 Yao Encoding → L3 Hexagram Matching) that transforms the I Ching's formal system into an operational decision calculus. V19 introduces three key innovations: a Semantic Understanding Pipeline that maps English task descriptions to structured hexagram representations through word-class→trigram membership mapping and Cheng-Bi-Ying relation detection; Zhiji Learning (知己学习), which performs real-time experience accumulation from execution trajectories — synonym calibration, location prior calibration, and scene structure calibration — inspired by the classical principle of "acting upon perceiving the subtle beginnings"; and a Yao Relations Diagnostic Calculus that formalizes the six relational operators from the Yizhuan — Riding (乘), Bearing (承), Comparing (比), Responding (应), Correct Position (当位), and Holding Center (得中) — as computational diagnostic probes that identify failure causes and prescribe targeted recovery strategies.</w:t>
      </w:r>
    </w:p>
    <w:p>
      <w:r>
        <w:rPr>
          <w:rFonts w:ascii="Times New Roman" w:hAnsi="Times New Roman"/>
          <w:b w:val="0"/>
          <w:i w:val="0"/>
          <w:sz w:val="22"/>
        </w:rPr>
        <w:t>Ablation experiments reveal: the semantic pipeline provides foundational task understanding, Zhiji Learning contributes +6%, 64-hexagram matching contributes +7.9%, and Yao Relations recovery contributes +11.1%. The entire system runs on a single CPU core with 2GB RAM, completing the 134-game evaluation in under 7 minutes — fully deterministic, auditable, and deployable on edge devices. To our knowledge, this is the first work to operationalize the I Ching's formal system as a competitive decision engine on a mainstream embodied AI benchmark.</w:t>
      </w:r>
    </w:p>
    <w:p>
      <w:pPr>
        <w:pStyle w:val="Heading1"/>
        <w:ind w:firstLine="0"/>
      </w:pPr>
      <w:r>
        <w:rPr>
          <w:color w:val="000000"/>
        </w:rPr>
        <w:t>1. Introduction</w:t>
      </w:r>
    </w:p>
    <w:p>
      <w:r>
        <w:rPr>
          <w:rFonts w:ascii="Times New Roman" w:hAnsi="Times New Roman"/>
          <w:b w:val="0"/>
          <w:i w:val="0"/>
          <w:sz w:val="22"/>
        </w:rPr>
        <w:t>Embodied task planning — translating natural language instructions into executable action sequences in physical environments — remains a central challenge in AI. The ALFRED/ALFWorld benchmark (Shridhar et al., 2020, 2021) has become the standard evaluation platform, requiring agents to navigate rooms, manipulate objects, and execute multi-step household tasks under partial observability, with only text observations and task descriptions.</w:t>
      </w:r>
    </w:p>
    <w:p>
      <w:r>
        <w:rPr>
          <w:rFonts w:ascii="Times New Roman" w:hAnsi="Times New Roman"/>
          <w:b w:val="0"/>
          <w:i w:val="0"/>
          <w:sz w:val="22"/>
        </w:rPr>
        <w:t>The LLM paradigm — ReAct (Yao et al., 2023), SayCan (Ahn et al., 2022), Code-as-Policies (Liang et al., 2023) — relies on billion-parameter language models achieving 40-70% on ALFWorld. Yet this paradigm faces a triple bottleneck: (1) Deployment: each decision step requires a cloud API call (100-500ms, $0.01-0.03); edge robots, embedded systems, and defense or privacy-sensitive environments cannot afford this. (2) Interpretability: LLM outputs are black boxes; when an agent fails, there is no principled framework to audit why. (3) Scientific rigor: non-deterministic outputs make experiments non-reproducible, and high API costs limit large-scale ablation studies.</w:t>
      </w:r>
    </w:p>
    <w:p>
      <w:r>
        <w:rPr>
          <w:rFonts w:ascii="Times New Roman" w:hAnsi="Times New Roman"/>
          <w:b w:val="0"/>
          <w:i w:val="0"/>
          <w:sz w:val="22"/>
        </w:rPr>
        <w:t>The I Ching as Decision Engine. From a computational perspective, the ancient Chinese Book of Changes contains a highly formalized decision system: 8 trigrams as primitive concept bases representing "heaven, earth, thunder, mountain, fire, water, lake, wind"; 64 hexagrams (2⁶=64) forming a complete state space; yao-line position semantics (first=beginning, second=center, third=transition, fourth=assistant, fifth=authority, sixth=culmination) as a structured situation grammar; and relational operators (Cheng, Bi, Ying, Dangwei, Dezhong) for structural analysis. YLYW operationalizes this three-thousand-year-old formal system on a mainstream AI benchmark for the first time.</w:t>
      </w:r>
    </w:p>
    <w:p>
      <w:r>
        <w:rPr>
          <w:rFonts w:ascii="Times New Roman" w:hAnsi="Times New Roman"/>
          <w:b/>
          <w:i w:val="0"/>
          <w:sz w:val="22"/>
        </w:rPr>
        <w:t>Key contributions:</w:t>
      </w:r>
    </w:p>
    <w:p>
      <w:r>
        <w:rPr>
          <w:rFonts w:ascii="Times New Roman" w:hAnsi="Times New Roman"/>
          <w:b w:val="0"/>
          <w:i w:val="0"/>
          <w:sz w:val="22"/>
        </w:rPr>
        <w:t>1. Three-layer I Ching reasoning architecture (L1 Trigram → L2 Yao → L3 Hexagram).</w:t>
      </w:r>
    </w:p>
    <w:p>
      <w:r>
        <w:rPr>
          <w:rFonts w:ascii="Times New Roman" w:hAnsi="Times New Roman"/>
          <w:b w:val="0"/>
          <w:i w:val="0"/>
          <w:sz w:val="22"/>
        </w:rPr>
        <w:t>2. Semantic understanding pipeline from English task descriptions to structured hexagram representations, enabling "human-machine same-hexagram" interpretability.</w:t>
      </w:r>
    </w:p>
    <w:p>
      <w:r>
        <w:rPr>
          <w:rFonts w:ascii="Times New Roman" w:hAnsi="Times New Roman"/>
          <w:b w:val="0"/>
          <w:i w:val="0"/>
          <w:sz w:val="22"/>
        </w:rPr>
        <w:t>3. Zhiji Learning: one-shot experience accumulation from execution trajectories ("acting upon perceiving the subtle beginnings").</w:t>
      </w:r>
    </w:p>
    <w:p>
      <w:r>
        <w:rPr>
          <w:rFonts w:ascii="Times New Roman" w:hAnsi="Times New Roman"/>
          <w:b w:val="0"/>
          <w:i w:val="0"/>
          <w:sz w:val="22"/>
        </w:rPr>
        <w:t>4. Yao Relations diagnostic calculus with formal mathematical definitions and targeted recovery strategies.</w:t>
      </w:r>
    </w:p>
    <w:p>
      <w:r>
        <w:rPr>
          <w:rFonts w:ascii="Times New Roman" w:hAnsi="Times New Roman"/>
          <w:b w:val="0"/>
          <w:i w:val="0"/>
          <w:sz w:val="22"/>
        </w:rPr>
        <w:t>5. Comprehensive evaluation: 91.0% on 134-game ALFWorld with detailed ablation, efficiency analysis, and failure characterization.</w:t>
      </w:r>
    </w:p>
    <w:p>
      <w:pPr>
        <w:pStyle w:val="Heading1"/>
        <w:ind w:firstLine="0"/>
      </w:pPr>
      <w:r>
        <w:rPr>
          <w:color w:val="000000"/>
        </w:rPr>
        <w:t>2. Related Work</w:t>
      </w:r>
    </w:p>
    <w:p>
      <w:pPr>
        <w:pStyle w:val="Heading2"/>
        <w:ind w:firstLine="0"/>
      </w:pPr>
      <w:r>
        <w:rPr>
          <w:color w:val="000000"/>
        </w:rPr>
        <w:t>2.1 LLM-Based Embodied Planning</w:t>
      </w:r>
    </w:p>
    <w:p>
      <w:r>
        <w:rPr>
          <w:rFonts w:ascii="Times New Roman" w:hAnsi="Times New Roman"/>
          <w:b w:val="0"/>
          <w:i w:val="0"/>
          <w:sz w:val="22"/>
        </w:rPr>
        <w:t>ReAct (Yao et al., 2023) interleaves chain-of-thought reasoning with environment interaction. SayCan (Ahn et al., 2022) grounds LLMs in skill libraries. Code-as-Policies (Liang et al., 2023) generates executable code from language. Recent work fine-tuning 7B models for planning achieves ~70% with local inference — still two orders of magnitude larger than YLYW-V19's 443-parameter footprint.</w:t>
      </w:r>
    </w:p>
    <w:p>
      <w:pPr>
        <w:pStyle w:val="Heading2"/>
        <w:ind w:firstLine="0"/>
      </w:pPr>
      <w:r>
        <w:rPr>
          <w:color w:val="000000"/>
        </w:rPr>
        <w:t>2.2 Symbolic and Classical Planners</w:t>
      </w:r>
    </w:p>
    <w:p>
      <w:r>
        <w:rPr>
          <w:rFonts w:ascii="Times New Roman" w:hAnsi="Times New Roman"/>
          <w:b w:val="0"/>
          <w:i w:val="0"/>
          <w:sz w:val="22"/>
        </w:rPr>
        <w:t>Pre-LLM approaches rely on hierarchical task networks (Erol et al., 1994), PDDL planners (McDermott et al., 1998), or reinforcement learning (BUTLER baseline ~20%, Shridhar et al., 2021). These methods are interpretable and deterministic but struggle with partial observability.</w:t>
      </w:r>
    </w:p>
    <w:p>
      <w:pPr>
        <w:pStyle w:val="Heading2"/>
        <w:ind w:firstLine="0"/>
      </w:pPr>
      <w:r>
        <w:rPr>
          <w:color w:val="000000"/>
        </w:rPr>
        <w:t>2.3 I Ching Inspired AI</w:t>
      </w:r>
    </w:p>
    <w:p>
      <w:r>
        <w:rPr>
          <w:rFonts w:ascii="Times New Roman" w:hAnsi="Times New Roman"/>
          <w:b w:val="0"/>
          <w:i w:val="0"/>
          <w:sz w:val="22"/>
        </w:rPr>
        <w:t>The I Ching has been used as random number generators (Needham, 1962), a metaphor for emergent intelligence (Goertzel, 1993), and design patterns for multi-agent systems (Chen, 2018). This work is the first to operationalize its structural grammar as a competitive decision engine on a standard AI benchmark with quantitative validation.</w:t>
      </w:r>
    </w:p>
    <w:p>
      <w:pPr>
        <w:pStyle w:val="Heading1"/>
        <w:ind w:firstLine="0"/>
      </w:pPr>
      <w:r>
        <w:rPr>
          <w:color w:val="000000"/>
        </w:rPr>
        <w:t>3. Philosophical Foundation and Formal Architecture</w:t>
      </w:r>
    </w:p>
    <w:p>
      <w:pPr>
        <w:pStyle w:val="Heading2"/>
        <w:ind w:firstLine="0"/>
      </w:pPr>
      <w:r>
        <w:rPr>
          <w:color w:val="000000"/>
        </w:rPr>
        <w:t>3.1 The Computational Nature of the I Ching</w:t>
      </w:r>
    </w:p>
    <w:p>
      <w:r>
        <w:rPr>
          <w:rFonts w:ascii="Times New Roman" w:hAnsi="Times New Roman"/>
          <w:b w:val="0"/>
          <w:i w:val="0"/>
          <w:sz w:val="22"/>
        </w:rPr>
        <w:t>The Xicizhuan states: "The Changes is a paradigm of heaven and earth, and therefore can bind up the way of heaven and earth." This assertion can be reinterpreted as a complete state-space axiom: 8 trigrams as primitive situational archetypes (each with upper-middle-lower structure); 64 hexagrams as the full 6-bit state space (2⁶=64); strict yao position semantics; and structural relations forming a situation analysis grammar. YLYW's key insight is that this ancient symbolic system shares a deep structural isomorphism with the information processing problems faced by modern embodied AI — it is effectively "an embodied reasoning engine encoded in human culture, now running on a CPU."</w:t>
      </w:r>
    </w:p>
    <w:p>
      <w:pPr>
        <w:pStyle w:val="Heading2"/>
        <w:ind w:firstLine="0"/>
      </w:pPr>
      <w:r>
        <w:rPr>
          <w:color w:val="000000"/>
        </w:rPr>
        <w:t>3.2 The Three-Layer Architecture</w:t>
      </w:r>
    </w:p>
    <w:p>
      <w:r>
        <w:rPr>
          <w:rFonts w:ascii="Times New Roman" w:hAnsi="Times New Roman"/>
          <w:b w:val="0"/>
          <w:i w:val="0"/>
          <w:sz w:val="22"/>
        </w:rPr>
        <w:t>The YLYW pipeline performs perception→encoding→reasoning→decision through three layers: L1 (TrigramBase) computes 8-dimensional trigram membership via Gaussian similarity against prototype features; L2 (YaoEncoder) compresses features into a 6-dimensional yao vector with semantically interpretable dimensions; L3 (HexagramRuleBase) matches the yao vector against 64 canonical hexagram templates via cosine similarity, weighted by hexagram favorability. Every parameter is hand-authored from I Ching texts — zero training.</w:t>
      </w:r>
    </w:p>
    <w:p>
      <w:pPr>
        <w:pStyle w:val="Heading2"/>
        <w:ind w:firstLine="0"/>
      </w:pPr>
      <w:r>
        <w:rPr>
          <w:color w:val="000000"/>
        </w:rPr>
        <w:t>3.3 Human-Machine Same-Hexagram Principle</w:t>
      </w:r>
    </w:p>
    <w:p>
      <w:r>
        <w:rPr>
          <w:rFonts w:ascii="Times New Roman" w:hAnsi="Times New Roman"/>
          <w:b w:val="0"/>
          <w:i w:val="0"/>
          <w:sz w:val="22"/>
        </w:rPr>
        <w:t>A core design principle: when a human says "this cup is stable," YLYW assigns high Gen (Mountain) trigram membership. When a human says "we need a new direction," YLYW detects Cheng (suppression) and downgrades the strategy. This makes the entire decision chain readable, auditable, and debatable — a significant departure from black-box neural approaches.</w:t>
      </w:r>
    </w:p>
    <w:p>
      <w:pPr>
        <w:pStyle w:val="Heading1"/>
        <w:ind w:firstLine="0"/>
      </w:pPr>
      <w:r>
        <w:rPr>
          <w:color w:val="000000"/>
        </w:rPr>
        <w:t>4. Semantic Understanding Pipeline</w:t>
      </w:r>
    </w:p>
    <w:p>
      <w:pPr>
        <w:pStyle w:val="Heading2"/>
        <w:ind w:firstLine="0"/>
      </w:pPr>
      <w:r>
        <w:rPr>
          <w:color w:val="000000"/>
        </w:rPr>
        <w:t>4.1 Three-Layer Semantic Mapping: English to Hexagram</w:t>
      </w:r>
    </w:p>
    <w:p>
      <w:r>
        <w:rPr>
          <w:rFonts w:ascii="Times New Roman" w:hAnsi="Times New Roman"/>
          <w:b w:val="0"/>
          <w:i w:val="0"/>
          <w:sz w:val="22"/>
        </w:rPr>
        <w:t>Without LLMs, YLYW must understand task demands from raw English text. V19 implements a three-layer semantic pipeline isomorphic to the Classical Chinese version.</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Times New Roman" w:hAnsi="Times New Roman"/>
                <w:b/>
                <w:sz w:val="18"/>
              </w:rPr>
              <w:t>Word Class</w:t>
            </w:r>
          </w:p>
        </w:tc>
        <w:tc>
          <w:tcPr>
            <w:tcW w:type="dxa" w:w="2158"/>
          </w:tcPr>
          <w:p>
            <w:pPr>
              <w:ind w:firstLine="0"/>
              <w:jc w:val="center"/>
            </w:pPr>
            <w:r/>
            <w:r>
              <w:rPr>
                <w:rFonts w:ascii="Times New Roman" w:hAnsi="Times New Roman"/>
                <w:b/>
                <w:sz w:val="18"/>
              </w:rPr>
              <w:t>Dominant Trigram</w:t>
            </w:r>
          </w:p>
        </w:tc>
        <w:tc>
          <w:tcPr>
            <w:tcW w:type="dxa" w:w="2158"/>
          </w:tcPr>
          <w:p>
            <w:pPr>
              <w:ind w:firstLine="0"/>
              <w:jc w:val="center"/>
            </w:pPr>
            <w:r/>
            <w:r>
              <w:rPr>
                <w:rFonts w:ascii="Times New Roman" w:hAnsi="Times New Roman"/>
                <w:b/>
                <w:sz w:val="18"/>
              </w:rPr>
              <w:t>Virtue</w:t>
            </w:r>
          </w:p>
        </w:tc>
        <w:tc>
          <w:tcPr>
            <w:tcW w:type="dxa" w:w="2158"/>
          </w:tcPr>
          <w:p>
            <w:pPr>
              <w:ind w:firstLine="0"/>
              <w:jc w:val="center"/>
            </w:pPr>
            <w:r/>
            <w:r>
              <w:rPr>
                <w:rFonts w:ascii="Times New Roman" w:hAnsi="Times New Roman"/>
                <w:b/>
                <w:sz w:val="18"/>
              </w:rPr>
              <w:t>Examples</w:t>
            </w:r>
          </w:p>
        </w:tc>
      </w:tr>
      <w:tr>
        <w:tc>
          <w:tcPr>
            <w:tcW w:type="dxa" w:w="2158"/>
          </w:tcPr>
          <w:p>
            <w:pPr>
              <w:ind w:firstLine="0"/>
              <w:jc w:val="center"/>
            </w:pPr>
            <w:r/>
            <w:r>
              <w:rPr>
                <w:rFonts w:ascii="Times New Roman" w:hAnsi="Times New Roman"/>
                <w:sz w:val="18"/>
              </w:rPr>
              <w:t>Action Verb</w:t>
            </w:r>
          </w:p>
        </w:tc>
        <w:tc>
          <w:tcPr>
            <w:tcW w:type="dxa" w:w="2158"/>
          </w:tcPr>
          <w:p>
            <w:pPr>
              <w:ind w:firstLine="0"/>
              <w:jc w:val="center"/>
            </w:pPr>
            <w:r/>
            <w:r>
              <w:rPr>
                <w:rFonts w:ascii="Times New Roman" w:hAnsi="Times New Roman"/>
                <w:sz w:val="18"/>
              </w:rPr>
              <w:t>Zhen (Thunder)</w:t>
            </w:r>
          </w:p>
        </w:tc>
        <w:tc>
          <w:tcPr>
            <w:tcW w:type="dxa" w:w="2158"/>
          </w:tcPr>
          <w:p>
            <w:pPr>
              <w:ind w:firstLine="0"/>
              <w:jc w:val="center"/>
            </w:pPr>
            <w:r/>
            <w:r>
              <w:rPr>
                <w:rFonts w:ascii="Times New Roman" w:hAnsi="Times New Roman"/>
                <w:sz w:val="18"/>
              </w:rPr>
              <w:t>Motion</w:t>
            </w:r>
          </w:p>
        </w:tc>
        <w:tc>
          <w:tcPr>
            <w:tcW w:type="dxa" w:w="2158"/>
          </w:tcPr>
          <w:p>
            <w:pPr>
              <w:ind w:firstLine="0"/>
              <w:jc w:val="center"/>
            </w:pPr>
            <w:r/>
            <w:r>
              <w:rPr>
                <w:rFonts w:ascii="Times New Roman" w:hAnsi="Times New Roman"/>
                <w:sz w:val="18"/>
              </w:rPr>
              <w:t>take, put, clean, heat</w:t>
            </w:r>
          </w:p>
        </w:tc>
      </w:tr>
      <w:tr>
        <w:tc>
          <w:tcPr>
            <w:tcW w:type="dxa" w:w="2158"/>
          </w:tcPr>
          <w:p>
            <w:pPr>
              <w:ind w:firstLine="0"/>
              <w:jc w:val="center"/>
            </w:pPr>
            <w:r/>
            <w:r>
              <w:rPr>
                <w:rFonts w:ascii="Times New Roman" w:hAnsi="Times New Roman"/>
                <w:sz w:val="18"/>
              </w:rPr>
              <w:t>Object Noun</w:t>
            </w:r>
          </w:p>
        </w:tc>
        <w:tc>
          <w:tcPr>
            <w:tcW w:type="dxa" w:w="2158"/>
          </w:tcPr>
          <w:p>
            <w:pPr>
              <w:ind w:firstLine="0"/>
              <w:jc w:val="center"/>
            </w:pPr>
            <w:r/>
            <w:r>
              <w:rPr>
                <w:rFonts w:ascii="Times New Roman" w:hAnsi="Times New Roman"/>
                <w:sz w:val="18"/>
              </w:rPr>
              <w:t>Kun (Earth)</w:t>
            </w:r>
          </w:p>
        </w:tc>
        <w:tc>
          <w:tcPr>
            <w:tcW w:type="dxa" w:w="2158"/>
          </w:tcPr>
          <w:p>
            <w:pPr>
              <w:ind w:firstLine="0"/>
              <w:jc w:val="center"/>
            </w:pPr>
            <w:r/>
            <w:r>
              <w:rPr>
                <w:rFonts w:ascii="Times New Roman" w:hAnsi="Times New Roman"/>
                <w:sz w:val="18"/>
              </w:rPr>
              <w:t>Bearing</w:t>
            </w:r>
          </w:p>
        </w:tc>
        <w:tc>
          <w:tcPr>
            <w:tcW w:type="dxa" w:w="2158"/>
          </w:tcPr>
          <w:p>
            <w:pPr>
              <w:ind w:firstLine="0"/>
              <w:jc w:val="center"/>
            </w:pPr>
            <w:r/>
            <w:r>
              <w:rPr>
                <w:rFonts w:ascii="Times New Roman" w:hAnsi="Times New Roman"/>
                <w:sz w:val="18"/>
              </w:rPr>
              <w:t>apple, plate, mug, cloth</w:t>
            </w:r>
          </w:p>
        </w:tc>
      </w:tr>
      <w:tr>
        <w:tc>
          <w:tcPr>
            <w:tcW w:type="dxa" w:w="2158"/>
          </w:tcPr>
          <w:p>
            <w:pPr>
              <w:ind w:firstLine="0"/>
              <w:jc w:val="center"/>
            </w:pPr>
            <w:r/>
            <w:r>
              <w:rPr>
                <w:rFonts w:ascii="Times New Roman" w:hAnsi="Times New Roman"/>
                <w:sz w:val="18"/>
              </w:rPr>
              <w:t>Location Noun</w:t>
            </w:r>
          </w:p>
        </w:tc>
        <w:tc>
          <w:tcPr>
            <w:tcW w:type="dxa" w:w="2158"/>
          </w:tcPr>
          <w:p>
            <w:pPr>
              <w:ind w:firstLine="0"/>
              <w:jc w:val="center"/>
            </w:pPr>
            <w:r/>
            <w:r>
              <w:rPr>
                <w:rFonts w:ascii="Times New Roman" w:hAnsi="Times New Roman"/>
                <w:sz w:val="18"/>
              </w:rPr>
              <w:t>Gen (Mountain)</w:t>
            </w:r>
          </w:p>
        </w:tc>
        <w:tc>
          <w:tcPr>
            <w:tcW w:type="dxa" w:w="2158"/>
          </w:tcPr>
          <w:p>
            <w:pPr>
              <w:ind w:firstLine="0"/>
              <w:jc w:val="center"/>
            </w:pPr>
            <w:r/>
            <w:r>
              <w:rPr>
                <w:rFonts w:ascii="Times New Roman" w:hAnsi="Times New Roman"/>
                <w:sz w:val="18"/>
              </w:rPr>
              <w:t>Stillness</w:t>
            </w:r>
          </w:p>
        </w:tc>
        <w:tc>
          <w:tcPr>
            <w:tcW w:type="dxa" w:w="2158"/>
          </w:tcPr>
          <w:p>
            <w:pPr>
              <w:ind w:firstLine="0"/>
              <w:jc w:val="center"/>
            </w:pPr>
            <w:r/>
            <w:r>
              <w:rPr>
                <w:rFonts w:ascii="Times New Roman" w:hAnsi="Times New Roman"/>
                <w:sz w:val="18"/>
              </w:rPr>
              <w:t>drawer, cabinet, sink</w:t>
            </w:r>
          </w:p>
        </w:tc>
      </w:tr>
      <w:tr>
        <w:tc>
          <w:tcPr>
            <w:tcW w:type="dxa" w:w="2158"/>
          </w:tcPr>
          <w:p>
            <w:pPr>
              <w:ind w:firstLine="0"/>
              <w:jc w:val="center"/>
            </w:pPr>
            <w:r/>
            <w:r>
              <w:rPr>
                <w:rFonts w:ascii="Times New Roman" w:hAnsi="Times New Roman"/>
                <w:sz w:val="18"/>
              </w:rPr>
              <w:t>Tool/Light</w:t>
            </w:r>
          </w:p>
        </w:tc>
        <w:tc>
          <w:tcPr>
            <w:tcW w:type="dxa" w:w="2158"/>
          </w:tcPr>
          <w:p>
            <w:pPr>
              <w:ind w:firstLine="0"/>
              <w:jc w:val="center"/>
            </w:pPr>
            <w:r/>
            <w:r>
              <w:rPr>
                <w:rFonts w:ascii="Times New Roman" w:hAnsi="Times New Roman"/>
                <w:sz w:val="18"/>
              </w:rPr>
              <w:t>Li (Fire)</w:t>
            </w:r>
          </w:p>
        </w:tc>
        <w:tc>
          <w:tcPr>
            <w:tcW w:type="dxa" w:w="2158"/>
          </w:tcPr>
          <w:p>
            <w:pPr>
              <w:ind w:firstLine="0"/>
              <w:jc w:val="center"/>
            </w:pPr>
            <w:r/>
            <w:r>
              <w:rPr>
                <w:rFonts w:ascii="Times New Roman" w:hAnsi="Times New Roman"/>
                <w:sz w:val="18"/>
              </w:rPr>
              <w:t>Light/Adherence</w:t>
            </w:r>
          </w:p>
        </w:tc>
        <w:tc>
          <w:tcPr>
            <w:tcW w:type="dxa" w:w="2158"/>
          </w:tcPr>
          <w:p>
            <w:pPr>
              <w:ind w:firstLine="0"/>
              <w:jc w:val="center"/>
            </w:pPr>
            <w:r/>
            <w:r>
              <w:rPr>
                <w:rFonts w:ascii="Times New Roman" w:hAnsi="Times New Roman"/>
                <w:sz w:val="18"/>
              </w:rPr>
              <w:t>lamp, light</w:t>
            </w:r>
          </w:p>
        </w:tc>
      </w:tr>
      <w:tr>
        <w:tc>
          <w:tcPr>
            <w:tcW w:type="dxa" w:w="2158"/>
          </w:tcPr>
          <w:p>
            <w:pPr>
              <w:ind w:firstLine="0"/>
              <w:jc w:val="center"/>
            </w:pPr>
            <w:r/>
            <w:r>
              <w:rPr>
                <w:rFonts w:ascii="Times New Roman" w:hAnsi="Times New Roman"/>
                <w:sz w:val="18"/>
              </w:rPr>
              <w:t>Function Word</w:t>
            </w:r>
          </w:p>
        </w:tc>
        <w:tc>
          <w:tcPr>
            <w:tcW w:type="dxa" w:w="2158"/>
          </w:tcPr>
          <w:p>
            <w:pPr>
              <w:ind w:firstLine="0"/>
              <w:jc w:val="center"/>
            </w:pPr>
            <w:r/>
            <w:r>
              <w:rPr>
                <w:rFonts w:ascii="Times New Roman" w:hAnsi="Times New Roman"/>
                <w:sz w:val="18"/>
              </w:rPr>
              <w:t>Xun (Wind)</w:t>
            </w:r>
          </w:p>
        </w:tc>
        <w:tc>
          <w:tcPr>
            <w:tcW w:type="dxa" w:w="2158"/>
          </w:tcPr>
          <w:p>
            <w:pPr>
              <w:ind w:firstLine="0"/>
              <w:jc w:val="center"/>
            </w:pPr>
            <w:r/>
            <w:r>
              <w:rPr>
                <w:rFonts w:ascii="Times New Roman" w:hAnsi="Times New Roman"/>
                <w:sz w:val="18"/>
              </w:rPr>
              <w:t>Penetration/Boundary</w:t>
            </w:r>
          </w:p>
        </w:tc>
        <w:tc>
          <w:tcPr>
            <w:tcW w:type="dxa" w:w="2158"/>
          </w:tcPr>
          <w:p>
            <w:pPr>
              <w:ind w:firstLine="0"/>
              <w:jc w:val="center"/>
            </w:pPr>
            <w:r/>
            <w:r>
              <w:rPr>
                <w:rFonts w:ascii="Times New Roman" w:hAnsi="Times New Roman"/>
                <w:sz w:val="18"/>
              </w:rPr>
              <w:t>a, the, and, from</w:t>
            </w:r>
          </w:p>
        </w:tc>
      </w:tr>
    </w:tbl>
    <w:p>
      <w:pPr>
        <w:ind w:firstLine="0"/>
        <w:jc w:val="center"/>
      </w:pPr>
      <w:r>
        <w:rPr>
          <w:rFonts w:ascii="Times New Roman" w:hAnsi="Times New Roman"/>
          <w:i/>
          <w:sz w:val="18"/>
        </w:rPr>
        <w:t>Table 1: Word class to trigram membership mapping</w:t>
      </w:r>
    </w:p>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Times New Roman" w:hAnsi="Times New Roman"/>
                <w:b/>
                <w:sz w:val="18"/>
              </w:rPr>
              <w:t>Relation</w:t>
            </w:r>
          </w:p>
        </w:tc>
        <w:tc>
          <w:tcPr>
            <w:tcW w:type="dxa" w:w="2158"/>
          </w:tcPr>
          <w:p>
            <w:pPr>
              <w:ind w:firstLine="0"/>
              <w:jc w:val="center"/>
            </w:pPr>
            <w:r/>
            <w:r>
              <w:rPr>
                <w:rFonts w:ascii="Times New Roman" w:hAnsi="Times New Roman"/>
                <w:b/>
                <w:sz w:val="18"/>
              </w:rPr>
              <w:t>Classical Source</w:t>
            </w:r>
          </w:p>
        </w:tc>
        <w:tc>
          <w:tcPr>
            <w:tcW w:type="dxa" w:w="2158"/>
          </w:tcPr>
          <w:p>
            <w:pPr>
              <w:ind w:firstLine="0"/>
              <w:jc w:val="center"/>
            </w:pPr>
            <w:r/>
            <w:r>
              <w:rPr>
                <w:rFonts w:ascii="Times New Roman" w:hAnsi="Times New Roman"/>
                <w:b/>
                <w:sz w:val="18"/>
              </w:rPr>
              <w:t>YLYW Mapping</w:t>
            </w:r>
          </w:p>
        </w:tc>
        <w:tc>
          <w:tcPr>
            <w:tcW w:type="dxa" w:w="2158"/>
          </w:tcPr>
          <w:p>
            <w:pPr>
              <w:ind w:firstLine="0"/>
              <w:jc w:val="center"/>
            </w:pPr>
            <w:r/>
            <w:r>
              <w:rPr>
                <w:rFonts w:ascii="Times New Roman" w:hAnsi="Times New Roman"/>
                <w:b/>
                <w:sz w:val="18"/>
              </w:rPr>
              <w:t>Example</w:t>
            </w:r>
          </w:p>
        </w:tc>
      </w:tr>
      <w:tr>
        <w:tc>
          <w:tcPr>
            <w:tcW w:type="dxa" w:w="2158"/>
          </w:tcPr>
          <w:p>
            <w:pPr>
              <w:ind w:firstLine="0"/>
              <w:jc w:val="center"/>
            </w:pPr>
            <w:r/>
            <w:r>
              <w:rPr>
                <w:rFonts w:ascii="Times New Roman" w:hAnsi="Times New Roman"/>
                <w:sz w:val="18"/>
              </w:rPr>
              <w:t>Cheng (Riding)</w:t>
            </w:r>
          </w:p>
        </w:tc>
        <w:tc>
          <w:tcPr>
            <w:tcW w:type="dxa" w:w="2158"/>
          </w:tcPr>
          <w:p>
            <w:pPr>
              <w:ind w:firstLine="0"/>
              <w:jc w:val="center"/>
            </w:pPr>
            <w:r/>
            <w:r>
              <w:rPr>
                <w:rFonts w:ascii="Times New Roman" w:hAnsi="Times New Roman"/>
                <w:sz w:val="18"/>
              </w:rPr>
              <w:t>Yin over Yang</w:t>
            </w:r>
          </w:p>
        </w:tc>
        <w:tc>
          <w:tcPr>
            <w:tcW w:type="dxa" w:w="2158"/>
          </w:tcPr>
          <w:p>
            <w:pPr>
              <w:ind w:firstLine="0"/>
              <w:jc w:val="center"/>
            </w:pPr>
            <w:r/>
            <w:r>
              <w:rPr>
                <w:rFonts w:ascii="Times New Roman" w:hAnsi="Times New Roman"/>
                <w:sz w:val="18"/>
              </w:rPr>
              <w:t>Verb→Object domination</w:t>
            </w:r>
          </w:p>
        </w:tc>
        <w:tc>
          <w:tcPr>
            <w:tcW w:type="dxa" w:w="2158"/>
          </w:tcPr>
          <w:p>
            <w:pPr>
              <w:ind w:firstLine="0"/>
              <w:jc w:val="center"/>
            </w:pPr>
            <w:r/>
            <w:r>
              <w:rPr>
                <w:rFonts w:ascii="Times New Roman" w:hAnsi="Times New Roman"/>
                <w:sz w:val="18"/>
              </w:rPr>
              <w:t>take + clock</w:t>
            </w:r>
          </w:p>
        </w:tc>
      </w:tr>
      <w:tr>
        <w:tc>
          <w:tcPr>
            <w:tcW w:type="dxa" w:w="2158"/>
          </w:tcPr>
          <w:p>
            <w:pPr>
              <w:ind w:firstLine="0"/>
              <w:jc w:val="center"/>
            </w:pPr>
            <w:r/>
            <w:r>
              <w:rPr>
                <w:rFonts w:ascii="Times New Roman" w:hAnsi="Times New Roman"/>
                <w:sz w:val="18"/>
              </w:rPr>
              <w:t>Cheng* (Bearing)</w:t>
            </w:r>
          </w:p>
        </w:tc>
        <w:tc>
          <w:tcPr>
            <w:tcW w:type="dxa" w:w="2158"/>
          </w:tcPr>
          <w:p>
            <w:pPr>
              <w:ind w:firstLine="0"/>
              <w:jc w:val="center"/>
            </w:pPr>
            <w:r/>
            <w:r>
              <w:rPr>
                <w:rFonts w:ascii="Times New Roman" w:hAnsi="Times New Roman"/>
                <w:sz w:val="18"/>
              </w:rPr>
              <w:t>Yang under Yin</w:t>
            </w:r>
          </w:p>
        </w:tc>
        <w:tc>
          <w:tcPr>
            <w:tcW w:type="dxa" w:w="2158"/>
          </w:tcPr>
          <w:p>
            <w:pPr>
              <w:ind w:firstLine="0"/>
              <w:jc w:val="center"/>
            </w:pPr>
            <w:r/>
            <w:r>
              <w:rPr>
                <w:rFonts w:ascii="Times New Roman" w:hAnsi="Times New Roman"/>
                <w:sz w:val="18"/>
              </w:rPr>
              <w:t>Object→location</w:t>
            </w:r>
          </w:p>
        </w:tc>
        <w:tc>
          <w:tcPr>
            <w:tcW w:type="dxa" w:w="2158"/>
          </w:tcPr>
          <w:p>
            <w:pPr>
              <w:ind w:firstLine="0"/>
              <w:jc w:val="center"/>
            </w:pPr>
            <w:r/>
            <w:r>
              <w:rPr>
                <w:rFonts w:ascii="Times New Roman" w:hAnsi="Times New Roman"/>
                <w:sz w:val="18"/>
              </w:rPr>
              <w:t>clock + from + desk</w:t>
            </w:r>
          </w:p>
        </w:tc>
      </w:tr>
      <w:tr>
        <w:tc>
          <w:tcPr>
            <w:tcW w:type="dxa" w:w="2158"/>
          </w:tcPr>
          <w:p>
            <w:pPr>
              <w:ind w:firstLine="0"/>
              <w:jc w:val="center"/>
            </w:pPr>
            <w:r/>
            <w:r>
              <w:rPr>
                <w:rFonts w:ascii="Times New Roman" w:hAnsi="Times New Roman"/>
                <w:sz w:val="18"/>
              </w:rPr>
              <w:t>Bi (Comparing)</w:t>
            </w:r>
          </w:p>
        </w:tc>
        <w:tc>
          <w:tcPr>
            <w:tcW w:type="dxa" w:w="2158"/>
          </w:tcPr>
          <w:p>
            <w:pPr>
              <w:ind w:firstLine="0"/>
              <w:jc w:val="center"/>
            </w:pPr>
            <w:r/>
            <w:r>
              <w:rPr>
                <w:rFonts w:ascii="Times New Roman" w:hAnsi="Times New Roman"/>
                <w:sz w:val="18"/>
              </w:rPr>
              <w:t>Adjacent yao</w:t>
            </w:r>
          </w:p>
        </w:tc>
        <w:tc>
          <w:tcPr>
            <w:tcW w:type="dxa" w:w="2158"/>
          </w:tcPr>
          <w:p>
            <w:pPr>
              <w:ind w:firstLine="0"/>
              <w:jc w:val="center"/>
            </w:pPr>
            <w:r/>
            <w:r>
              <w:rPr>
                <w:rFonts w:ascii="Times New Roman" w:hAnsi="Times New Roman"/>
                <w:sz w:val="18"/>
              </w:rPr>
              <w:t>Coordination</w:t>
            </w:r>
          </w:p>
        </w:tc>
        <w:tc>
          <w:tcPr>
            <w:tcW w:type="dxa" w:w="2158"/>
          </w:tcPr>
          <w:p>
            <w:pPr>
              <w:ind w:firstLine="0"/>
              <w:jc w:val="center"/>
            </w:pPr>
            <w:r/>
            <w:r>
              <w:rPr>
                <w:rFonts w:ascii="Times New Roman" w:hAnsi="Times New Roman"/>
                <w:sz w:val="18"/>
              </w:rPr>
              <w:t>cup + and + mug</w:t>
            </w:r>
          </w:p>
        </w:tc>
      </w:tr>
      <w:tr>
        <w:tc>
          <w:tcPr>
            <w:tcW w:type="dxa" w:w="2158"/>
          </w:tcPr>
          <w:p>
            <w:pPr>
              <w:ind w:firstLine="0"/>
              <w:jc w:val="center"/>
            </w:pPr>
            <w:r/>
            <w:r>
              <w:rPr>
                <w:rFonts w:ascii="Times New Roman" w:hAnsi="Times New Roman"/>
                <w:sz w:val="18"/>
              </w:rPr>
              <w:t>Ying (Responding)</w:t>
            </w:r>
          </w:p>
        </w:tc>
        <w:tc>
          <w:tcPr>
            <w:tcW w:type="dxa" w:w="2158"/>
          </w:tcPr>
          <w:p>
            <w:pPr>
              <w:ind w:firstLine="0"/>
              <w:jc w:val="center"/>
            </w:pPr>
            <w:r/>
            <w:r>
              <w:rPr>
                <w:rFonts w:ascii="Times New Roman" w:hAnsi="Times New Roman"/>
                <w:sz w:val="18"/>
              </w:rPr>
              <w:t>1↔4, 2↔5, 3↔6</w:t>
            </w:r>
          </w:p>
        </w:tc>
        <w:tc>
          <w:tcPr>
            <w:tcW w:type="dxa" w:w="2158"/>
          </w:tcPr>
          <w:p>
            <w:pPr>
              <w:ind w:firstLine="0"/>
              <w:jc w:val="center"/>
            </w:pPr>
            <w:r/>
            <w:r>
              <w:rPr>
                <w:rFonts w:ascii="Times New Roman" w:hAnsi="Times New Roman"/>
                <w:sz w:val="18"/>
              </w:rPr>
              <w:t>Tool→object resonance</w:t>
            </w:r>
          </w:p>
        </w:tc>
        <w:tc>
          <w:tcPr>
            <w:tcW w:type="dxa" w:w="2158"/>
          </w:tcPr>
          <w:p>
            <w:pPr>
              <w:ind w:firstLine="0"/>
              <w:jc w:val="center"/>
            </w:pPr>
            <w:r/>
            <w:r>
              <w:rPr>
                <w:rFonts w:ascii="Times New Roman" w:hAnsi="Times New Roman"/>
                <w:sz w:val="18"/>
              </w:rPr>
              <w:t>lamp + light</w:t>
            </w:r>
          </w:p>
        </w:tc>
      </w:tr>
    </w:tbl>
    <w:p>
      <w:pPr>
        <w:ind w:firstLine="0"/>
        <w:jc w:val="center"/>
      </w:pPr>
      <w:r>
        <w:rPr>
          <w:rFonts w:ascii="Times New Roman" w:hAnsi="Times New Roman"/>
          <w:i/>
          <w:sz w:val="18"/>
        </w:rPr>
        <w:t>Table 2: Four semantic relations between content words</w:t>
      </w:r>
    </w:p>
    <w:p/>
    <w:p>
      <w:pPr>
        <w:pStyle w:val="Heading2"/>
        <w:ind w:firstLine="0"/>
      </w:pPr>
      <w:r>
        <w:rPr>
          <w:color w:val="000000"/>
        </w:rPr>
        <w:t>4.2 Task Type Inference</w:t>
      </w:r>
    </w:p>
    <w:p>
      <w:r>
        <w:rPr>
          <w:rFonts w:ascii="Times New Roman" w:hAnsi="Times New Roman"/>
          <w:b w:val="0"/>
          <w:i w:val="0"/>
          <w:sz w:val="22"/>
        </w:rPr>
        <w:t>For task "put a clean apple in the fridge": L1 yields put(Zhen)+clean(Zhen)+apple(Kun)+fridge(Gen); L2 detects clean→apple as Cheng, apple→fridge as Ying, forming action→target→container structure; L3 splits via function words into {put}{clean}{apple}{fridge}, inferring task type pick_clean_then_place_in_recep. This feeds directly into V19's world model.</w:t>
      </w:r>
    </w:p>
    <w:p>
      <w:pPr>
        <w:pStyle w:val="Heading1"/>
        <w:ind w:firstLine="0"/>
      </w:pPr>
      <w:r>
        <w:rPr>
          <w:color w:val="000000"/>
        </w:rPr>
        <w:t>5. Zhiji Learning (知己学习)</w:t>
      </w:r>
    </w:p>
    <w:p>
      <w:pPr>
        <w:pStyle w:val="Heading2"/>
        <w:ind w:firstLine="0"/>
      </w:pPr>
      <w:r>
        <w:rPr>
          <w:color w:val="000000"/>
        </w:rPr>
        <w:t>5.1 Philosophical Root: "Acting Upon the Subtle Beginnings"</w:t>
      </w:r>
    </w:p>
    <w:p>
      <w:r>
        <w:rPr>
          <w:rFonts w:ascii="Times New Roman" w:hAnsi="Times New Roman"/>
          <w:b w:val="0"/>
          <w:i w:val="0"/>
          <w:sz w:val="22"/>
        </w:rPr>
        <w:t>From the Xicizhuan: "To know the subtle beginnings — is this not spirit-like? The subtle beginning is the first motion of change, the first sign of good fortune. The superior man sees the subtle beginning and acts, without waiting for the end of the day." YLYW engineers Zhiji as three layers of online experience accumulation, all CPU-only.</w:t>
      </w:r>
    </w:p>
    <w:p>
      <w:pPr>
        <w:pStyle w:val="Heading2"/>
        <w:ind w:firstLine="0"/>
      </w:pPr>
      <w:r>
        <w:rPr>
          <w:color w:val="000000"/>
        </w:rPr>
        <w:t>5.2 Layer 1: Synonym Calibration</w:t>
      </w:r>
    </w:p>
    <w:p>
      <w:r>
        <w:rPr>
          <w:rFonts w:ascii="Times New Roman" w:hAnsi="Times New Roman"/>
          <w:b w:val="0"/>
          <w:i w:val="0"/>
          <w:sz w:val="22"/>
        </w:rPr>
        <w:t>Formula: K_calibrated = K_prior ⊕ K_observation. When task description says "cup" but the environment contains "mug," V19 extracts entity names from admissible commands, cross-matches with vocabulary, and builds synonym maps. This is "acting upon a single observation" — one-shot calibration.</w:t>
      </w:r>
    </w:p>
    <w:p>
      <w:pPr>
        <w:pStyle w:val="Heading2"/>
        <w:ind w:firstLine="0"/>
      </w:pPr>
      <w:r>
        <w:rPr>
          <w:color w:val="000000"/>
        </w:rPr>
        <w:t>5.3 Layer 2: Location Prior Calibration</w:t>
      </w:r>
    </w:p>
    <w:p>
      <w:r>
        <w:rPr>
          <w:rFonts w:ascii="Times New Roman" w:hAnsi="Times New Roman"/>
          <w:b w:val="0"/>
          <w:i w:val="0"/>
          <w:sz w:val="22"/>
        </w:rPr>
        <w:t>Formula: P(obj|loc) = count(obj,loc)/total(obj). The same object type (e.g., "plate") appears in different locations across tasks. V19 accumulates spatial frequency statistics and injects location priors as scoring bonuses into subsequent task yao encoding.</w:t>
      </w:r>
    </w:p>
    <w:p>
      <w:pPr>
        <w:pStyle w:val="Heading2"/>
        <w:ind w:firstLine="0"/>
      </w:pPr>
      <w:r>
        <w:rPr>
          <w:color w:val="000000"/>
        </w:rPr>
        <w:t>5.4 Layer 3: Scene Structure Calibration</w:t>
      </w:r>
    </w:p>
    <w:p>
      <w:r>
        <w:rPr>
          <w:rFonts w:ascii="Times New Roman" w:hAnsi="Times New Roman"/>
          <w:b w:val="0"/>
          <w:i w:val="0"/>
          <w:sz w:val="22"/>
        </w:rPr>
        <w:t>Formula: K_scene = {openable_containers, empty_locations, location_contents}. Each ALFWorld scene has a unique layout. V19 maintains per-scene models enabling it to skip previously empty locations, avoid redundant container attempts, and target high-value locations.</w:t>
      </w:r>
    </w:p>
    <w:p>
      <w:pPr>
        <w:pStyle w:val="Heading1"/>
        <w:ind w:firstLine="0"/>
      </w:pPr>
      <w:r>
        <w:rPr>
          <w:color w:val="000000"/>
        </w:rPr>
        <w:t>6. Yao Relations Diagnostic Calculus</w:t>
      </w:r>
    </w:p>
    <w:p>
      <w:pPr>
        <w:pStyle w:val="Heading2"/>
        <w:ind w:firstLine="0"/>
      </w:pPr>
      <w:r>
        <w:rPr>
          <w:color w:val="000000"/>
        </w:rPr>
        <w:t>6.1 Formal Definitions</w:t>
      </w:r>
    </w:p>
    <w:p>
      <w:r>
        <w:rPr>
          <w:rFonts w:ascii="Times New Roman" w:hAnsi="Times New Roman"/>
          <w:b w:val="0"/>
          <w:i w:val="0"/>
          <w:sz w:val="22"/>
        </w:rPr>
        <w:t>Definition 1 (Cheng/Riding). For yao vector y∈[0,1]⁶, if ∃i∈{1,…,5} such that y_{i+1}&lt;0.3 and y_i&gt;0.7, then (i,i+1) is a Riding relation. Cheng_count = |{(i,i+1): y_{i+1}&lt;0.3 ∧ y_i&gt;0.7}|. High Cheng_count diagnoses external resistance.</w:t>
      </w:r>
    </w:p>
    <w:p>
      <w:r>
        <w:rPr>
          <w:rFonts w:ascii="Times New Roman" w:hAnsi="Times New Roman"/>
          <w:b w:val="0"/>
          <w:i w:val="0"/>
          <w:sz w:val="22"/>
        </w:rPr>
        <w:t>Definition 2 (Ying/Responding). Let y_scene = (y₁,y₂,y₃) and y_task = (y₄,y₅,y₆). Ying_count = |{p∈{1,2,3}: sign(y_scene,p) = sign(y_task,p+3)}|. If Ying_count=0 → strategy mismatch.</w:t>
      </w:r>
    </w:p>
    <w:p>
      <w:r>
        <w:rPr>
          <w:rFonts w:ascii="Times New Roman" w:hAnsi="Times New Roman"/>
          <w:b w:val="0"/>
          <w:i w:val="0"/>
          <w:sz w:val="22"/>
        </w:rPr>
        <w:t>Definition 3 (Dangwei/Correct Position). Dangwei = (Σ_{i∈{1,3,5}} I[y_i&gt;0.5] + Σ_{j∈{2,4,6}} I[y_j&lt;0.5])/3. Odd positions expect Yang (high), even positions expect Yin (low). Low score → "mispositioned."</w:t>
      </w:r>
    </w:p>
    <w:p>
      <w:r>
        <w:rPr>
          <w:rFonts w:ascii="Times New Roman" w:hAnsi="Times New Roman"/>
          <w:b w:val="0"/>
          <w:i w:val="0"/>
          <w:sz w:val="22"/>
        </w:rPr>
        <w:t>Definition 4 (Dezhong/Holding Center). Dezhong = (I[y₂&gt;0.5] + I[y₅&gt;0.5])/2. Second yao = lower center (agent state stability), fifth yao = upper center (environmental order). Low Dezhong → "lost direction."</w:t>
      </w:r>
    </w:p>
    <w:p>
      <w:pPr>
        <w:pStyle w:val="Heading2"/>
        <w:ind w:firstLine="0"/>
      </w:pPr>
      <w:r>
        <w:rPr>
          <w:color w:val="000000"/>
        </w:rPr>
        <w:t>6.2 Diagnostic Pipeline</w:t>
      </w:r>
    </w:p>
    <w:p>
      <w:r>
        <w:rPr>
          <w:rFonts w:ascii="Times New Roman" w:hAnsi="Times New Roman"/>
          <w:b w:val="0"/>
          <w:i w:val="0"/>
          <w:sz w:val="22"/>
        </w:rPr>
        <w:t>When V19 detects an empty productive action pool, the pipeline executes: (1) build Chinese situation description from world model; (2) perceive scene_yao (current perception) and task_yao (task expectation); (3) compute Δy = y_task - y_scene; (4) run Yao Relations on scene_yao, task_yao, and Δy; (5) priority-ordered diagnosis: look_task_fix &gt; external_resistance (Cheng≥2) &gt; strategy_mismatch (Ying=0) &gt; lost_direction (Dezhong&lt;0.25) &gt; position_mismatch (|Δy₁|&gt;0.3) &gt; attention_mismatch (|Δy₅|&gt;0.3) &gt; stagnant_perception (var&lt;0.06) &gt; default frontier reset.</w:t>
      </w:r>
    </w:p>
    <w:p>
      <w:pPr>
        <w:pStyle w:val="Heading2"/>
        <w:ind w:firstLine="0"/>
      </w:pPr>
      <w:r>
        <w:rPr>
          <w:color w:val="000000"/>
        </w:rPr>
        <w:t>6.3 Recovery Strategies</w:t>
      </w:r>
    </w:p>
    <w:tbl>
      <w:tblPr>
        <w:tblStyle w:val="TableGrid"/>
        <w:tblW w:type="auto" w:w="0"/>
        <w:jc w:val="center"/>
        <w:tblLook w:firstColumn="1" w:firstRow="1" w:lastColumn="0" w:lastRow="0" w:noHBand="0" w:noVBand="1" w:val="04A0"/>
      </w:tblPr>
      <w:tblGrid>
        <w:gridCol w:w="2878"/>
        <w:gridCol w:w="2878"/>
        <w:gridCol w:w="2878"/>
      </w:tblGrid>
      <w:tr>
        <w:tc>
          <w:tcPr>
            <w:tcW w:type="dxa" w:w="2878"/>
          </w:tcPr>
          <w:p>
            <w:pPr>
              <w:ind w:firstLine="0"/>
              <w:jc w:val="center"/>
            </w:pPr>
            <w:r/>
            <w:r>
              <w:rPr>
                <w:rFonts w:ascii="Times New Roman" w:hAnsi="Times New Roman"/>
                <w:b/>
                <w:sz w:val="18"/>
              </w:rPr>
              <w:t>Diagnosis</w:t>
            </w:r>
          </w:p>
        </w:tc>
        <w:tc>
          <w:tcPr>
            <w:tcW w:type="dxa" w:w="2878"/>
          </w:tcPr>
          <w:p>
            <w:pPr>
              <w:ind w:firstLine="0"/>
              <w:jc w:val="center"/>
            </w:pPr>
            <w:r/>
            <w:r>
              <w:rPr>
                <w:rFonts w:ascii="Times New Roman" w:hAnsi="Times New Roman"/>
                <w:b/>
                <w:sz w:val="18"/>
              </w:rPr>
              <w:t>Trigger</w:t>
            </w:r>
          </w:p>
        </w:tc>
        <w:tc>
          <w:tcPr>
            <w:tcW w:type="dxa" w:w="2878"/>
          </w:tcPr>
          <w:p>
            <w:pPr>
              <w:ind w:firstLine="0"/>
              <w:jc w:val="center"/>
            </w:pPr>
            <w:r/>
            <w:r>
              <w:rPr>
                <w:rFonts w:ascii="Times New Roman" w:hAnsi="Times New Roman"/>
                <w:b/>
                <w:sz w:val="18"/>
              </w:rPr>
              <w:t>Recovery Action</w:t>
            </w:r>
          </w:p>
        </w:tc>
      </w:tr>
      <w:tr>
        <w:tc>
          <w:tcPr>
            <w:tcW w:type="dxa" w:w="2878"/>
          </w:tcPr>
          <w:p>
            <w:pPr>
              <w:ind w:firstLine="0"/>
              <w:jc w:val="center"/>
            </w:pPr>
            <w:r/>
            <w:r>
              <w:rPr>
                <w:rFonts w:ascii="Times New Roman" w:hAnsi="Times New Roman"/>
                <w:sz w:val="18"/>
              </w:rPr>
              <w:t>external_resistance</w:t>
            </w:r>
          </w:p>
        </w:tc>
        <w:tc>
          <w:tcPr>
            <w:tcW w:type="dxa" w:w="2878"/>
          </w:tcPr>
          <w:p>
            <w:pPr>
              <w:ind w:firstLine="0"/>
              <w:jc w:val="center"/>
            </w:pPr>
            <w:r/>
            <w:r>
              <w:rPr>
                <w:rFonts w:ascii="Times New Roman" w:hAnsi="Times New Roman"/>
                <w:sz w:val="18"/>
              </w:rPr>
              <w:t>Cheng≥2</w:t>
            </w:r>
          </w:p>
        </w:tc>
        <w:tc>
          <w:tcPr>
            <w:tcW w:type="dxa" w:w="2878"/>
          </w:tcPr>
          <w:p>
            <w:pPr>
              <w:ind w:firstLine="0"/>
              <w:jc w:val="center"/>
            </w:pPr>
            <w:r/>
            <w:r>
              <w:rPr>
                <w:rFonts w:ascii="Times New Roman" w:hAnsi="Times New Roman"/>
                <w:sz w:val="18"/>
              </w:rPr>
              <w:t>Force unopened container attention</w:t>
            </w:r>
          </w:p>
        </w:tc>
      </w:tr>
      <w:tr>
        <w:tc>
          <w:tcPr>
            <w:tcW w:type="dxa" w:w="2878"/>
          </w:tcPr>
          <w:p>
            <w:pPr>
              <w:ind w:firstLine="0"/>
              <w:jc w:val="center"/>
            </w:pPr>
            <w:r/>
            <w:r>
              <w:rPr>
                <w:rFonts w:ascii="Times New Roman" w:hAnsi="Times New Roman"/>
                <w:sz w:val="18"/>
              </w:rPr>
              <w:t>strategy_mismatch</w:t>
            </w:r>
          </w:p>
        </w:tc>
        <w:tc>
          <w:tcPr>
            <w:tcW w:type="dxa" w:w="2878"/>
          </w:tcPr>
          <w:p>
            <w:pPr>
              <w:ind w:firstLine="0"/>
              <w:jc w:val="center"/>
            </w:pPr>
            <w:r/>
            <w:r>
              <w:rPr>
                <w:rFonts w:ascii="Times New Roman" w:hAnsi="Times New Roman"/>
                <w:sz w:val="18"/>
              </w:rPr>
              <w:t>Ying=0</w:t>
            </w:r>
          </w:p>
        </w:tc>
        <w:tc>
          <w:tcPr>
            <w:tcW w:type="dxa" w:w="2878"/>
          </w:tcPr>
          <w:p>
            <w:pPr>
              <w:ind w:firstLine="0"/>
              <w:jc w:val="center"/>
            </w:pPr>
            <w:r/>
            <w:r>
              <w:rPr>
                <w:rFonts w:ascii="Times New Roman" w:hAnsi="Times New Roman"/>
                <w:sz w:val="18"/>
              </w:rPr>
              <w:t>Switch task mode (pickup↔exploration)</w:t>
            </w:r>
          </w:p>
        </w:tc>
      </w:tr>
      <w:tr>
        <w:tc>
          <w:tcPr>
            <w:tcW w:type="dxa" w:w="2878"/>
          </w:tcPr>
          <w:p>
            <w:pPr>
              <w:ind w:firstLine="0"/>
              <w:jc w:val="center"/>
            </w:pPr>
            <w:r/>
            <w:r>
              <w:rPr>
                <w:rFonts w:ascii="Times New Roman" w:hAnsi="Times New Roman"/>
                <w:sz w:val="18"/>
              </w:rPr>
              <w:t>lost_direction</w:t>
            </w:r>
          </w:p>
        </w:tc>
        <w:tc>
          <w:tcPr>
            <w:tcW w:type="dxa" w:w="2878"/>
          </w:tcPr>
          <w:p>
            <w:pPr>
              <w:ind w:firstLine="0"/>
              <w:jc w:val="center"/>
            </w:pPr>
            <w:r/>
            <w:r>
              <w:rPr>
                <w:rFonts w:ascii="Times New Roman" w:hAnsi="Times New Roman"/>
                <w:sz w:val="18"/>
              </w:rPr>
              <w:t>Dezhong&lt;0.25</w:t>
            </w:r>
          </w:p>
        </w:tc>
        <w:tc>
          <w:tcPr>
            <w:tcW w:type="dxa" w:w="2878"/>
          </w:tcPr>
          <w:p>
            <w:pPr>
              <w:ind w:firstLine="0"/>
              <w:jc w:val="center"/>
            </w:pPr>
            <w:r/>
            <w:r>
              <w:rPr>
                <w:rFonts w:ascii="Times New Roman" w:hAnsi="Times New Roman"/>
                <w:sz w:val="18"/>
              </w:rPr>
              <w:t>Expand search radius, new rooms</w:t>
            </w:r>
          </w:p>
        </w:tc>
      </w:tr>
      <w:tr>
        <w:tc>
          <w:tcPr>
            <w:tcW w:type="dxa" w:w="2878"/>
          </w:tcPr>
          <w:p>
            <w:pPr>
              <w:ind w:firstLine="0"/>
              <w:jc w:val="center"/>
            </w:pPr>
            <w:r/>
            <w:r>
              <w:rPr>
                <w:rFonts w:ascii="Times New Roman" w:hAnsi="Times New Roman"/>
                <w:sz w:val="18"/>
              </w:rPr>
              <w:t>position_mismatch</w:t>
            </w:r>
          </w:p>
        </w:tc>
        <w:tc>
          <w:tcPr>
            <w:tcW w:type="dxa" w:w="2878"/>
          </w:tcPr>
          <w:p>
            <w:pPr>
              <w:ind w:firstLine="0"/>
              <w:jc w:val="center"/>
            </w:pPr>
            <w:r/>
            <w:r>
              <w:rPr>
                <w:rFonts w:ascii="Times New Roman" w:hAnsi="Times New Roman"/>
                <w:sz w:val="18"/>
              </w:rPr>
              <w:t>|Δy₁|&gt;0.3</w:t>
            </w:r>
          </w:p>
        </w:tc>
        <w:tc>
          <w:tcPr>
            <w:tcW w:type="dxa" w:w="2878"/>
          </w:tcPr>
          <w:p>
            <w:pPr>
              <w:ind w:firstLine="0"/>
              <w:jc w:val="center"/>
            </w:pPr>
            <w:r/>
            <w:r>
              <w:rPr>
                <w:rFonts w:ascii="Times New Roman" w:hAnsi="Times New Roman"/>
                <w:sz w:val="18"/>
              </w:rPr>
              <w:t>Adjust search direction</w:t>
            </w:r>
          </w:p>
        </w:tc>
      </w:tr>
      <w:tr>
        <w:tc>
          <w:tcPr>
            <w:tcW w:type="dxa" w:w="2878"/>
          </w:tcPr>
          <w:p>
            <w:pPr>
              <w:ind w:firstLine="0"/>
              <w:jc w:val="center"/>
            </w:pPr>
            <w:r/>
            <w:r>
              <w:rPr>
                <w:rFonts w:ascii="Times New Roman" w:hAnsi="Times New Roman"/>
                <w:sz w:val="18"/>
              </w:rPr>
              <w:t>attention_mismatch</w:t>
            </w:r>
          </w:p>
        </w:tc>
        <w:tc>
          <w:tcPr>
            <w:tcW w:type="dxa" w:w="2878"/>
          </w:tcPr>
          <w:p>
            <w:pPr>
              <w:ind w:firstLine="0"/>
              <w:jc w:val="center"/>
            </w:pPr>
            <w:r/>
            <w:r>
              <w:rPr>
                <w:rFonts w:ascii="Times New Roman" w:hAnsi="Times New Roman"/>
                <w:sz w:val="18"/>
              </w:rPr>
              <w:t>|Δy₅|&gt;0.3</w:t>
            </w:r>
          </w:p>
        </w:tc>
        <w:tc>
          <w:tcPr>
            <w:tcW w:type="dxa" w:w="2878"/>
          </w:tcPr>
          <w:p>
            <w:pPr>
              <w:ind w:firstLine="0"/>
              <w:jc w:val="center"/>
            </w:pPr>
            <w:r/>
            <w:r>
              <w:rPr>
                <w:rFonts w:ascii="Times New Roman" w:hAnsi="Times New Roman"/>
                <w:sz w:val="18"/>
              </w:rPr>
              <w:t>Force "look" to re-evaluate</w:t>
            </w:r>
          </w:p>
        </w:tc>
      </w:tr>
      <w:tr>
        <w:tc>
          <w:tcPr>
            <w:tcW w:type="dxa" w:w="2878"/>
          </w:tcPr>
          <w:p>
            <w:pPr>
              <w:ind w:firstLine="0"/>
              <w:jc w:val="center"/>
            </w:pPr>
            <w:r/>
            <w:r>
              <w:rPr>
                <w:rFonts w:ascii="Times New Roman" w:hAnsi="Times New Roman"/>
                <w:sz w:val="18"/>
              </w:rPr>
              <w:t>stagnant_perception</w:t>
            </w:r>
          </w:p>
        </w:tc>
        <w:tc>
          <w:tcPr>
            <w:tcW w:type="dxa" w:w="2878"/>
          </w:tcPr>
          <w:p>
            <w:pPr>
              <w:ind w:firstLine="0"/>
              <w:jc w:val="center"/>
            </w:pPr>
            <w:r/>
            <w:r>
              <w:rPr>
                <w:rFonts w:ascii="Times New Roman" w:hAnsi="Times New Roman"/>
                <w:sz w:val="18"/>
              </w:rPr>
              <w:t>var&lt;0.06</w:t>
            </w:r>
          </w:p>
        </w:tc>
        <w:tc>
          <w:tcPr>
            <w:tcW w:type="dxa" w:w="2878"/>
          </w:tcPr>
          <w:p>
            <w:pPr>
              <w:ind w:firstLine="0"/>
              <w:jc w:val="center"/>
            </w:pPr>
            <w:r/>
            <w:r>
              <w:rPr>
                <w:rFonts w:ascii="Times New Roman" w:hAnsi="Times New Roman"/>
                <w:sz w:val="18"/>
              </w:rPr>
              <w:t>Inject random exploration</w:t>
            </w:r>
          </w:p>
        </w:tc>
      </w:tr>
      <w:tr>
        <w:tc>
          <w:tcPr>
            <w:tcW w:type="dxa" w:w="2878"/>
          </w:tcPr>
          <w:p>
            <w:pPr>
              <w:ind w:firstLine="0"/>
              <w:jc w:val="center"/>
            </w:pPr>
            <w:r/>
            <w:r>
              <w:rPr>
                <w:rFonts w:ascii="Times New Roman" w:hAnsi="Times New Roman"/>
                <w:sz w:val="18"/>
              </w:rPr>
              <w:t>default</w:t>
            </w:r>
          </w:p>
        </w:tc>
        <w:tc>
          <w:tcPr>
            <w:tcW w:type="dxa" w:w="2878"/>
          </w:tcPr>
          <w:p>
            <w:pPr>
              <w:ind w:firstLine="0"/>
              <w:jc w:val="center"/>
            </w:pPr>
            <w:r/>
            <w:r>
              <w:rPr>
                <w:rFonts w:ascii="Times New Roman" w:hAnsi="Times New Roman"/>
                <w:sz w:val="18"/>
              </w:rPr>
              <w:t>None trigger</w:t>
            </w:r>
          </w:p>
        </w:tc>
        <w:tc>
          <w:tcPr>
            <w:tcW w:type="dxa" w:w="2878"/>
          </w:tcPr>
          <w:p>
            <w:pPr>
              <w:ind w:firstLine="0"/>
              <w:jc w:val="center"/>
            </w:pPr>
            <w:r/>
            <w:r>
              <w:rPr>
                <w:rFonts w:ascii="Times New Roman" w:hAnsi="Times New Roman"/>
                <w:sz w:val="18"/>
              </w:rPr>
              <w:t>Frontier reset (V18 fallback)</w:t>
            </w:r>
          </w:p>
        </w:tc>
      </w:tr>
    </w:tbl>
    <w:p>
      <w:pPr>
        <w:ind w:firstLine="0"/>
        <w:jc w:val="center"/>
      </w:pPr>
      <w:r>
        <w:rPr>
          <w:rFonts w:ascii="Times New Roman" w:hAnsi="Times New Roman"/>
          <w:i/>
          <w:sz w:val="18"/>
        </w:rPr>
        <w:t>Table 3: Targeted recovery strategies</w:t>
      </w:r>
    </w:p>
    <w:p/>
    <w:p>
      <w:pPr>
        <w:pStyle w:val="Heading1"/>
        <w:ind w:firstLine="0"/>
      </w:pPr>
      <w:r>
        <w:rPr>
          <w:color w:val="000000"/>
        </w:rPr>
        <w:t>7. Experiments</w:t>
      </w:r>
    </w:p>
    <w:p>
      <w:pPr>
        <w:pStyle w:val="Heading2"/>
        <w:ind w:firstLine="0"/>
      </w:pPr>
      <w:r>
        <w:rPr>
          <w:color w:val="000000"/>
        </w:rPr>
        <w:t>7.1 Setup</w:t>
      </w:r>
    </w:p>
    <w:p>
      <w:r>
        <w:rPr>
          <w:rFonts w:ascii="Times New Roman" w:hAnsi="Times New Roman"/>
          <w:b w:val="0"/>
          <w:i w:val="0"/>
          <w:sz w:val="22"/>
        </w:rPr>
        <w:t>Benchmark: ALFWorld valid_unseen (eval_out_of_distribution), 134 games, 7 task types. Max 50 steps, 180s timeout. Agent receives only raw text observations and task descriptions — no metadata, rewards, or ground truth. Hardware: single CPU core, 2GB RAM, no GPU, no API.</w:t>
      </w:r>
    </w:p>
    <w:p>
      <w:pPr>
        <w:pStyle w:val="Heading2"/>
        <w:ind w:firstLine="0"/>
      </w:pPr>
      <w:r>
        <w:rPr>
          <w:color w:val="000000"/>
        </w:rPr>
        <w:t>7.2 Main Results</w:t>
      </w:r>
    </w:p>
    <w:tbl>
      <w:tblPr>
        <w:tblStyle w:val="TableGrid"/>
        <w:tblW w:type="auto" w:w="0"/>
        <w:jc w:val="center"/>
        <w:tblLook w:firstColumn="1" w:firstRow="1" w:lastColumn="0" w:lastRow="0" w:noHBand="0" w:noVBand="1" w:val="04A0"/>
      </w:tblPr>
      <w:tblGrid>
        <w:gridCol w:w="1727"/>
        <w:gridCol w:w="1727"/>
        <w:gridCol w:w="1727"/>
        <w:gridCol w:w="1727"/>
        <w:gridCol w:w="1727"/>
      </w:tblGrid>
      <w:tr>
        <w:tc>
          <w:tcPr>
            <w:tcW w:type="dxa" w:w="1727"/>
          </w:tcPr>
          <w:p>
            <w:pPr>
              <w:ind w:firstLine="0"/>
              <w:jc w:val="center"/>
            </w:pPr>
            <w:r/>
            <w:r>
              <w:rPr>
                <w:rFonts w:ascii="Times New Roman" w:hAnsi="Times New Roman"/>
                <w:b/>
                <w:sz w:val="18"/>
              </w:rPr>
              <w:t>Method</w:t>
            </w:r>
          </w:p>
        </w:tc>
        <w:tc>
          <w:tcPr>
            <w:tcW w:type="dxa" w:w="1727"/>
          </w:tcPr>
          <w:p>
            <w:pPr>
              <w:ind w:firstLine="0"/>
              <w:jc w:val="center"/>
            </w:pPr>
            <w:r/>
            <w:r>
              <w:rPr>
                <w:rFonts w:ascii="Times New Roman" w:hAnsi="Times New Roman"/>
                <w:b/>
                <w:sz w:val="18"/>
              </w:rPr>
              <w:t>LLM</w:t>
            </w:r>
          </w:p>
        </w:tc>
        <w:tc>
          <w:tcPr>
            <w:tcW w:type="dxa" w:w="1727"/>
          </w:tcPr>
          <w:p>
            <w:pPr>
              <w:ind w:firstLine="0"/>
              <w:jc w:val="center"/>
            </w:pPr>
            <w:r/>
            <w:r>
              <w:rPr>
                <w:rFonts w:ascii="Times New Roman" w:hAnsi="Times New Roman"/>
                <w:b/>
                <w:sz w:val="18"/>
              </w:rPr>
              <w:t>Params</w:t>
            </w:r>
          </w:p>
        </w:tc>
        <w:tc>
          <w:tcPr>
            <w:tcW w:type="dxa" w:w="1727"/>
          </w:tcPr>
          <w:p>
            <w:pPr>
              <w:ind w:firstLine="0"/>
              <w:jc w:val="center"/>
            </w:pPr>
            <w:r/>
            <w:r>
              <w:rPr>
                <w:rFonts w:ascii="Times New Roman" w:hAnsi="Times New Roman"/>
                <w:b/>
                <w:sz w:val="18"/>
              </w:rPr>
              <w:t>Deterministic</w:t>
            </w:r>
          </w:p>
        </w:tc>
        <w:tc>
          <w:tcPr>
            <w:tcW w:type="dxa" w:w="1727"/>
          </w:tcPr>
          <w:p>
            <w:pPr>
              <w:ind w:firstLine="0"/>
              <w:jc w:val="center"/>
            </w:pPr>
            <w:r/>
            <w:r>
              <w:rPr>
                <w:rFonts w:ascii="Times New Roman" w:hAnsi="Times New Roman"/>
                <w:b/>
                <w:sz w:val="18"/>
              </w:rPr>
              <w:t>Success Rate</w:t>
            </w:r>
          </w:p>
        </w:tc>
      </w:tr>
      <w:tr>
        <w:tc>
          <w:tcPr>
            <w:tcW w:type="dxa" w:w="1727"/>
          </w:tcPr>
          <w:p>
            <w:pPr>
              <w:ind w:firstLine="0"/>
              <w:jc w:val="center"/>
            </w:pPr>
            <w:r/>
            <w:r>
              <w:rPr>
                <w:rFonts w:ascii="Times New Roman" w:hAnsi="Times New Roman"/>
                <w:sz w:val="18"/>
              </w:rPr>
              <w:t>YLYW-V19</w:t>
            </w:r>
          </w:p>
        </w:tc>
        <w:tc>
          <w:tcPr>
            <w:tcW w:type="dxa" w:w="1727"/>
          </w:tcPr>
          <w:p>
            <w:pPr>
              <w:ind w:firstLine="0"/>
              <w:jc w:val="center"/>
            </w:pPr>
            <w:r/>
            <w:r>
              <w:rPr>
                <w:rFonts w:ascii="Times New Roman" w:hAnsi="Times New Roman"/>
                <w:sz w:val="18"/>
              </w:rPr>
              <w:t>No</w:t>
            </w:r>
          </w:p>
        </w:tc>
        <w:tc>
          <w:tcPr>
            <w:tcW w:type="dxa" w:w="1727"/>
          </w:tcPr>
          <w:p>
            <w:pPr>
              <w:ind w:firstLine="0"/>
              <w:jc w:val="center"/>
            </w:pPr>
            <w:r/>
            <w:r>
              <w:rPr>
                <w:rFonts w:ascii="Times New Roman" w:hAnsi="Times New Roman"/>
                <w:sz w:val="18"/>
              </w:rPr>
              <w:t>443</w:t>
            </w:r>
          </w:p>
        </w:tc>
        <w:tc>
          <w:tcPr>
            <w:tcW w:type="dxa" w:w="1727"/>
          </w:tcPr>
          <w:p>
            <w:pPr>
              <w:ind w:firstLine="0"/>
              <w:jc w:val="center"/>
            </w:pPr>
            <w:r/>
            <w:r>
              <w:rPr>
                <w:rFonts w:ascii="Times New Roman" w:hAnsi="Times New Roman"/>
                <w:sz w:val="18"/>
              </w:rPr>
              <w:t>Yes</w:t>
            </w:r>
          </w:p>
        </w:tc>
        <w:tc>
          <w:tcPr>
            <w:tcW w:type="dxa" w:w="1727"/>
          </w:tcPr>
          <w:p>
            <w:pPr>
              <w:ind w:firstLine="0"/>
              <w:jc w:val="center"/>
            </w:pPr>
            <w:r/>
            <w:r>
              <w:rPr>
                <w:rFonts w:ascii="Times New Roman" w:hAnsi="Times New Roman"/>
                <w:sz w:val="18"/>
              </w:rPr>
              <w:t>91.0%</w:t>
            </w:r>
          </w:p>
        </w:tc>
      </w:tr>
      <w:tr>
        <w:tc>
          <w:tcPr>
            <w:tcW w:type="dxa" w:w="1727"/>
          </w:tcPr>
          <w:p>
            <w:pPr>
              <w:ind w:firstLine="0"/>
              <w:jc w:val="center"/>
            </w:pPr>
            <w:r/>
            <w:r>
              <w:rPr>
                <w:rFonts w:ascii="Times New Roman" w:hAnsi="Times New Roman"/>
                <w:sz w:val="18"/>
              </w:rPr>
              <w:t>YLYW-V18</w:t>
            </w:r>
          </w:p>
        </w:tc>
        <w:tc>
          <w:tcPr>
            <w:tcW w:type="dxa" w:w="1727"/>
          </w:tcPr>
          <w:p>
            <w:pPr>
              <w:ind w:firstLine="0"/>
              <w:jc w:val="center"/>
            </w:pPr>
            <w:r/>
            <w:r>
              <w:rPr>
                <w:rFonts w:ascii="Times New Roman" w:hAnsi="Times New Roman"/>
                <w:sz w:val="18"/>
              </w:rPr>
              <w:t>No</w:t>
            </w:r>
          </w:p>
        </w:tc>
        <w:tc>
          <w:tcPr>
            <w:tcW w:type="dxa" w:w="1727"/>
          </w:tcPr>
          <w:p>
            <w:pPr>
              <w:ind w:firstLine="0"/>
              <w:jc w:val="center"/>
            </w:pPr>
            <w:r/>
            <w:r>
              <w:rPr>
                <w:rFonts w:ascii="Times New Roman" w:hAnsi="Times New Roman"/>
                <w:sz w:val="18"/>
              </w:rPr>
              <w:t>443</w:t>
            </w:r>
          </w:p>
        </w:tc>
        <w:tc>
          <w:tcPr>
            <w:tcW w:type="dxa" w:w="1727"/>
          </w:tcPr>
          <w:p>
            <w:pPr>
              <w:ind w:firstLine="0"/>
              <w:jc w:val="center"/>
            </w:pPr>
            <w:r/>
            <w:r>
              <w:rPr>
                <w:rFonts w:ascii="Times New Roman" w:hAnsi="Times New Roman"/>
                <w:sz w:val="18"/>
              </w:rPr>
              <w:t>Yes</w:t>
            </w:r>
          </w:p>
        </w:tc>
        <w:tc>
          <w:tcPr>
            <w:tcW w:type="dxa" w:w="1727"/>
          </w:tcPr>
          <w:p>
            <w:pPr>
              <w:ind w:firstLine="0"/>
              <w:jc w:val="center"/>
            </w:pPr>
            <w:r/>
            <w:r>
              <w:rPr>
                <w:rFonts w:ascii="Times New Roman" w:hAnsi="Times New Roman"/>
                <w:sz w:val="18"/>
              </w:rPr>
              <w:t>79.9%</w:t>
            </w:r>
          </w:p>
        </w:tc>
      </w:tr>
      <w:tr>
        <w:tc>
          <w:tcPr>
            <w:tcW w:type="dxa" w:w="1727"/>
          </w:tcPr>
          <w:p>
            <w:pPr>
              <w:ind w:firstLine="0"/>
              <w:jc w:val="center"/>
            </w:pPr>
            <w:r/>
            <w:r>
              <w:rPr>
                <w:rFonts w:ascii="Times New Roman" w:hAnsi="Times New Roman"/>
                <w:sz w:val="18"/>
              </w:rPr>
              <w:t>YLYW-V17 (linear only)</w:t>
            </w:r>
          </w:p>
        </w:tc>
        <w:tc>
          <w:tcPr>
            <w:tcW w:type="dxa" w:w="1727"/>
          </w:tcPr>
          <w:p>
            <w:pPr>
              <w:ind w:firstLine="0"/>
              <w:jc w:val="center"/>
            </w:pPr>
            <w:r/>
            <w:r>
              <w:rPr>
                <w:rFonts w:ascii="Times New Roman" w:hAnsi="Times New Roman"/>
                <w:sz w:val="18"/>
              </w:rPr>
              <w:t>No</w:t>
            </w:r>
          </w:p>
        </w:tc>
        <w:tc>
          <w:tcPr>
            <w:tcW w:type="dxa" w:w="1727"/>
          </w:tcPr>
          <w:p>
            <w:pPr>
              <w:ind w:firstLine="0"/>
              <w:jc w:val="center"/>
            </w:pPr>
            <w:r/>
            <w:r>
              <w:rPr>
                <w:rFonts w:ascii="Times New Roman" w:hAnsi="Times New Roman"/>
                <w:sz w:val="18"/>
              </w:rPr>
              <w:t>443</w:t>
            </w:r>
          </w:p>
        </w:tc>
        <w:tc>
          <w:tcPr>
            <w:tcW w:type="dxa" w:w="1727"/>
          </w:tcPr>
          <w:p>
            <w:pPr>
              <w:ind w:firstLine="0"/>
              <w:jc w:val="center"/>
            </w:pPr>
            <w:r/>
            <w:r>
              <w:rPr>
                <w:rFonts w:ascii="Times New Roman" w:hAnsi="Times New Roman"/>
                <w:sz w:val="18"/>
              </w:rPr>
              <w:t>Yes</w:t>
            </w:r>
          </w:p>
        </w:tc>
        <w:tc>
          <w:tcPr>
            <w:tcW w:type="dxa" w:w="1727"/>
          </w:tcPr>
          <w:p>
            <w:pPr>
              <w:ind w:firstLine="0"/>
              <w:jc w:val="center"/>
            </w:pPr>
            <w:r/>
            <w:r>
              <w:rPr>
                <w:rFonts w:ascii="Times New Roman" w:hAnsi="Times New Roman"/>
                <w:sz w:val="18"/>
              </w:rPr>
              <w:t>~72%</w:t>
            </w:r>
          </w:p>
        </w:tc>
      </w:tr>
      <w:tr>
        <w:tc>
          <w:tcPr>
            <w:tcW w:type="dxa" w:w="1727"/>
          </w:tcPr>
          <w:p>
            <w:pPr>
              <w:ind w:firstLine="0"/>
              <w:jc w:val="center"/>
            </w:pPr>
            <w:r/>
            <w:r>
              <w:rPr>
                <w:rFonts w:ascii="Times New Roman" w:hAnsi="Times New Roman"/>
                <w:sz w:val="18"/>
              </w:rPr>
              <w:t>ReAct (GPT-4)</w:t>
            </w:r>
          </w:p>
        </w:tc>
        <w:tc>
          <w:tcPr>
            <w:tcW w:type="dxa" w:w="1727"/>
          </w:tcPr>
          <w:p>
            <w:pPr>
              <w:ind w:firstLine="0"/>
              <w:jc w:val="center"/>
            </w:pPr>
            <w:r/>
            <w:r>
              <w:rPr>
                <w:rFonts w:ascii="Times New Roman" w:hAnsi="Times New Roman"/>
                <w:sz w:val="18"/>
              </w:rPr>
              <w:t>GPT-4</w:t>
            </w:r>
          </w:p>
        </w:tc>
        <w:tc>
          <w:tcPr>
            <w:tcW w:type="dxa" w:w="1727"/>
          </w:tcPr>
          <w:p>
            <w:pPr>
              <w:ind w:firstLine="0"/>
              <w:jc w:val="center"/>
            </w:pPr>
            <w:r/>
            <w:r>
              <w:rPr>
                <w:rFonts w:ascii="Times New Roman" w:hAnsi="Times New Roman"/>
                <w:sz w:val="18"/>
              </w:rPr>
              <w:t>&gt;1T</w:t>
            </w:r>
          </w:p>
        </w:tc>
        <w:tc>
          <w:tcPr>
            <w:tcW w:type="dxa" w:w="1727"/>
          </w:tcPr>
          <w:p>
            <w:pPr>
              <w:ind w:firstLine="0"/>
              <w:jc w:val="center"/>
            </w:pPr>
            <w:r/>
            <w:r>
              <w:rPr>
                <w:rFonts w:ascii="Times New Roman" w:hAnsi="Times New Roman"/>
                <w:sz w:val="18"/>
              </w:rPr>
              <w:t>No</w:t>
            </w:r>
          </w:p>
        </w:tc>
        <w:tc>
          <w:tcPr>
            <w:tcW w:type="dxa" w:w="1727"/>
          </w:tcPr>
          <w:p>
            <w:pPr>
              <w:ind w:firstLine="0"/>
              <w:jc w:val="center"/>
            </w:pPr>
            <w:r/>
            <w:r>
              <w:rPr>
                <w:rFonts w:ascii="Times New Roman" w:hAnsi="Times New Roman"/>
                <w:sz w:val="18"/>
              </w:rPr>
              <w:t>~65%</w:t>
            </w:r>
          </w:p>
        </w:tc>
      </w:tr>
      <w:tr>
        <w:tc>
          <w:tcPr>
            <w:tcW w:type="dxa" w:w="1727"/>
          </w:tcPr>
          <w:p>
            <w:pPr>
              <w:ind w:firstLine="0"/>
              <w:jc w:val="center"/>
            </w:pPr>
            <w:r/>
            <w:r>
              <w:rPr>
                <w:rFonts w:ascii="Times New Roman" w:hAnsi="Times New Roman"/>
                <w:sz w:val="18"/>
              </w:rPr>
              <w:t>SayCan (PaLM)</w:t>
            </w:r>
          </w:p>
        </w:tc>
        <w:tc>
          <w:tcPr>
            <w:tcW w:type="dxa" w:w="1727"/>
          </w:tcPr>
          <w:p>
            <w:pPr>
              <w:ind w:firstLine="0"/>
              <w:jc w:val="center"/>
            </w:pPr>
            <w:r/>
            <w:r>
              <w:rPr>
                <w:rFonts w:ascii="Times New Roman" w:hAnsi="Times New Roman"/>
                <w:sz w:val="18"/>
              </w:rPr>
              <w:t>PaLM</w:t>
            </w:r>
          </w:p>
        </w:tc>
        <w:tc>
          <w:tcPr>
            <w:tcW w:type="dxa" w:w="1727"/>
          </w:tcPr>
          <w:p>
            <w:pPr>
              <w:ind w:firstLine="0"/>
              <w:jc w:val="center"/>
            </w:pPr>
            <w:r/>
            <w:r>
              <w:rPr>
                <w:rFonts w:ascii="Times New Roman" w:hAnsi="Times New Roman"/>
                <w:sz w:val="18"/>
              </w:rPr>
              <w:t>540B</w:t>
            </w:r>
          </w:p>
        </w:tc>
        <w:tc>
          <w:tcPr>
            <w:tcW w:type="dxa" w:w="1727"/>
          </w:tcPr>
          <w:p>
            <w:pPr>
              <w:ind w:firstLine="0"/>
              <w:jc w:val="center"/>
            </w:pPr>
            <w:r/>
            <w:r>
              <w:rPr>
                <w:rFonts w:ascii="Times New Roman" w:hAnsi="Times New Roman"/>
                <w:sz w:val="18"/>
              </w:rPr>
              <w:t>No</w:t>
            </w:r>
          </w:p>
        </w:tc>
        <w:tc>
          <w:tcPr>
            <w:tcW w:type="dxa" w:w="1727"/>
          </w:tcPr>
          <w:p>
            <w:pPr>
              <w:ind w:firstLine="0"/>
              <w:jc w:val="center"/>
            </w:pPr>
            <w:r/>
            <w:r>
              <w:rPr>
                <w:rFonts w:ascii="Times New Roman" w:hAnsi="Times New Roman"/>
                <w:sz w:val="18"/>
              </w:rPr>
              <w:t>~55%</w:t>
            </w:r>
          </w:p>
        </w:tc>
      </w:tr>
      <w:tr>
        <w:tc>
          <w:tcPr>
            <w:tcW w:type="dxa" w:w="1727"/>
          </w:tcPr>
          <w:p>
            <w:pPr>
              <w:ind w:firstLine="0"/>
              <w:jc w:val="center"/>
            </w:pPr>
            <w:r/>
            <w:r>
              <w:rPr>
                <w:rFonts w:ascii="Times New Roman" w:hAnsi="Times New Roman"/>
                <w:sz w:val="18"/>
              </w:rPr>
              <w:t>Code-as-Policies</w:t>
            </w:r>
          </w:p>
        </w:tc>
        <w:tc>
          <w:tcPr>
            <w:tcW w:type="dxa" w:w="1727"/>
          </w:tcPr>
          <w:p>
            <w:pPr>
              <w:ind w:firstLine="0"/>
              <w:jc w:val="center"/>
            </w:pPr>
            <w:r/>
            <w:r>
              <w:rPr>
                <w:rFonts w:ascii="Times New Roman" w:hAnsi="Times New Roman"/>
                <w:sz w:val="18"/>
              </w:rPr>
              <w:t>GPT-3.5</w:t>
            </w:r>
          </w:p>
        </w:tc>
        <w:tc>
          <w:tcPr>
            <w:tcW w:type="dxa" w:w="1727"/>
          </w:tcPr>
          <w:p>
            <w:pPr>
              <w:ind w:firstLine="0"/>
              <w:jc w:val="center"/>
            </w:pPr>
            <w:r/>
            <w:r>
              <w:rPr>
                <w:rFonts w:ascii="Times New Roman" w:hAnsi="Times New Roman"/>
                <w:sz w:val="18"/>
              </w:rPr>
              <w:t>175B</w:t>
            </w:r>
          </w:p>
        </w:tc>
        <w:tc>
          <w:tcPr>
            <w:tcW w:type="dxa" w:w="1727"/>
          </w:tcPr>
          <w:p>
            <w:pPr>
              <w:ind w:firstLine="0"/>
              <w:jc w:val="center"/>
            </w:pPr>
            <w:r/>
            <w:r>
              <w:rPr>
                <w:rFonts w:ascii="Times New Roman" w:hAnsi="Times New Roman"/>
                <w:sz w:val="18"/>
              </w:rPr>
              <w:t>No</w:t>
            </w:r>
          </w:p>
        </w:tc>
        <w:tc>
          <w:tcPr>
            <w:tcW w:type="dxa" w:w="1727"/>
          </w:tcPr>
          <w:p>
            <w:pPr>
              <w:ind w:firstLine="0"/>
              <w:jc w:val="center"/>
            </w:pPr>
            <w:r/>
            <w:r>
              <w:rPr>
                <w:rFonts w:ascii="Times New Roman" w:hAnsi="Times New Roman"/>
                <w:sz w:val="18"/>
              </w:rPr>
              <w:t>~40%</w:t>
            </w:r>
          </w:p>
        </w:tc>
      </w:tr>
      <w:tr>
        <w:tc>
          <w:tcPr>
            <w:tcW w:type="dxa" w:w="1727"/>
          </w:tcPr>
          <w:p>
            <w:pPr>
              <w:ind w:firstLine="0"/>
              <w:jc w:val="center"/>
            </w:pPr>
            <w:r/>
            <w:r>
              <w:rPr>
                <w:rFonts w:ascii="Times New Roman" w:hAnsi="Times New Roman"/>
                <w:sz w:val="18"/>
              </w:rPr>
              <w:t>BUTLER (RL)</w:t>
            </w:r>
          </w:p>
        </w:tc>
        <w:tc>
          <w:tcPr>
            <w:tcW w:type="dxa" w:w="1727"/>
          </w:tcPr>
          <w:p>
            <w:pPr>
              <w:ind w:firstLine="0"/>
              <w:jc w:val="center"/>
            </w:pPr>
            <w:r/>
            <w:r>
              <w:rPr>
                <w:rFonts w:ascii="Times New Roman" w:hAnsi="Times New Roman"/>
                <w:sz w:val="18"/>
              </w:rPr>
              <w:t>No</w:t>
            </w:r>
          </w:p>
        </w:tc>
        <w:tc>
          <w:tcPr>
            <w:tcW w:type="dxa" w:w="1727"/>
          </w:tcPr>
          <w:p>
            <w:pPr>
              <w:ind w:firstLine="0"/>
              <w:jc w:val="center"/>
            </w:pPr>
            <w:r/>
            <w:r>
              <w:rPr>
                <w:rFonts w:ascii="Times New Roman" w:hAnsi="Times New Roman"/>
                <w:sz w:val="18"/>
              </w:rPr>
              <w:t>—</w:t>
            </w:r>
          </w:p>
        </w:tc>
        <w:tc>
          <w:tcPr>
            <w:tcW w:type="dxa" w:w="1727"/>
          </w:tcPr>
          <w:p>
            <w:pPr>
              <w:ind w:firstLine="0"/>
              <w:jc w:val="center"/>
            </w:pPr>
            <w:r/>
            <w:r>
              <w:rPr>
                <w:rFonts w:ascii="Times New Roman" w:hAnsi="Times New Roman"/>
                <w:sz w:val="18"/>
              </w:rPr>
              <w:t>No</w:t>
            </w:r>
          </w:p>
        </w:tc>
        <w:tc>
          <w:tcPr>
            <w:tcW w:type="dxa" w:w="1727"/>
          </w:tcPr>
          <w:p>
            <w:pPr>
              <w:ind w:firstLine="0"/>
              <w:jc w:val="center"/>
            </w:pPr>
            <w:r/>
            <w:r>
              <w:rPr>
                <w:rFonts w:ascii="Times New Roman" w:hAnsi="Times New Roman"/>
                <w:sz w:val="18"/>
              </w:rPr>
              <w:t>~20%</w:t>
            </w:r>
          </w:p>
        </w:tc>
      </w:tr>
    </w:tbl>
    <w:p>
      <w:pPr>
        <w:ind w:firstLine="0"/>
        <w:jc w:val="center"/>
      </w:pPr>
      <w:r>
        <w:rPr>
          <w:rFonts w:ascii="Times New Roman" w:hAnsi="Times New Roman"/>
          <w:i/>
          <w:sz w:val="18"/>
        </w:rPr>
        <w:t>Table 4: Main results comparison on ALFWorld valid_unseen</w:t>
      </w:r>
    </w:p>
    <w:p/>
    <w:p>
      <w:pPr>
        <w:ind w:firstLine="0"/>
        <w:jc w:val="center"/>
      </w:pPr>
      <w:r>
        <w:drawing>
          <wp:inline xmlns:a="http://schemas.openxmlformats.org/drawingml/2006/main" xmlns:pic="http://schemas.openxmlformats.org/drawingml/2006/picture">
            <wp:extent cx="4389120" cy="2743200"/>
            <wp:docPr id="1" name="Picture 1"/>
            <wp:cNvGraphicFramePr>
              <a:graphicFrameLocks noChangeAspect="1"/>
            </wp:cNvGraphicFramePr>
            <a:graphic>
              <a:graphicData uri="http://schemas.openxmlformats.org/drawingml/2006/picture">
                <pic:pic>
                  <pic:nvPicPr>
                    <pic:cNvPr id="0" name="fig1_comparison.png"/>
                    <pic:cNvPicPr/>
                  </pic:nvPicPr>
                  <pic:blipFill>
                    <a:blip r:embed="rId9"/>
                    <a:stretch>
                      <a:fillRect/>
                    </a:stretch>
                  </pic:blipFill>
                  <pic:spPr>
                    <a:xfrm>
                      <a:off x="0" y="0"/>
                      <a:ext cx="4389120" cy="2743200"/>
                    </a:xfrm>
                    <a:prstGeom prst="rect"/>
                  </pic:spPr>
                </pic:pic>
              </a:graphicData>
            </a:graphic>
          </wp:inline>
        </w:drawing>
      </w:r>
    </w:p>
    <w:p>
      <w:pPr>
        <w:ind w:firstLine="0"/>
        <w:jc w:val="center"/>
      </w:pPr>
      <w:r>
        <w:rPr>
          <w:i/>
          <w:sz w:val="18"/>
        </w:rPr>
        <w:t>Figure 1: Success rate comparison across methods</w:t>
      </w:r>
    </w:p>
    <w:p>
      <w:pPr>
        <w:pStyle w:val="Heading2"/>
        <w:ind w:firstLine="0"/>
      </w:pPr>
      <w:r>
        <w:rPr>
          <w:color w:val="000000"/>
        </w:rPr>
        <w:t>7.3 Ablation Study</w:t>
      </w:r>
    </w:p>
    <w:p>
      <w:r>
        <w:rPr>
          <w:rFonts w:ascii="Times New Roman" w:hAnsi="Times New Roman"/>
          <w:b w:val="0"/>
          <w:i w:val="0"/>
          <w:sz w:val="22"/>
        </w:rPr>
        <w:t>To isolate each component's contribution, we conduct controlled ablation experiments on valid_unseen:</w:t>
      </w:r>
    </w:p>
    <w:tbl>
      <w:tblPr>
        <w:tblStyle w:val="TableGrid"/>
        <w:tblW w:type="auto" w:w="0"/>
        <w:jc w:val="center"/>
        <w:tblLook w:firstColumn="1" w:firstRow="1" w:lastColumn="0" w:lastRow="0" w:noHBand="0" w:noVBand="1" w:val="04A0"/>
      </w:tblPr>
      <w:tblGrid>
        <w:gridCol w:w="1233"/>
        <w:gridCol w:w="1233"/>
        <w:gridCol w:w="1233"/>
        <w:gridCol w:w="1233"/>
        <w:gridCol w:w="1233"/>
        <w:gridCol w:w="1233"/>
        <w:gridCol w:w="1233"/>
      </w:tblGrid>
      <w:tr>
        <w:tc>
          <w:tcPr>
            <w:tcW w:type="dxa" w:w="1233"/>
          </w:tcPr>
          <w:p>
            <w:pPr>
              <w:ind w:firstLine="0"/>
              <w:jc w:val="center"/>
            </w:pPr>
            <w:r/>
            <w:r>
              <w:rPr>
                <w:rFonts w:ascii="Times New Roman" w:hAnsi="Times New Roman"/>
                <w:b/>
                <w:sz w:val="18"/>
              </w:rPr>
              <w:t>Variant</w:t>
            </w:r>
          </w:p>
        </w:tc>
        <w:tc>
          <w:tcPr>
            <w:tcW w:type="dxa" w:w="1233"/>
          </w:tcPr>
          <w:p>
            <w:pPr>
              <w:ind w:firstLine="0"/>
              <w:jc w:val="center"/>
            </w:pPr>
            <w:r/>
            <w:r>
              <w:rPr>
                <w:rFonts w:ascii="Times New Roman" w:hAnsi="Times New Roman"/>
                <w:b/>
                <w:sz w:val="18"/>
              </w:rPr>
              <w:t>Semantic</w:t>
            </w:r>
          </w:p>
        </w:tc>
        <w:tc>
          <w:tcPr>
            <w:tcW w:type="dxa" w:w="1233"/>
          </w:tcPr>
          <w:p>
            <w:pPr>
              <w:ind w:firstLine="0"/>
              <w:jc w:val="center"/>
            </w:pPr>
            <w:r/>
            <w:r>
              <w:rPr>
                <w:rFonts w:ascii="Times New Roman" w:hAnsi="Times New Roman"/>
                <w:b/>
                <w:sz w:val="18"/>
              </w:rPr>
              <w:t>Zhiji</w:t>
            </w:r>
          </w:p>
        </w:tc>
        <w:tc>
          <w:tcPr>
            <w:tcW w:type="dxa" w:w="1233"/>
          </w:tcPr>
          <w:p>
            <w:pPr>
              <w:ind w:firstLine="0"/>
              <w:jc w:val="center"/>
            </w:pPr>
            <w:r/>
            <w:r>
              <w:rPr>
                <w:rFonts w:ascii="Times New Roman" w:hAnsi="Times New Roman"/>
                <w:b/>
                <w:sz w:val="18"/>
              </w:rPr>
              <w:t>Hexagram</w:t>
            </w:r>
          </w:p>
        </w:tc>
        <w:tc>
          <w:tcPr>
            <w:tcW w:type="dxa" w:w="1233"/>
          </w:tcPr>
          <w:p>
            <w:pPr>
              <w:ind w:firstLine="0"/>
              <w:jc w:val="center"/>
            </w:pPr>
            <w:r/>
            <w:r>
              <w:rPr>
                <w:rFonts w:ascii="Times New Roman" w:hAnsi="Times New Roman"/>
                <w:b/>
                <w:sz w:val="18"/>
              </w:rPr>
              <w:t>YaoRel</w:t>
            </w:r>
          </w:p>
        </w:tc>
        <w:tc>
          <w:tcPr>
            <w:tcW w:type="dxa" w:w="1233"/>
          </w:tcPr>
          <w:p>
            <w:pPr>
              <w:ind w:firstLine="0"/>
              <w:jc w:val="center"/>
            </w:pPr>
            <w:r/>
            <w:r>
              <w:rPr>
                <w:rFonts w:ascii="Times New Roman" w:hAnsi="Times New Roman"/>
                <w:b/>
                <w:sz w:val="18"/>
              </w:rPr>
              <w:t>Success</w:t>
            </w:r>
          </w:p>
        </w:tc>
        <w:tc>
          <w:tcPr>
            <w:tcW w:type="dxa" w:w="1233"/>
          </w:tcPr>
          <w:p>
            <w:pPr>
              <w:ind w:firstLine="0"/>
              <w:jc w:val="center"/>
            </w:pPr>
            <w:r/>
            <w:r>
              <w:rPr>
                <w:rFonts w:ascii="Times New Roman" w:hAnsi="Times New Roman"/>
                <w:b/>
                <w:sz w:val="18"/>
              </w:rPr>
              <w:t>Δ vs V19</w:t>
            </w:r>
          </w:p>
        </w:tc>
      </w:tr>
      <w:tr>
        <w:tc>
          <w:tcPr>
            <w:tcW w:type="dxa" w:w="1233"/>
          </w:tcPr>
          <w:p>
            <w:pPr>
              <w:ind w:firstLine="0"/>
              <w:jc w:val="center"/>
            </w:pPr>
            <w:r/>
            <w:r>
              <w:rPr>
                <w:rFonts w:ascii="Times New Roman" w:hAnsi="Times New Roman"/>
                <w:sz w:val="18"/>
              </w:rPr>
              <w:t>V19 (full)</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91.0%</w:t>
            </w:r>
          </w:p>
        </w:tc>
        <w:tc>
          <w:tcPr>
            <w:tcW w:type="dxa" w:w="1233"/>
          </w:tcPr>
          <w:p>
            <w:pPr>
              <w:ind w:firstLine="0"/>
              <w:jc w:val="center"/>
            </w:pPr>
            <w:r/>
            <w:r>
              <w:rPr>
                <w:rFonts w:ascii="Times New Roman" w:hAnsi="Times New Roman"/>
                <w:sz w:val="18"/>
              </w:rPr>
              <w:t>—</w:t>
            </w:r>
          </w:p>
        </w:tc>
      </w:tr>
      <w:tr>
        <w:tc>
          <w:tcPr>
            <w:tcW w:type="dxa" w:w="1233"/>
          </w:tcPr>
          <w:p>
            <w:pPr>
              <w:ind w:firstLine="0"/>
              <w:jc w:val="center"/>
            </w:pPr>
            <w:r/>
            <w:r>
              <w:rPr>
                <w:rFonts w:ascii="Times New Roman" w:hAnsi="Times New Roman"/>
                <w:sz w:val="18"/>
              </w:rPr>
              <w:t>V18 (no YaoRel)</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79.9%</w:t>
            </w:r>
          </w:p>
        </w:tc>
        <w:tc>
          <w:tcPr>
            <w:tcW w:type="dxa" w:w="1233"/>
          </w:tcPr>
          <w:p>
            <w:pPr>
              <w:ind w:firstLine="0"/>
              <w:jc w:val="center"/>
            </w:pPr>
            <w:r/>
            <w:r>
              <w:rPr>
                <w:rFonts w:ascii="Times New Roman" w:hAnsi="Times New Roman"/>
                <w:sz w:val="18"/>
              </w:rPr>
              <w:t>-11.1%</w:t>
            </w:r>
          </w:p>
        </w:tc>
      </w:tr>
      <w:tr>
        <w:tc>
          <w:tcPr>
            <w:tcW w:type="dxa" w:w="1233"/>
          </w:tcPr>
          <w:p>
            <w:pPr>
              <w:ind w:firstLine="0"/>
              <w:jc w:val="center"/>
            </w:pPr>
            <w:r/>
            <w:r>
              <w:rPr>
                <w:rFonts w:ascii="Times New Roman" w:hAnsi="Times New Roman"/>
                <w:sz w:val="18"/>
              </w:rPr>
              <w:t>V18 w/o hexagram</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~72.0%</w:t>
            </w:r>
          </w:p>
        </w:tc>
        <w:tc>
          <w:tcPr>
            <w:tcW w:type="dxa" w:w="1233"/>
          </w:tcPr>
          <w:p>
            <w:pPr>
              <w:ind w:firstLine="0"/>
              <w:jc w:val="center"/>
            </w:pPr>
            <w:r/>
            <w:r>
              <w:rPr>
                <w:rFonts w:ascii="Times New Roman" w:hAnsi="Times New Roman"/>
                <w:sz w:val="18"/>
              </w:rPr>
              <w:t>-19.0%</w:t>
            </w:r>
          </w:p>
        </w:tc>
      </w:tr>
      <w:tr>
        <w:tc>
          <w:tcPr>
            <w:tcW w:type="dxa" w:w="1233"/>
          </w:tcPr>
          <w:p>
            <w:pPr>
              <w:ind w:firstLine="0"/>
              <w:jc w:val="center"/>
            </w:pPr>
            <w:r/>
            <w:r>
              <w:rPr>
                <w:rFonts w:ascii="Times New Roman" w:hAnsi="Times New Roman"/>
                <w:sz w:val="18"/>
              </w:rPr>
              <w:t>V18 w/o zhiji</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~73.9%</w:t>
            </w:r>
          </w:p>
        </w:tc>
        <w:tc>
          <w:tcPr>
            <w:tcW w:type="dxa" w:w="1233"/>
          </w:tcPr>
          <w:p>
            <w:pPr>
              <w:ind w:firstLine="0"/>
              <w:jc w:val="center"/>
            </w:pPr>
            <w:r/>
            <w:r>
              <w:rPr>
                <w:rFonts w:ascii="Times New Roman" w:hAnsi="Times New Roman"/>
                <w:sz w:val="18"/>
              </w:rPr>
              <w:t>-17.1%</w:t>
            </w:r>
          </w:p>
        </w:tc>
      </w:tr>
      <w:tr>
        <w:tc>
          <w:tcPr>
            <w:tcW w:type="dxa" w:w="1233"/>
          </w:tcPr>
          <w:p>
            <w:pPr>
              <w:ind w:firstLine="0"/>
              <w:jc w:val="center"/>
            </w:pPr>
            <w:r/>
            <w:r>
              <w:rPr>
                <w:rFonts w:ascii="Times New Roman" w:hAnsi="Times New Roman"/>
                <w:sz w:val="18"/>
              </w:rPr>
              <w:t>V18 w/o semantic</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w:t>
            </w:r>
          </w:p>
        </w:tc>
        <w:tc>
          <w:tcPr>
            <w:tcW w:type="dxa" w:w="1233"/>
          </w:tcPr>
          <w:p>
            <w:pPr>
              <w:ind w:firstLine="0"/>
              <w:jc w:val="center"/>
            </w:pPr>
            <w:r/>
            <w:r>
              <w:rPr>
                <w:rFonts w:ascii="Times New Roman" w:hAnsi="Times New Roman"/>
                <w:sz w:val="18"/>
              </w:rPr>
              <w:t>~62.0%</w:t>
            </w:r>
          </w:p>
        </w:tc>
        <w:tc>
          <w:tcPr>
            <w:tcW w:type="dxa" w:w="1233"/>
          </w:tcPr>
          <w:p>
            <w:pPr>
              <w:ind w:firstLine="0"/>
              <w:jc w:val="center"/>
            </w:pPr>
            <w:r/>
            <w:r>
              <w:rPr>
                <w:rFonts w:ascii="Times New Roman" w:hAnsi="Times New Roman"/>
                <w:sz w:val="18"/>
              </w:rPr>
              <w:t>-29.0%</w:t>
            </w:r>
          </w:p>
        </w:tc>
      </w:tr>
    </w:tbl>
    <w:p>
      <w:pPr>
        <w:ind w:firstLine="0"/>
        <w:jc w:val="center"/>
      </w:pPr>
      <w:r>
        <w:rPr>
          <w:rFonts w:ascii="Times New Roman" w:hAnsi="Times New Roman"/>
          <w:i/>
          <w:sz w:val="18"/>
        </w:rPr>
        <w:t>Table 5: Complete ablation study</w:t>
      </w:r>
    </w:p>
    <w:p/>
    <w:p>
      <w:r>
        <w:rPr>
          <w:rFonts w:ascii="Times New Roman" w:hAnsi="Times New Roman"/>
          <w:b w:val="0"/>
          <w:i w:val="0"/>
          <w:sz w:val="22"/>
        </w:rPr>
        <w:t>Analysis reveals a clear hierarchy of contributions. The semantic pipeline provides foundational task understanding — without it, success drops to ~62%. Zhiji Learning contributes +6% through cross-game experience accumulation. Hexagram matching contributes +7.9% by reordering candidates via I Ching auspiciousness. Yao Relations contributes the largest gain of +11.1% through structured stuck-state diagnosis and targeted recovery. The near-linear additivity of these contributions (6.0+7.9+11.1≈25.0%, matching the observed 62→91 improvement) suggests the components are largely orthogonal in their error coverage.</w:t>
      </w:r>
    </w:p>
    <w:p>
      <w:pPr>
        <w:pStyle w:val="Heading2"/>
        <w:ind w:firstLine="0"/>
      </w:pPr>
      <w:r>
        <w:rPr>
          <w:color w:val="000000"/>
        </w:rPr>
        <w:t>7.4 Task Type Breakdown</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Times New Roman" w:hAnsi="Times New Roman"/>
                <w:b/>
                <w:sz w:val="18"/>
              </w:rPr>
              <w:t>Task Type</w:t>
            </w:r>
          </w:p>
        </w:tc>
        <w:tc>
          <w:tcPr>
            <w:tcW w:type="dxa" w:w="2158"/>
          </w:tcPr>
          <w:p>
            <w:pPr>
              <w:ind w:firstLine="0"/>
              <w:jc w:val="center"/>
            </w:pPr>
            <w:r/>
            <w:r>
              <w:rPr>
                <w:rFonts w:ascii="Times New Roman" w:hAnsi="Times New Roman"/>
                <w:b/>
                <w:sz w:val="18"/>
              </w:rPr>
              <w:t>V18</w:t>
            </w:r>
          </w:p>
        </w:tc>
        <w:tc>
          <w:tcPr>
            <w:tcW w:type="dxa" w:w="2158"/>
          </w:tcPr>
          <w:p>
            <w:pPr>
              <w:ind w:firstLine="0"/>
              <w:jc w:val="center"/>
            </w:pPr>
            <w:r/>
            <w:r>
              <w:rPr>
                <w:rFonts w:ascii="Times New Roman" w:hAnsi="Times New Roman"/>
                <w:b/>
                <w:sz w:val="18"/>
              </w:rPr>
              <w:t>V19</w:t>
            </w:r>
          </w:p>
        </w:tc>
        <w:tc>
          <w:tcPr>
            <w:tcW w:type="dxa" w:w="2158"/>
          </w:tcPr>
          <w:p>
            <w:pPr>
              <w:ind w:firstLine="0"/>
              <w:jc w:val="center"/>
            </w:pPr>
            <w:r/>
            <w:r>
              <w:rPr>
                <w:rFonts w:ascii="Times New Roman" w:hAnsi="Times New Roman"/>
                <w:b/>
                <w:sz w:val="18"/>
              </w:rPr>
              <w:t>Δ</w:t>
            </w:r>
          </w:p>
        </w:tc>
      </w:tr>
      <w:tr>
        <w:tc>
          <w:tcPr>
            <w:tcW w:type="dxa" w:w="2158"/>
          </w:tcPr>
          <w:p>
            <w:pPr>
              <w:ind w:firstLine="0"/>
              <w:jc w:val="center"/>
            </w:pPr>
            <w:r/>
            <w:r>
              <w:rPr>
                <w:rFonts w:ascii="Times New Roman" w:hAnsi="Times New Roman"/>
                <w:sz w:val="18"/>
              </w:rPr>
              <w:t>pick_clean_then_place</w:t>
            </w:r>
          </w:p>
        </w:tc>
        <w:tc>
          <w:tcPr>
            <w:tcW w:type="dxa" w:w="2158"/>
          </w:tcPr>
          <w:p>
            <w:pPr>
              <w:ind w:firstLine="0"/>
              <w:jc w:val="center"/>
            </w:pPr>
            <w:r/>
            <w:r>
              <w:rPr>
                <w:rFonts w:ascii="Times New Roman" w:hAnsi="Times New Roman"/>
                <w:sz w:val="18"/>
              </w:rPr>
              <w:t>87.5%</w:t>
            </w:r>
          </w:p>
        </w:tc>
        <w:tc>
          <w:tcPr>
            <w:tcW w:type="dxa" w:w="2158"/>
          </w:tcPr>
          <w:p>
            <w:pPr>
              <w:ind w:firstLine="0"/>
              <w:jc w:val="center"/>
            </w:pPr>
            <w:r/>
            <w:r>
              <w:rPr>
                <w:rFonts w:ascii="Times New Roman" w:hAnsi="Times New Roman"/>
                <w:sz w:val="18"/>
              </w:rPr>
              <w:t>93.8%</w:t>
            </w:r>
          </w:p>
        </w:tc>
        <w:tc>
          <w:tcPr>
            <w:tcW w:type="dxa" w:w="2158"/>
          </w:tcPr>
          <w:p>
            <w:pPr>
              <w:ind w:firstLine="0"/>
              <w:jc w:val="center"/>
            </w:pPr>
            <w:r/>
            <w:r>
              <w:rPr>
                <w:rFonts w:ascii="Times New Roman" w:hAnsi="Times New Roman"/>
                <w:sz w:val="18"/>
              </w:rPr>
              <w:t>+6.3%</w:t>
            </w:r>
          </w:p>
        </w:tc>
      </w:tr>
      <w:tr>
        <w:tc>
          <w:tcPr>
            <w:tcW w:type="dxa" w:w="2158"/>
          </w:tcPr>
          <w:p>
            <w:pPr>
              <w:ind w:firstLine="0"/>
              <w:jc w:val="center"/>
            </w:pPr>
            <w:r/>
            <w:r>
              <w:rPr>
                <w:rFonts w:ascii="Times New Roman" w:hAnsi="Times New Roman"/>
                <w:sz w:val="18"/>
              </w:rPr>
              <w:t>pick_cool_then_place</w:t>
            </w:r>
          </w:p>
        </w:tc>
        <w:tc>
          <w:tcPr>
            <w:tcW w:type="dxa" w:w="2158"/>
          </w:tcPr>
          <w:p>
            <w:pPr>
              <w:ind w:firstLine="0"/>
              <w:jc w:val="center"/>
            </w:pPr>
            <w:r/>
            <w:r>
              <w:rPr>
                <w:rFonts w:ascii="Times New Roman" w:hAnsi="Times New Roman"/>
                <w:sz w:val="18"/>
              </w:rPr>
              <w:t>78.6%</w:t>
            </w:r>
          </w:p>
        </w:tc>
        <w:tc>
          <w:tcPr>
            <w:tcW w:type="dxa" w:w="2158"/>
          </w:tcPr>
          <w:p>
            <w:pPr>
              <w:ind w:firstLine="0"/>
              <w:jc w:val="center"/>
            </w:pPr>
            <w:r/>
            <w:r>
              <w:rPr>
                <w:rFonts w:ascii="Times New Roman" w:hAnsi="Times New Roman"/>
                <w:sz w:val="18"/>
              </w:rPr>
              <w:t>92.9%</w:t>
            </w:r>
          </w:p>
        </w:tc>
        <w:tc>
          <w:tcPr>
            <w:tcW w:type="dxa" w:w="2158"/>
          </w:tcPr>
          <w:p>
            <w:pPr>
              <w:ind w:firstLine="0"/>
              <w:jc w:val="center"/>
            </w:pPr>
            <w:r/>
            <w:r>
              <w:rPr>
                <w:rFonts w:ascii="Times New Roman" w:hAnsi="Times New Roman"/>
                <w:sz w:val="18"/>
              </w:rPr>
              <w:t>+14.3%</w:t>
            </w:r>
          </w:p>
        </w:tc>
      </w:tr>
      <w:tr>
        <w:tc>
          <w:tcPr>
            <w:tcW w:type="dxa" w:w="2158"/>
          </w:tcPr>
          <w:p>
            <w:pPr>
              <w:ind w:firstLine="0"/>
              <w:jc w:val="center"/>
            </w:pPr>
            <w:r/>
            <w:r>
              <w:rPr>
                <w:rFonts w:ascii="Times New Roman" w:hAnsi="Times New Roman"/>
                <w:sz w:val="18"/>
              </w:rPr>
              <w:t>pick_heat_then_place</w:t>
            </w:r>
          </w:p>
        </w:tc>
        <w:tc>
          <w:tcPr>
            <w:tcW w:type="dxa" w:w="2158"/>
          </w:tcPr>
          <w:p>
            <w:pPr>
              <w:ind w:firstLine="0"/>
              <w:jc w:val="center"/>
            </w:pPr>
            <w:r/>
            <w:r>
              <w:rPr>
                <w:rFonts w:ascii="Times New Roman" w:hAnsi="Times New Roman"/>
                <w:sz w:val="18"/>
              </w:rPr>
              <w:t>81.3%</w:t>
            </w:r>
          </w:p>
        </w:tc>
        <w:tc>
          <w:tcPr>
            <w:tcW w:type="dxa" w:w="2158"/>
          </w:tcPr>
          <w:p>
            <w:pPr>
              <w:ind w:firstLine="0"/>
              <w:jc w:val="center"/>
            </w:pPr>
            <w:r/>
            <w:r>
              <w:rPr>
                <w:rFonts w:ascii="Times New Roman" w:hAnsi="Times New Roman"/>
                <w:sz w:val="18"/>
              </w:rPr>
              <w:t>93.8%</w:t>
            </w:r>
          </w:p>
        </w:tc>
        <w:tc>
          <w:tcPr>
            <w:tcW w:type="dxa" w:w="2158"/>
          </w:tcPr>
          <w:p>
            <w:pPr>
              <w:ind w:firstLine="0"/>
              <w:jc w:val="center"/>
            </w:pPr>
            <w:r/>
            <w:r>
              <w:rPr>
                <w:rFonts w:ascii="Times New Roman" w:hAnsi="Times New Roman"/>
                <w:sz w:val="18"/>
              </w:rPr>
              <w:t>+12.5%</w:t>
            </w:r>
          </w:p>
        </w:tc>
      </w:tr>
      <w:tr>
        <w:tc>
          <w:tcPr>
            <w:tcW w:type="dxa" w:w="2158"/>
          </w:tcPr>
          <w:p>
            <w:pPr>
              <w:ind w:firstLine="0"/>
              <w:jc w:val="center"/>
            </w:pPr>
            <w:r/>
            <w:r>
              <w:rPr>
                <w:rFonts w:ascii="Times New Roman" w:hAnsi="Times New Roman"/>
                <w:sz w:val="18"/>
              </w:rPr>
              <w:t>pick_two_obj_and_place</w:t>
            </w:r>
          </w:p>
        </w:tc>
        <w:tc>
          <w:tcPr>
            <w:tcW w:type="dxa" w:w="2158"/>
          </w:tcPr>
          <w:p>
            <w:pPr>
              <w:ind w:firstLine="0"/>
              <w:jc w:val="center"/>
            </w:pPr>
            <w:r/>
            <w:r>
              <w:rPr>
                <w:rFonts w:ascii="Times New Roman" w:hAnsi="Times New Roman"/>
                <w:sz w:val="18"/>
              </w:rPr>
              <w:t>77.3%</w:t>
            </w:r>
          </w:p>
        </w:tc>
        <w:tc>
          <w:tcPr>
            <w:tcW w:type="dxa" w:w="2158"/>
          </w:tcPr>
          <w:p>
            <w:pPr>
              <w:ind w:firstLine="0"/>
              <w:jc w:val="center"/>
            </w:pPr>
            <w:r/>
            <w:r>
              <w:rPr>
                <w:rFonts w:ascii="Times New Roman" w:hAnsi="Times New Roman"/>
                <w:sz w:val="18"/>
              </w:rPr>
              <w:t>90.9%</w:t>
            </w:r>
          </w:p>
        </w:tc>
        <w:tc>
          <w:tcPr>
            <w:tcW w:type="dxa" w:w="2158"/>
          </w:tcPr>
          <w:p>
            <w:pPr>
              <w:ind w:firstLine="0"/>
              <w:jc w:val="center"/>
            </w:pPr>
            <w:r/>
            <w:r>
              <w:rPr>
                <w:rFonts w:ascii="Times New Roman" w:hAnsi="Times New Roman"/>
                <w:sz w:val="18"/>
              </w:rPr>
              <w:t>+13.6%</w:t>
            </w:r>
          </w:p>
        </w:tc>
      </w:tr>
      <w:tr>
        <w:tc>
          <w:tcPr>
            <w:tcW w:type="dxa" w:w="2158"/>
          </w:tcPr>
          <w:p>
            <w:pPr>
              <w:ind w:firstLine="0"/>
              <w:jc w:val="center"/>
            </w:pPr>
            <w:r/>
            <w:r>
              <w:rPr>
                <w:rFonts w:ascii="Times New Roman" w:hAnsi="Times New Roman"/>
                <w:sz w:val="18"/>
              </w:rPr>
              <w:t>look_at_obj_in_light</w:t>
            </w:r>
          </w:p>
        </w:tc>
        <w:tc>
          <w:tcPr>
            <w:tcW w:type="dxa" w:w="2158"/>
          </w:tcPr>
          <w:p>
            <w:pPr>
              <w:ind w:firstLine="0"/>
              <w:jc w:val="center"/>
            </w:pPr>
            <w:r/>
            <w:r>
              <w:rPr>
                <w:rFonts w:ascii="Times New Roman" w:hAnsi="Times New Roman"/>
                <w:sz w:val="18"/>
              </w:rPr>
              <w:t>93.3%</w:t>
            </w:r>
          </w:p>
        </w:tc>
        <w:tc>
          <w:tcPr>
            <w:tcW w:type="dxa" w:w="2158"/>
          </w:tcPr>
          <w:p>
            <w:pPr>
              <w:ind w:firstLine="0"/>
              <w:jc w:val="center"/>
            </w:pPr>
            <w:r/>
            <w:r>
              <w:rPr>
                <w:rFonts w:ascii="Times New Roman" w:hAnsi="Times New Roman"/>
                <w:sz w:val="18"/>
              </w:rPr>
              <w:t>96.7%</w:t>
            </w:r>
          </w:p>
        </w:tc>
        <w:tc>
          <w:tcPr>
            <w:tcW w:type="dxa" w:w="2158"/>
          </w:tcPr>
          <w:p>
            <w:pPr>
              <w:ind w:firstLine="0"/>
              <w:jc w:val="center"/>
            </w:pPr>
            <w:r/>
            <w:r>
              <w:rPr>
                <w:rFonts w:ascii="Times New Roman" w:hAnsi="Times New Roman"/>
                <w:sz w:val="18"/>
              </w:rPr>
              <w:t>+3.4%</w:t>
            </w:r>
          </w:p>
        </w:tc>
      </w:tr>
      <w:tr>
        <w:tc>
          <w:tcPr>
            <w:tcW w:type="dxa" w:w="2158"/>
          </w:tcPr>
          <w:p>
            <w:pPr>
              <w:ind w:firstLine="0"/>
              <w:jc w:val="center"/>
            </w:pPr>
            <w:r/>
            <w:r>
              <w:rPr>
                <w:rFonts w:ascii="Times New Roman" w:hAnsi="Times New Roman"/>
                <w:sz w:val="18"/>
              </w:rPr>
              <w:t>pick_and_place_simple</w:t>
            </w:r>
          </w:p>
        </w:tc>
        <w:tc>
          <w:tcPr>
            <w:tcW w:type="dxa" w:w="2158"/>
          </w:tcPr>
          <w:p>
            <w:pPr>
              <w:ind w:firstLine="0"/>
              <w:jc w:val="center"/>
            </w:pPr>
            <w:r/>
            <w:r>
              <w:rPr>
                <w:rFonts w:ascii="Times New Roman" w:hAnsi="Times New Roman"/>
                <w:sz w:val="18"/>
              </w:rPr>
              <w:t>83.3%</w:t>
            </w:r>
          </w:p>
        </w:tc>
        <w:tc>
          <w:tcPr>
            <w:tcW w:type="dxa" w:w="2158"/>
          </w:tcPr>
          <w:p>
            <w:pPr>
              <w:ind w:firstLine="0"/>
              <w:jc w:val="center"/>
            </w:pPr>
            <w:r/>
            <w:r>
              <w:rPr>
                <w:rFonts w:ascii="Times New Roman" w:hAnsi="Times New Roman"/>
                <w:sz w:val="18"/>
              </w:rPr>
              <w:t>94.4%</w:t>
            </w:r>
          </w:p>
        </w:tc>
        <w:tc>
          <w:tcPr>
            <w:tcW w:type="dxa" w:w="2158"/>
          </w:tcPr>
          <w:p>
            <w:pPr>
              <w:ind w:firstLine="0"/>
              <w:jc w:val="center"/>
            </w:pPr>
            <w:r/>
            <w:r>
              <w:rPr>
                <w:rFonts w:ascii="Times New Roman" w:hAnsi="Times New Roman"/>
                <w:sz w:val="18"/>
              </w:rPr>
              <w:t>+11.1%</w:t>
            </w:r>
          </w:p>
        </w:tc>
      </w:tr>
      <w:tr>
        <w:tc>
          <w:tcPr>
            <w:tcW w:type="dxa" w:w="2158"/>
          </w:tcPr>
          <w:p>
            <w:pPr>
              <w:ind w:firstLine="0"/>
              <w:jc w:val="center"/>
            </w:pPr>
            <w:r/>
            <w:r>
              <w:rPr>
                <w:rFonts w:ascii="Times New Roman" w:hAnsi="Times New Roman"/>
                <w:sz w:val="18"/>
              </w:rPr>
              <w:t>pick_and_place_w/movable</w:t>
            </w:r>
          </w:p>
        </w:tc>
        <w:tc>
          <w:tcPr>
            <w:tcW w:type="dxa" w:w="2158"/>
          </w:tcPr>
          <w:p>
            <w:pPr>
              <w:ind w:firstLine="0"/>
              <w:jc w:val="center"/>
            </w:pPr>
            <w:r/>
            <w:r>
              <w:rPr>
                <w:rFonts w:ascii="Times New Roman" w:hAnsi="Times New Roman"/>
                <w:sz w:val="18"/>
              </w:rPr>
              <w:t>50.0%</w:t>
            </w:r>
          </w:p>
        </w:tc>
        <w:tc>
          <w:tcPr>
            <w:tcW w:type="dxa" w:w="2158"/>
          </w:tcPr>
          <w:p>
            <w:pPr>
              <w:ind w:firstLine="0"/>
              <w:jc w:val="center"/>
            </w:pPr>
            <w:r/>
            <w:r>
              <w:rPr>
                <w:rFonts w:ascii="Times New Roman" w:hAnsi="Times New Roman"/>
                <w:sz w:val="18"/>
              </w:rPr>
              <w:t>72.2%</w:t>
            </w:r>
          </w:p>
        </w:tc>
        <w:tc>
          <w:tcPr>
            <w:tcW w:type="dxa" w:w="2158"/>
          </w:tcPr>
          <w:p>
            <w:pPr>
              <w:ind w:firstLine="0"/>
              <w:jc w:val="center"/>
            </w:pPr>
            <w:r/>
            <w:r>
              <w:rPr>
                <w:rFonts w:ascii="Times New Roman" w:hAnsi="Times New Roman"/>
                <w:sz w:val="18"/>
              </w:rPr>
              <w:t>+22.2%</w:t>
            </w:r>
          </w:p>
        </w:tc>
      </w:tr>
    </w:tbl>
    <w:p>
      <w:pPr>
        <w:ind w:firstLine="0"/>
        <w:jc w:val="center"/>
      </w:pPr>
      <w:r>
        <w:rPr>
          <w:rFonts w:ascii="Times New Roman" w:hAnsi="Times New Roman"/>
          <w:i/>
          <w:sz w:val="18"/>
        </w:rPr>
        <w:t>Table 6: Per-task-type performance</w:t>
      </w:r>
    </w:p>
    <w:p/>
    <w:p>
      <w:pPr>
        <w:ind w:firstLine="0"/>
        <w:jc w:val="center"/>
      </w:pPr>
      <w:r>
        <w:drawing>
          <wp:inline xmlns:a="http://schemas.openxmlformats.org/drawingml/2006/main" xmlns:pic="http://schemas.openxmlformats.org/drawingml/2006/picture">
            <wp:extent cx="4389120" cy="2194560"/>
            <wp:docPr id="2" name="Picture 2"/>
            <wp:cNvGraphicFramePr>
              <a:graphicFrameLocks noChangeAspect="1"/>
            </wp:cNvGraphicFramePr>
            <a:graphic>
              <a:graphicData uri="http://schemas.openxmlformats.org/drawingml/2006/picture">
                <pic:pic>
                  <pic:nvPicPr>
                    <pic:cNvPr id="0" name="fig3_segment_comparison.png"/>
                    <pic:cNvPicPr/>
                  </pic:nvPicPr>
                  <pic:blipFill>
                    <a:blip r:embed="rId10"/>
                    <a:stretch>
                      <a:fillRect/>
                    </a:stretch>
                  </pic:blipFill>
                  <pic:spPr>
                    <a:xfrm>
                      <a:off x="0" y="0"/>
                      <a:ext cx="4389120" cy="2194560"/>
                    </a:xfrm>
                    <a:prstGeom prst="rect"/>
                  </pic:spPr>
                </pic:pic>
              </a:graphicData>
            </a:graphic>
          </wp:inline>
        </w:drawing>
      </w:r>
    </w:p>
    <w:p>
      <w:pPr>
        <w:ind w:firstLine="0"/>
        <w:jc w:val="center"/>
      </w:pPr>
      <w:r>
        <w:rPr>
          <w:i/>
          <w:sz w:val="18"/>
        </w:rPr>
        <w:t>Figure 2: V18 vs V19 per-segment success (20-game buckets)</w:t>
      </w:r>
    </w:p>
    <w:p>
      <w:pPr>
        <w:pStyle w:val="Heading2"/>
        <w:ind w:firstLine="0"/>
      </w:pPr>
      <w:r>
        <w:rPr>
          <w:color w:val="000000"/>
        </w:rPr>
        <w:t>7.5 Efficiency</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tcPr>
          <w:p>
            <w:pPr>
              <w:ind w:firstLine="0"/>
              <w:jc w:val="center"/>
            </w:pPr>
            <w:r/>
            <w:r>
              <w:rPr>
                <w:rFonts w:ascii="Times New Roman" w:hAnsi="Times New Roman"/>
                <w:b/>
                <w:sz w:val="18"/>
              </w:rPr>
              <w:t>Metric</w:t>
            </w:r>
          </w:p>
        </w:tc>
        <w:tc>
          <w:tcPr>
            <w:tcW w:type="dxa" w:w="2158"/>
          </w:tcPr>
          <w:p>
            <w:pPr>
              <w:ind w:firstLine="0"/>
              <w:jc w:val="center"/>
            </w:pPr>
            <w:r/>
            <w:r>
              <w:rPr>
                <w:rFonts w:ascii="Times New Roman" w:hAnsi="Times New Roman"/>
                <w:b/>
                <w:sz w:val="18"/>
              </w:rPr>
              <w:t>V18</w:t>
            </w:r>
          </w:p>
        </w:tc>
        <w:tc>
          <w:tcPr>
            <w:tcW w:type="dxa" w:w="2158"/>
          </w:tcPr>
          <w:p>
            <w:pPr>
              <w:ind w:firstLine="0"/>
              <w:jc w:val="center"/>
            </w:pPr>
            <w:r/>
            <w:r>
              <w:rPr>
                <w:rFonts w:ascii="Times New Roman" w:hAnsi="Times New Roman"/>
                <w:b/>
                <w:sz w:val="18"/>
              </w:rPr>
              <w:t>V19</w:t>
            </w:r>
          </w:p>
        </w:tc>
        <w:tc>
          <w:tcPr>
            <w:tcW w:type="dxa" w:w="2158"/>
          </w:tcPr>
          <w:p>
            <w:pPr>
              <w:ind w:firstLine="0"/>
              <w:jc w:val="center"/>
            </w:pPr>
            <w:r/>
            <w:r>
              <w:rPr>
                <w:rFonts w:ascii="Times New Roman" w:hAnsi="Times New Roman"/>
                <w:b/>
                <w:sz w:val="18"/>
              </w:rPr>
              <w:t>Comparison</w:t>
            </w:r>
          </w:p>
        </w:tc>
      </w:tr>
      <w:tr>
        <w:tc>
          <w:tcPr>
            <w:tcW w:type="dxa" w:w="2158"/>
          </w:tcPr>
          <w:p>
            <w:pPr>
              <w:ind w:firstLine="0"/>
              <w:jc w:val="center"/>
            </w:pPr>
            <w:r/>
            <w:r>
              <w:rPr>
                <w:rFonts w:ascii="Times New Roman" w:hAnsi="Times New Roman"/>
                <w:sz w:val="18"/>
              </w:rPr>
              <w:t>Per-step compute</w:t>
            </w:r>
          </w:p>
        </w:tc>
        <w:tc>
          <w:tcPr>
            <w:tcW w:type="dxa" w:w="2158"/>
          </w:tcPr>
          <w:p>
            <w:pPr>
              <w:ind w:firstLine="0"/>
              <w:jc w:val="center"/>
            </w:pPr>
            <w:r/>
            <w:r>
              <w:rPr>
                <w:rFonts w:ascii="Times New Roman" w:hAnsi="Times New Roman"/>
                <w:sz w:val="18"/>
              </w:rPr>
              <w:t>0.11s</w:t>
            </w:r>
          </w:p>
        </w:tc>
        <w:tc>
          <w:tcPr>
            <w:tcW w:type="dxa" w:w="2158"/>
          </w:tcPr>
          <w:p>
            <w:pPr>
              <w:ind w:firstLine="0"/>
              <w:jc w:val="center"/>
            </w:pPr>
            <w:r/>
            <w:r>
              <w:rPr>
                <w:rFonts w:ascii="Times New Roman" w:hAnsi="Times New Roman"/>
                <w:sz w:val="18"/>
              </w:rPr>
              <w:t>0.077s</w:t>
            </w:r>
          </w:p>
        </w:tc>
        <w:tc>
          <w:tcPr>
            <w:tcW w:type="dxa" w:w="2158"/>
          </w:tcPr>
          <w:p>
            <w:pPr>
              <w:ind w:firstLine="0"/>
              <w:jc w:val="center"/>
            </w:pPr>
            <w:r/>
            <w:r>
              <w:rPr>
                <w:rFonts w:ascii="Times New Roman" w:hAnsi="Times New Roman"/>
                <w:sz w:val="18"/>
              </w:rPr>
              <w:t>1.4× faster</w:t>
            </w:r>
          </w:p>
        </w:tc>
      </w:tr>
      <w:tr>
        <w:tc>
          <w:tcPr>
            <w:tcW w:type="dxa" w:w="2158"/>
          </w:tcPr>
          <w:p>
            <w:pPr>
              <w:ind w:firstLine="0"/>
              <w:jc w:val="center"/>
            </w:pPr>
            <w:r/>
            <w:r>
              <w:rPr>
                <w:rFonts w:ascii="Times New Roman" w:hAnsi="Times New Roman"/>
                <w:sz w:val="18"/>
              </w:rPr>
              <w:t>134-game evaluation</w:t>
            </w:r>
          </w:p>
        </w:tc>
        <w:tc>
          <w:tcPr>
            <w:tcW w:type="dxa" w:w="2158"/>
          </w:tcPr>
          <w:p>
            <w:pPr>
              <w:ind w:firstLine="0"/>
              <w:jc w:val="center"/>
            </w:pPr>
            <w:r/>
            <w:r>
              <w:rPr>
                <w:rFonts w:ascii="Times New Roman" w:hAnsi="Times New Roman"/>
                <w:sz w:val="18"/>
              </w:rPr>
              <w:t>~8min</w:t>
            </w:r>
          </w:p>
        </w:tc>
        <w:tc>
          <w:tcPr>
            <w:tcW w:type="dxa" w:w="2158"/>
          </w:tcPr>
          <w:p>
            <w:pPr>
              <w:ind w:firstLine="0"/>
              <w:jc w:val="center"/>
            </w:pPr>
            <w:r/>
            <w:r>
              <w:rPr>
                <w:rFonts w:ascii="Times New Roman" w:hAnsi="Times New Roman"/>
                <w:sz w:val="18"/>
              </w:rPr>
              <w:t>~7min</w:t>
            </w:r>
          </w:p>
        </w:tc>
        <w:tc>
          <w:tcPr>
            <w:tcW w:type="dxa" w:w="2158"/>
          </w:tcPr>
          <w:p>
            <w:pPr>
              <w:ind w:firstLine="0"/>
              <w:jc w:val="center"/>
            </w:pPr>
            <w:r/>
            <w:r>
              <w:rPr>
                <w:rFonts w:ascii="Times New Roman" w:hAnsi="Times New Roman"/>
                <w:sz w:val="18"/>
              </w:rPr>
              <w:t>Faster</w:t>
            </w:r>
          </w:p>
        </w:tc>
      </w:tr>
      <w:tr>
        <w:tc>
          <w:tcPr>
            <w:tcW w:type="dxa" w:w="2158"/>
          </w:tcPr>
          <w:p>
            <w:pPr>
              <w:ind w:firstLine="0"/>
              <w:jc w:val="center"/>
            </w:pPr>
            <w:r/>
            <w:r>
              <w:rPr>
                <w:rFonts w:ascii="Times New Roman" w:hAnsi="Times New Roman"/>
                <w:sz w:val="18"/>
              </w:rPr>
              <w:t>Memory</w:t>
            </w:r>
          </w:p>
        </w:tc>
        <w:tc>
          <w:tcPr>
            <w:tcW w:type="dxa" w:w="2158"/>
          </w:tcPr>
          <w:p>
            <w:pPr>
              <w:ind w:firstLine="0"/>
              <w:jc w:val="center"/>
            </w:pPr>
            <w:r/>
            <w:r>
              <w:rPr>
                <w:rFonts w:ascii="Times New Roman" w:hAnsi="Times New Roman"/>
                <w:sz w:val="18"/>
              </w:rPr>
              <w:t>&lt;100MB</w:t>
            </w:r>
          </w:p>
        </w:tc>
        <w:tc>
          <w:tcPr>
            <w:tcW w:type="dxa" w:w="2158"/>
          </w:tcPr>
          <w:p>
            <w:pPr>
              <w:ind w:firstLine="0"/>
              <w:jc w:val="center"/>
            </w:pPr>
            <w:r/>
            <w:r>
              <w:rPr>
                <w:rFonts w:ascii="Times New Roman" w:hAnsi="Times New Roman"/>
                <w:sz w:val="18"/>
              </w:rPr>
              <w:t>&lt;200MB</w:t>
            </w:r>
          </w:p>
        </w:tc>
        <w:tc>
          <w:tcPr>
            <w:tcW w:type="dxa" w:w="2158"/>
          </w:tcPr>
          <w:p>
            <w:pPr>
              <w:ind w:firstLine="0"/>
              <w:jc w:val="center"/>
            </w:pPr>
            <w:r/>
            <w:r>
              <w:rPr>
                <w:rFonts w:ascii="Times New Roman" w:hAnsi="Times New Roman"/>
                <w:sz w:val="18"/>
              </w:rPr>
              <w:t>Negligible</w:t>
            </w:r>
          </w:p>
        </w:tc>
      </w:tr>
      <w:tr>
        <w:tc>
          <w:tcPr>
            <w:tcW w:type="dxa" w:w="2158"/>
          </w:tcPr>
          <w:p>
            <w:pPr>
              <w:ind w:firstLine="0"/>
              <w:jc w:val="center"/>
            </w:pPr>
            <w:r/>
            <w:r>
              <w:rPr>
                <w:rFonts w:ascii="Times New Roman" w:hAnsi="Times New Roman"/>
                <w:sz w:val="18"/>
              </w:rPr>
              <w:t>Cost per game</w:t>
            </w:r>
          </w:p>
        </w:tc>
        <w:tc>
          <w:tcPr>
            <w:tcW w:type="dxa" w:w="2158"/>
          </w:tcPr>
          <w:p>
            <w:pPr>
              <w:ind w:firstLine="0"/>
              <w:jc w:val="center"/>
            </w:pPr>
            <w:r/>
            <w:r>
              <w:rPr>
                <w:rFonts w:ascii="Times New Roman" w:hAnsi="Times New Roman"/>
                <w:sz w:val="18"/>
              </w:rPr>
              <w:t>$0</w:t>
            </w:r>
          </w:p>
        </w:tc>
        <w:tc>
          <w:tcPr>
            <w:tcW w:type="dxa" w:w="2158"/>
          </w:tcPr>
          <w:p>
            <w:pPr>
              <w:ind w:firstLine="0"/>
              <w:jc w:val="center"/>
            </w:pPr>
            <w:r/>
            <w:r>
              <w:rPr>
                <w:rFonts w:ascii="Times New Roman" w:hAnsi="Times New Roman"/>
                <w:sz w:val="18"/>
              </w:rPr>
              <w:t>$0</w:t>
            </w:r>
          </w:p>
        </w:tc>
        <w:tc>
          <w:tcPr>
            <w:tcW w:type="dxa" w:w="2158"/>
          </w:tcPr>
          <w:p>
            <w:pPr>
              <w:ind w:firstLine="0"/>
              <w:jc w:val="center"/>
            </w:pPr>
            <w:r/>
            <w:r>
              <w:rPr>
                <w:rFonts w:ascii="Times New Roman" w:hAnsi="Times New Roman"/>
                <w:sz w:val="18"/>
              </w:rPr>
              <w:t>-</w:t>
            </w:r>
          </w:p>
        </w:tc>
      </w:tr>
    </w:tbl>
    <w:p>
      <w:pPr>
        <w:ind w:firstLine="0"/>
        <w:jc w:val="center"/>
      </w:pPr>
      <w:r>
        <w:rPr>
          <w:rFonts w:ascii="Times New Roman" w:hAnsi="Times New Roman"/>
          <w:i/>
          <w:sz w:val="18"/>
        </w:rPr>
        <w:t>Table 7: Efficiency comparison</w:t>
      </w:r>
    </w:p>
    <w:p/>
    <w:p>
      <w:pPr>
        <w:ind w:firstLine="0"/>
        <w:jc w:val="center"/>
      </w:pPr>
      <w:r>
        <w:drawing>
          <wp:inline xmlns:a="http://schemas.openxmlformats.org/drawingml/2006/main" xmlns:pic="http://schemas.openxmlformats.org/drawingml/2006/picture">
            <wp:extent cx="4389120" cy="2743200"/>
            <wp:docPr id="3" name="Picture 3"/>
            <wp:cNvGraphicFramePr>
              <a:graphicFrameLocks noChangeAspect="1"/>
            </wp:cNvGraphicFramePr>
            <a:graphic>
              <a:graphicData uri="http://schemas.openxmlformats.org/drawingml/2006/picture">
                <pic:pic>
                  <pic:nvPicPr>
                    <pic:cNvPr id="0" name="fig2_step_distribution.png"/>
                    <pic:cNvPicPr/>
                  </pic:nvPicPr>
                  <pic:blipFill>
                    <a:blip r:embed="rId11"/>
                    <a:stretch>
                      <a:fillRect/>
                    </a:stretch>
                  </pic:blipFill>
                  <pic:spPr>
                    <a:xfrm>
                      <a:off x="0" y="0"/>
                      <a:ext cx="4389120" cy="2743200"/>
                    </a:xfrm>
                    <a:prstGeom prst="rect"/>
                  </pic:spPr>
                </pic:pic>
              </a:graphicData>
            </a:graphic>
          </wp:inline>
        </w:drawing>
      </w:r>
    </w:p>
    <w:p>
      <w:pPr>
        <w:ind w:firstLine="0"/>
        <w:jc w:val="center"/>
      </w:pPr>
      <w:r>
        <w:rPr>
          <w:i/>
          <w:sz w:val="18"/>
        </w:rPr>
        <w:t>Figure 3: V19 won-games step distribution (median=8)</w:t>
      </w:r>
    </w:p>
    <w:p>
      <w:pPr>
        <w:pStyle w:val="Heading2"/>
        <w:ind w:firstLine="0"/>
      </w:pPr>
      <w:r>
        <w:rPr>
          <w:color w:val="000000"/>
        </w:rPr>
        <w:t>7.6 Failure Analysis</w:t>
      </w:r>
    </w:p>
    <w:p>
      <w:r>
        <w:rPr>
          <w:rFonts w:ascii="Times New Roman" w:hAnsi="Times New Roman"/>
          <w:b w:val="0"/>
          <w:i w:val="0"/>
          <w:sz w:val="22"/>
        </w:rPr>
        <w:t>12 failed games (8.9%), all timeouts (50-step limit): 4 pick_and_place_with_movable_recep (hardest subtask), 3 pick_two_obj_and_place (second object hard to locate), 3 pick_heat_then_place (microwave search), 2 pick_and_place_simple (special locations). No early failures — V19 never fails in the first 20 steps. Critically, in the hardest segment (indices 128-134), V19 achieves 100% (7/7) vs V18's 42.9% (3/7).</w:t>
      </w:r>
    </w:p>
    <w:p>
      <w:r>
        <w:rPr>
          <w:rFonts w:ascii="Times New Roman" w:hAnsi="Times New Roman"/>
          <w:b/>
          <w:i w:val="0"/>
          <w:sz w:val="22"/>
        </w:rPr>
        <w:t>Case study (Game 124: pick_and_place_with_movable_recep "put a vase in the cabinet"):</w:t>
      </w:r>
    </w:p>
    <w:p>
      <w:r>
        <w:rPr>
          <w:rFonts w:ascii="Times New Roman" w:hAnsi="Times New Roman"/>
          <w:b w:val="0"/>
          <w:i w:val="0"/>
          <w:sz w:val="22"/>
        </w:rPr>
        <w:t>V18: repeatedly tries wrong cabinet → frontier reset → retries same cabinets → 50-step timeout. V19: after 3 failed attempts, diagnoses external_resistance (Cheng=2), forces attention to unopened cabinets containing target-compatible objects → 42-step win.</w:t>
      </w:r>
    </w:p>
    <w:p>
      <w:pPr>
        <w:pStyle w:val="Heading1"/>
        <w:ind w:firstLine="0"/>
      </w:pPr>
      <w:r>
        <w:rPr>
          <w:color w:val="000000"/>
        </w:rPr>
        <w:t>8. Discussion</w:t>
      </w:r>
    </w:p>
    <w:p>
      <w:pPr>
        <w:pStyle w:val="Heading2"/>
        <w:ind w:firstLine="0"/>
      </w:pPr>
      <w:r>
        <w:rPr>
          <w:color w:val="000000"/>
        </w:rPr>
        <w:t>8.1 Why Does Hexagram Reasoning Work?</w:t>
      </w:r>
    </w:p>
    <w:p>
      <w:r>
        <w:rPr>
          <w:rFonts w:ascii="Times New Roman" w:hAnsi="Times New Roman"/>
          <w:b w:val="0"/>
          <w:i w:val="0"/>
          <w:sz w:val="22"/>
        </w:rPr>
        <w:t>Three explanations. Structural: 64 hexagrams form a complete 6-bit binary codebook; matching is isomorphic to product quantization (Jegou et al., 2011), a well-established technique for high-dimensional similarity search. Information-theoretic: the hexagram favorability table injects 64 bits of task-relevant prior knowledge into what would otherwise be a uniform scoring function — structured regularization in sparse data regimes. Epistemological: millennia of iterative refinement by I Ching scholars may have converged on an effective factorization of situational structure, analogous to how human language embodies optimized communication patterns.</w:t>
      </w:r>
    </w:p>
    <w:p>
      <w:pPr>
        <w:pStyle w:val="Heading2"/>
        <w:ind w:firstLine="0"/>
      </w:pPr>
      <w:r>
        <w:rPr>
          <w:color w:val="000000"/>
        </w:rPr>
        <w:t>8.2 Interpretability as the Key Advantage</w:t>
      </w:r>
    </w:p>
    <w:p>
      <w:r>
        <w:rPr>
          <w:rFonts w:ascii="Times New Roman" w:hAnsi="Times New Roman"/>
          <w:b w:val="0"/>
          <w:i w:val="0"/>
          <w:sz w:val="22"/>
        </w:rPr>
        <w:t>For every decision and failure, YLYW produces a complete reasoning chain: the six-yao encoding, best-matching hexagram, Yao Relations diagnosis, and recovery action. This is not a black box but a debatable, auditable, improvable process — critical for safety-critical applications (surgical robots, autonomous vehicles), defense scenarios (no-cloud autonomous systems), and scientific research (fully deterministic, reproducible baselines).</w:t>
      </w:r>
    </w:p>
    <w:p>
      <w:pPr>
        <w:pStyle w:val="Heading2"/>
        <w:ind w:firstLine="0"/>
      </w:pPr>
      <w:r>
        <w:rPr>
          <w:color w:val="000000"/>
        </w:rPr>
        <w:t>8.3 Limitations and Future Work</w:t>
      </w:r>
    </w:p>
    <w:p>
      <w:r>
        <w:rPr>
          <w:rFonts w:ascii="Times New Roman" w:hAnsi="Times New Roman"/>
          <w:b w:val="0"/>
          <w:i w:val="0"/>
          <w:sz w:val="22"/>
        </w:rPr>
        <w:t>The yao encoding is currently hand-designed; learning an optimal encoding space is a natural extension. The 64 classical hexagrams may not be the optimal codebook for embodied planning; task-specific hexagrams could be learned from data. Evaluation is limited to ALFWorld English; migration to Chinese natural language and real robots is underway. Task types are limited to 7; open-domain extension requires new yao rules. Synonym mapping is pattern-based; probabilistic synonym graphs would improve robustness.</w:t>
      </w:r>
    </w:p>
    <w:p>
      <w:pPr>
        <w:pStyle w:val="Heading1"/>
        <w:ind w:firstLine="0"/>
      </w:pPr>
      <w:r>
        <w:rPr>
          <w:color w:val="000000"/>
        </w:rPr>
        <w:t>9. Conclusion</w:t>
      </w:r>
    </w:p>
    <w:p>
      <w:r>
        <w:rPr>
          <w:rFonts w:ascii="Times New Roman" w:hAnsi="Times New Roman"/>
          <w:b w:val="0"/>
          <w:i w:val="0"/>
          <w:sz w:val="22"/>
        </w:rPr>
        <w:t>YLYW-V19 achieves 91.0% on ALFWorld, demonstrating that structured I Ching symbolic reasoning — with no neural networks, no training, 443 hand-authored parameters, and 7 minutes to run 134 games — remains a viable and severely under-explored path toward practical embodied intelligence in the age of large models.</w:t>
      </w:r>
    </w:p>
    <w:p>
      <w:r>
        <w:rPr>
          <w:rFonts w:ascii="Times New Roman" w:hAnsi="Times New Roman"/>
          <w:b w:val="0"/>
          <w:i w:val="0"/>
          <w:sz w:val="22"/>
        </w:rPr>
        <w:t>More deeply, this work reveals a striking correspondence between three-thousand-year-old thinking about "the grammar of situation recognition" — Cheng (Riding), Bi (Comparing), Ying (Responding), Dangwei (Correct Position), Dezhong (Holding Center), the 64 hexagrams — and the fundamental information structure problems faced by modern embodied AI. We do not claim the I Ching is "ancient machine learning." Rather, it contains an effective situation encoding schema — a human-refined, readable, auditable, computable, CPU-printed decision language. When the marginal returns of ever-larger LLMs diminish, this "subtraction path" — fewer parameters, less computation, less opacity — may prove to be exactly the direction that practical embodied intelligence needs.</w:t>
      </w:r>
    </w:p>
    <w:p>
      <w:pPr>
        <w:pStyle w:val="Heading1"/>
        <w:ind w:firstLine="0"/>
      </w:pPr>
      <w:r>
        <w:rPr>
          <w:color w:val="000000"/>
        </w:rPr>
        <w:t>References</w:t>
      </w:r>
    </w:p>
    <w:p>
      <w:pPr>
        <w:ind w:firstLine="420"/>
      </w:pPr>
      <w:r>
        <w:rPr>
          <w:rFonts w:ascii="Times New Roman" w:hAnsi="Times New Roman"/>
          <w:sz w:val="18"/>
        </w:rPr>
        <w:t>1. Wang, B. &amp; Han, K. Commentary on the Zhouyi. 3rd c. CE.</w:t>
      </w:r>
    </w:p>
    <w:p>
      <w:pPr>
        <w:ind w:firstLine="420"/>
      </w:pPr>
      <w:r>
        <w:rPr>
          <w:rFonts w:ascii="Times New Roman" w:hAnsi="Times New Roman"/>
          <w:sz w:val="18"/>
        </w:rPr>
        <w:t>2. Zhu, X. Original Meaning of the Zhouyi. 12th c. CE.</w:t>
      </w:r>
    </w:p>
    <w:p>
      <w:pPr>
        <w:ind w:firstLine="420"/>
      </w:pPr>
      <w:r>
        <w:rPr>
          <w:rFonts w:ascii="Times New Roman" w:hAnsi="Times New Roman"/>
          <w:sz w:val="18"/>
        </w:rPr>
        <w:t>3. Gao, H. Modern Commentary on the Zhouyi. Qilu Press, 1994.</w:t>
      </w:r>
    </w:p>
    <w:p>
      <w:pPr>
        <w:ind w:firstLine="420"/>
      </w:pPr>
      <w:r>
        <w:rPr>
          <w:rFonts w:ascii="Times New Roman" w:hAnsi="Times New Roman"/>
          <w:sz w:val="18"/>
        </w:rPr>
        <w:t>4. Wilhelm, R. &amp; Baynes, C. The I Ching or Book of Changes. Princeton UP, 1967.</w:t>
      </w:r>
    </w:p>
    <w:p>
      <w:pPr>
        <w:ind w:firstLine="420"/>
      </w:pPr>
      <w:r>
        <w:rPr>
          <w:rFonts w:ascii="Times New Roman" w:hAnsi="Times New Roman"/>
          <w:sz w:val="18"/>
        </w:rPr>
        <w:t>5. Shridhar, M., et al. "ALFRED: A Benchmark for Interpreting Grounded Instructions for Everyday Tasks." CVPR 2020.</w:t>
      </w:r>
    </w:p>
    <w:p>
      <w:pPr>
        <w:ind w:firstLine="420"/>
      </w:pPr>
      <w:r>
        <w:rPr>
          <w:rFonts w:ascii="Times New Roman" w:hAnsi="Times New Roman"/>
          <w:sz w:val="18"/>
        </w:rPr>
        <w:t>6. Shridhar, M., et al. "ALFWorld: Aligning Text and Embodied Environments for Interactive Learning." ICLR 2021.</w:t>
      </w:r>
    </w:p>
    <w:p>
      <w:pPr>
        <w:ind w:firstLine="420"/>
      </w:pPr>
      <w:r>
        <w:rPr>
          <w:rFonts w:ascii="Times New Roman" w:hAnsi="Times New Roman"/>
          <w:sz w:val="18"/>
        </w:rPr>
        <w:t>7. Yao, S., et al. "ReAct: Synergizing Reasoning and Acting in Language Models." ICLR 2023.</w:t>
      </w:r>
    </w:p>
    <w:p>
      <w:pPr>
        <w:ind w:firstLine="420"/>
      </w:pPr>
      <w:r>
        <w:rPr>
          <w:rFonts w:ascii="Times New Roman" w:hAnsi="Times New Roman"/>
          <w:sz w:val="18"/>
        </w:rPr>
        <w:t>8. Ahn, M., et al. "Do As I Can, Not As I Say: Grounding Language in Robotic Affordances." CoRL 2022.</w:t>
      </w:r>
    </w:p>
    <w:p>
      <w:pPr>
        <w:ind w:firstLine="420"/>
      </w:pPr>
      <w:r>
        <w:rPr>
          <w:rFonts w:ascii="Times New Roman" w:hAnsi="Times New Roman"/>
          <w:sz w:val="18"/>
        </w:rPr>
        <w:t>9. Liang, J., et al. "Code as Policies: Language Model Programs for Embodied Control." ICRA 2023.</w:t>
      </w:r>
    </w:p>
    <w:p>
      <w:pPr>
        <w:ind w:firstLine="420"/>
      </w:pPr>
      <w:r>
        <w:rPr>
          <w:rFonts w:ascii="Times New Roman" w:hAnsi="Times New Roman"/>
          <w:sz w:val="18"/>
        </w:rPr>
        <w:t>10. Jegou, H., et al. "Product Quantization for Nearest Neighbor Search." IEEE TPAMI 2011.</w:t>
      </w:r>
    </w:p>
    <w:p>
      <w:pPr>
        <w:ind w:firstLine="420"/>
      </w:pPr>
      <w:r>
        <w:rPr>
          <w:rFonts w:ascii="Times New Roman" w:hAnsi="Times New Roman"/>
          <w:sz w:val="18"/>
        </w:rPr>
        <w:t>11. Needham, J. Science and Civilisation in China, Vol. 2. Cambridge UP, 1962.</w:t>
      </w:r>
    </w:p>
    <w:p>
      <w:pPr>
        <w:ind w:firstLine="420"/>
      </w:pPr>
      <w:r>
        <w:rPr>
          <w:rFonts w:ascii="Times New Roman" w:hAnsi="Times New Roman"/>
          <w:sz w:val="18"/>
        </w:rPr>
        <w:t>12. Chen, L. The I Ching and Daoist Philosophy. Sanlian Press, 2016.</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ind w:firstLine="4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