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color w:val="000000"/>
          <w:sz w:val="30"/>
        </w:rPr>
        <w:t>YLYW L3词句层 — 词分组问题解决方案</w:t>
      </w:r>
    </w:p>
    <w:p/>
    <w:p>
      <w:pPr>
        <w:pStyle w:val="Heading2"/>
      </w:pPr>
      <w:r>
        <w:rPr>
          <w:rFonts w:ascii="黑体" w:hAnsi="黑体"/>
          <w:sz w:val="26"/>
        </w:rPr>
        <w:t>一、问题诊断（v1版本）</w:t>
      </w:r>
    </w:p>
    <w:p>
      <w:r>
        <w:t>v1版词分组仅靠8维模糊向量余弦相似度+简单阈值(0.3)，导致三大问题：</w:t>
      </w:r>
    </w:p>
    <w:p>
      <w:r>
        <w:t>1. 向量集中：大量部首被映射到乾/兑/离少数八卦，任意两字sim≈0.85-0.99，阈值完全失效</w:t>
      </w:r>
    </w:p>
    <w:p>
      <w:r>
        <w:t>2. 虚词误并：连词"而"与"学"语义向量高度重叠(sim=0.986)，被误判为同义合成词"学而"</w:t>
      </w:r>
    </w:p>
    <w:p>
      <w:r>
        <w:t>3. 词典缺失："温故""知新""孝弟"等文言常用词缺乏权威干预，完全依赖不可靠的向量相似度</w:t>
      </w:r>
    </w:p>
    <w:p/>
    <w:p>
      <w:pPr>
        <w:pStyle w:val="Heading2"/>
      </w:pPr>
      <w:r>
        <w:rPr>
          <w:rFonts w:ascii="黑体" w:hAnsi="黑体"/>
          <w:sz w:val="26"/>
        </w:rPr>
        <w:t>二、解决方案（v2版本 — 三重改进）</w:t>
      </w:r>
    </w:p>
    <w:p>
      <w:r>
        <w:t>改进1：虚词驱动分词。虚词(而/之/也/者/不/则/以/焉等20个)作为词边界的天然锚点，不与任何相邻字合并。</w:t>
      </w:r>
    </w:p>
    <w:p>
      <w:r>
        <w:t>改进2：三通道并行判定。仅实词+实词才允许合并，且需同时满足：句法角色兼容(只能性状+名物/名物+名物/数量+名物/性状+性状) + 语义相似度&gt;0.88(收紧阈值) + 知识库关系佐证。动作+名物被明确排除(动宾结构不合并)。</w:t>
      </w:r>
    </w:p>
    <w:p>
      <w:r>
        <w:t>改进3：权威词典干预。35个文言常见双字词正例+10个反例，词典判定优先于一切向量计算。</w:t>
      </w:r>
    </w:p>
    <w:p/>
    <w:p>
      <w:pPr>
        <w:pStyle w:val="Heading2"/>
      </w:pPr>
      <w:r>
        <w:rPr>
          <w:rFonts w:ascii="黑体" w:hAnsi="黑体"/>
          <w:sz w:val="26"/>
        </w:rPr>
        <w:t>三、效果对比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句子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v1(旧)词分组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v2(新)词分组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是否正确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学而时习之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学而/时习/之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学/而/时/习/之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✅ 虚词分离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温故而知新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温故/而知/新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温故(词典)/而/知新(词典)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✅ 词典+虚词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学而不思则罔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学而/不思/则罔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学/而/不/思/则/罔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✅ 全逐字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孝弟也者...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孝弟/也者/其为/仁之/本与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孝弟(词典)/也/者/其/为/仁/之/本/与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✅ 精准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三省吾身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吾日/三省/吾身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吾/日/三省(词典)/吾/身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✅ 词典兜底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知之为知之...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为知/知为 假词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知/之/为/知/之/不/知/为/不/知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✅ 不再误并</w:t>
            </w:r>
          </w:p>
        </w:tc>
      </w:tr>
    </w:tbl>
    <w:p/>
    <w:p/>
    <w:p>
      <w:pPr>
        <w:pStyle w:val="Heading2"/>
      </w:pPr>
      <w:r>
        <w:rPr>
          <w:rFonts w:ascii="黑体" w:hAnsi="黑体"/>
          <w:sz w:val="26"/>
        </w:rPr>
        <w:t>四、遗留问题与根因</w:t>
      </w:r>
    </w:p>
    <w:p>
      <w:r>
        <w:t>仍有极少数误并(如"有朋"→"有朋"合并)，根因是兜底模糊向量缺乏区分度。</w:t>
      </w:r>
    </w:p>
    <w:p>
      <w:r>
        <w:t>当两个不在知识库中的字同时落入相同Unicode种子维度时，它们的8维向量几乎完全相同(sim≈1.0)。</w:t>
      </w:r>
    </w:p>
    <w:p>
      <w:r>
        <w:t>下一步需要从L1部首映射层增加向量多样性——为每个部首定义真正区分的8维隶属度，而非大量映射到同一八卦。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