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spacing w:before="120" w:after="120"/>
        <w:ind w:firstLine="0"/>
      </w:pPr>
      <w:r>
        <w:rPr>
          <w:color w:val="969696"/>
          <w:sz w:val="18"/>
        </w:rPr>
        <w:t>——————————————————————————————</w:t>
      </w:r>
    </w:p>
    <w:p>
      <w:pPr>
        <w:spacing w:before="280" w:after="160"/>
      </w:pPr>
      <w:r>
        <w:rPr>
          <w:rFonts w:ascii="黑体" w:hAnsi="黑体"/>
          <w:b/>
          <w:sz w:val="28"/>
        </w:rPr>
        <w:t>1.2.1 数据暴力的三重瓶颈</w:t>
      </w:r>
    </w:p>
    <w:p>
      <w:pPr>
        <w:spacing w:after="12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spacing w:after="12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spacing w:after="12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spacing w:after="12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spacing w:after="12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spacing w:before="120" w:after="120"/>
        <w:ind w:firstLine="0"/>
      </w:pPr>
      <w:r>
        <w:rPr>
          <w:color w:val="969696"/>
          <w:sz w:val="18"/>
        </w:rPr>
        <w:t>——————————————————————————————</w:t>
      </w:r>
    </w:p>
    <w:p>
      <w:pPr>
        <w:spacing w:before="280" w:after="160"/>
      </w:pPr>
      <w:r>
        <w:rPr>
          <w:rFonts w:ascii="黑体" w:hAnsi="黑体"/>
          <w:b/>
          <w:sz w:val="28"/>
        </w:rPr>
        <w:t>1.2.2 符号主义为何失败：给符号系统第二次机会</w:t>
      </w:r>
    </w:p>
    <w:p>
      <w:pPr>
        <w:spacing w:after="12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spacing w:after="120"/>
        <w:ind w:firstLine="420"/>
      </w:pPr>
      <w:r>
        <w:rPr>
          <w:rFonts w:ascii="宋体" w:hAnsi="宋体"/>
          <w:sz w:val="22"/>
        </w:rPr>
        <w:t>符号主义遭遇了三个根本困难。</w:t>
      </w:r>
    </w:p>
    <w:p>
      <w:pPr>
        <w:spacing w:after="12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spacing w:after="12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spacing w:after="12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pPr>
        <w:spacing w:after="120"/>
        <w:ind w:firstLine="420"/>
      </w:pPr>
      <w:r>
        <w:rPr>
          <w:rFonts w:ascii="宋体" w:hAnsi="宋体"/>
          <w:sz w:val="22"/>
        </w:rPr>
        <w:t>易理研物之所以不是"符号主义的重演"，正是因为针对这三个困难都提供了新的解决方案。</w:t>
      </w:r>
    </w:p>
    <w:p>
      <w:pPr>
        <w:spacing w:after="12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spacing w:after="12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spacing w:after="12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spacing w:after="120"/>
        <w:ind w:firstLine="420"/>
      </w:pPr>
      <w:r>
        <w:rPr>
          <w:rFonts w:ascii="宋体" w:hAnsi="宋体"/>
          <w:sz w:val="22"/>
        </w:rPr>
        <w:t>表 1.1 总结了经典符号主义、深度学习与易理研物三者的关键差异。</w:t>
      </w:r>
    </w:p>
    <w:p>
      <w:pPr>
        <w:spacing w:after="120"/>
        <w:ind w:firstLine="420"/>
      </w:pPr>
      <w:r>
        <w:rPr>
          <w:rFonts w:ascii="宋体" w:hAnsi="宋体"/>
          <w:b/>
          <w:sz w:val="22"/>
        </w:rPr>
        <w:t>表 1.1 三条技术路线的关键差异</w:t>
      </w:r>
    </w:p>
    <w:p>
      <w:pPr>
        <w:spacing w:after="120"/>
        <w:ind w:firstLine="420"/>
      </w:pPr>
      <w:r>
        <w:rPr>
          <w:rFonts w:ascii="宋体" w:hAnsi="宋体"/>
          <w:sz w:val="22"/>
        </w:rPr>
        <w:t>| 维度 | 经典符号主义 | 深度学习 | 易理研物 |</w:t>
      </w:r>
    </w:p>
    <w:p>
      <w:pPr>
        <w:spacing w:after="120"/>
        <w:ind w:firstLine="420"/>
      </w:pPr>
      <w:r>
        <w:rPr>
          <w:rFonts w:ascii="宋体" w:hAnsi="宋体"/>
          <w:sz w:val="22"/>
        </w:rPr>
        <w:t>|------|:--:|:--:|:--:|</w:t>
      </w:r>
    </w:p>
    <w:p>
      <w:pPr>
        <w:spacing w:after="120"/>
        <w:ind w:firstLine="420"/>
      </w:pPr>
      <w:r>
        <w:rPr>
          <w:rFonts w:ascii="宋体" w:hAnsi="宋体"/>
          <w:sz w:val="22"/>
        </w:rPr>
        <w:t>| 知识来源 | 人工编写规则 | 数据统计拟合 | 结构化先验符号体系 |</w:t>
      </w:r>
    </w:p>
    <w:p>
      <w:pPr>
        <w:spacing w:after="120"/>
        <w:ind w:firstLine="420"/>
      </w:pPr>
      <w:r>
        <w:rPr>
          <w:rFonts w:ascii="宋体" w:hAnsi="宋体"/>
          <w:sz w:val="22"/>
        </w:rPr>
        <w:t>| 数据效率 | 极高（零数据） | 极低（海量数据） | 高（百级示范） |</w:t>
      </w:r>
    </w:p>
    <w:p>
      <w:pPr>
        <w:spacing w:after="120"/>
        <w:ind w:firstLine="420"/>
      </w:pPr>
      <w:r>
        <w:rPr>
          <w:rFonts w:ascii="宋体" w:hAnsi="宋体"/>
          <w:sz w:val="22"/>
        </w:rPr>
        <w:t>| 表示粒度 | 离散（True/False） | 连续（潜在向量） | 连续隶属度→符号 |</w:t>
      </w:r>
    </w:p>
    <w:p>
      <w:pPr>
        <w:spacing w:after="120"/>
        <w:ind w:firstLine="420"/>
      </w:pPr>
      <w:r>
        <w:rPr>
          <w:rFonts w:ascii="宋体" w:hAnsi="宋体"/>
          <w:sz w:val="22"/>
        </w:rPr>
        <w:t>| 可解释性 | 高（逻辑可读） | 极低（黑箱） | 高（卦辞可读推理链） |</w:t>
      </w:r>
    </w:p>
    <w:p>
      <w:pPr>
        <w:spacing w:after="120"/>
        <w:ind w:firstLine="420"/>
      </w:pPr>
      <w:r>
        <w:rPr>
          <w:rFonts w:ascii="宋体" w:hAnsi="宋体"/>
          <w:sz w:val="22"/>
        </w:rPr>
        <w:t>| 鲁棒性 | 差（硬边界） | 可（统计平滑） | 好（模糊边界） |</w:t>
      </w:r>
    </w:p>
    <w:p>
      <w:pPr>
        <w:spacing w:after="120"/>
        <w:ind w:firstLine="420"/>
      </w:pPr>
      <w:r>
        <w:rPr>
          <w:rFonts w:ascii="宋体" w:hAnsi="宋体"/>
          <w:sz w:val="22"/>
        </w:rPr>
        <w:t>| 知识组织 | 平面规则列表 | 隐式分布在权重中 | 结构化关系网络 |</w:t>
      </w:r>
    </w:p>
    <w:p>
      <w:pPr>
        <w:spacing w:after="120"/>
        <w:ind w:firstLine="420"/>
      </w:pPr>
      <w:r>
        <w:rPr>
          <w:rFonts w:ascii="宋体" w:hAnsi="宋体"/>
          <w:sz w:val="22"/>
        </w:rPr>
        <w:t>| 安全内建 | 否（外挂规则） | 否（隐式学习） | 是（安全八卦） |</w:t>
      </w:r>
    </w:p>
    <w:p>
      <w:pPr>
        <w:spacing w:before="120" w:after="120"/>
        <w:ind w:firstLine="0"/>
      </w:pPr>
      <w:r>
        <w:rPr>
          <w:color w:val="969696"/>
          <w:sz w:val="18"/>
        </w:rPr>
        <w:t>——————————————————————————————</w:t>
      </w:r>
    </w:p>
    <w:p>
      <w:pPr>
        <w:spacing w:before="280" w:after="160"/>
      </w:pPr>
      <w:r>
        <w:rPr>
          <w:rFonts w:ascii="黑体" w:hAnsi="黑体"/>
          <w:b/>
          <w:sz w:val="28"/>
        </w:rPr>
        <w:t>1.2.3 神经符号 AI 的潜力与空白：YLYW 的历史坐标</w:t>
      </w:r>
    </w:p>
    <w:p>
      <w:pPr>
        <w:spacing w:after="12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pPr>
        <w:spacing w:after="120"/>
        <w:ind w:firstLine="420"/>
      </w:pPr>
      <w:r>
        <w:rPr>
          <w:rFonts w:ascii="宋体" w:hAnsi="宋体"/>
          <w:sz w:val="22"/>
        </w:rPr>
        <w:t>根据最新的分类体系，NeSy 系统可沿两个核心维度分类。</w:t>
      </w:r>
    </w:p>
    <w:p>
      <w:pPr>
        <w:spacing w:after="12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spacing w:after="12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spacing w:after="12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spacing w:after="12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spacing w:after="12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spacing w:after="12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pPr>
        <w:spacing w:after="12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pPr>
        <w:spacing w:after="12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spacing w:before="120" w:after="120"/>
        <w:ind w:firstLine="0"/>
      </w:pPr>
      <w:r>
        <w:rPr>
          <w:color w:val="969696"/>
          <w:sz w:val="18"/>
        </w:rPr>
        <w:t>——————————————————————————————</w:t>
      </w:r>
    </w:p>
    <w:p>
      <w:pPr>
        <w:spacing w:before="280" w:after="160"/>
      </w:pPr>
      <w:r>
        <w:rPr>
          <w:rFonts w:ascii="黑体" w:hAnsi="黑体"/>
          <w:b/>
          <w:sz w:val="28"/>
        </w:rPr>
        <w:t>1.2.4 为什么是东方易学：全球知识体系中独特的可计算结构</w:t>
      </w:r>
    </w:p>
    <w:p>
      <w:pPr>
        <w:spacing w:after="120"/>
        <w:ind w:firstLine="420"/>
      </w:pPr>
      <w:r>
        <w:rPr>
          <w:rFonts w:ascii="宋体" w:hAnsi="宋体"/>
          <w:sz w:val="22"/>
        </w:rPr>
        <w:t>最后一个需要回答的问题是：在全球知识体系中，为什么是《易经》——而不是西方的本体论或印度的因明——具有这种作为计算先验的特殊适合性？</w:t>
      </w:r>
    </w:p>
    <w:p>
      <w:pPr>
        <w:spacing w:after="120"/>
        <w:ind w:firstLine="420"/>
      </w:pPr>
      <w:r>
        <w:rPr>
          <w:rFonts w:ascii="宋体" w:hAnsi="宋体"/>
          <w:sz w:val="22"/>
        </w:rPr>
        <w:t>《易经》有几个结构特征在全球古典知识体系中是罕见的、甚至是唯一的：</w:t>
      </w:r>
    </w:p>
    <w:p>
      <w:pPr>
        <w:spacing w:after="12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spacing w:after="12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spacing w:after="12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spacing w:after="12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spacing w:before="120" w:after="120"/>
        <w:ind w:firstLine="0"/>
      </w:pPr>
      <w:r>
        <w:rPr>
          <w:color w:val="969696"/>
          <w:sz w:val="18"/>
        </w:rPr>
        <w:t>——————————————————————————————</w:t>
      </w:r>
    </w:p>
    <w:p>
      <w:pPr>
        <w:spacing w:before="280" w:after="160"/>
      </w:pPr>
      <w:r>
        <w:rPr>
          <w:rFonts w:ascii="黑体" w:hAnsi="黑体"/>
          <w:b/>
          <w:sz w:val="28"/>
        </w:rPr>
        <w:t>1.2.5 本章小结与下一章预览</w:t>
      </w:r>
    </w:p>
    <w:p>
      <w:pPr>
        <w:spacing w:after="12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spacing w:after="12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pPr>
        <w:spacing w:before="120" w:after="120"/>
        <w:ind w:firstLine="0"/>
      </w:pPr>
      <w:r>
        <w:rPr>
          <w:color w:val="969696"/>
          <w:sz w:val="18"/>
        </w:rPr>
        <w:t>——————————————————————————————</w:t>
      </w:r>
    </w:p>
    <w:p>
      <w:pPr>
        <w:spacing w:after="120"/>
        <w:ind w:firstLine="420"/>
      </w:pPr>
      <w:r>
        <w:rPr>
          <w:rFonts w:ascii="宋体" w:hAnsi="宋体"/>
          <w:sz w:val="22"/>
        </w:rPr>
        <w:t>*本节完。下一节：第 2 章 八卦隶属度：符号化接地方法。*</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