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420"/>
      </w:pPr>
      <w:r>
        <w:rPr>
          <w:rFonts w:ascii="宋体" w:hAnsi="宋体"/>
          <w:sz w:val="22"/>
        </w:rP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pPr>
        <w:spacing w:before="120" w:after="120"/>
        <w:ind w:firstLine="0"/>
      </w:pPr>
      <w:r>
        <w:rPr>
          <w:color w:val="969696"/>
          <w:sz w:val="18"/>
        </w:rPr>
        <w:t>——————————————————————————————</w:t>
      </w:r>
    </w:p>
    <w:p>
      <w:pPr>
        <w:spacing w:before="280" w:after="160"/>
      </w:pPr>
      <w:r>
        <w:rPr>
          <w:rFonts w:ascii="黑体" w:hAnsi="黑体"/>
          <w:b/>
          <w:sz w:val="28"/>
        </w:rPr>
        <w:t>1.2.1 数据暴力的三重瓶颈</w:t>
      </w:r>
    </w:p>
    <w:p>
      <w:pPr>
        <w:spacing w:after="100"/>
        <w:ind w:firstLine="420"/>
      </w:pPr>
      <w:r>
        <w:rPr>
          <w:rFonts w:ascii="宋体" w:hAnsi="宋体"/>
          <w:sz w:val="22"/>
        </w:rPr>
        <w:t>当前人工智能的主流范式——无论是大语言模型还是具身智能系统——共享一个根本特征：</w:t>
      </w:r>
      <w:r>
        <w:rPr>
          <w:rFonts w:ascii="宋体" w:hAnsi="宋体"/>
          <w:b/>
          <w:sz w:val="22"/>
        </w:rPr>
        <w:t>性能依赖于数据规模而非知识质量</w:t>
      </w:r>
      <w:r>
        <w:rPr>
          <w:rFonts w:ascii="宋体" w:hAnsi="宋体"/>
          <w:sz w:val="22"/>
        </w:rPr>
        <w:t>。这一特征在学术界和工业界已引发日益增长的反思。我们可以将其困境概括为三重重瓶颈。</w:t>
      </w:r>
    </w:p>
    <w:p>
      <w:pPr>
        <w:spacing w:after="100"/>
        <w:ind w:firstLine="420"/>
      </w:pPr>
      <w:r>
        <w:rPr>
          <w:rFonts w:ascii="宋体" w:hAnsi="宋体"/>
          <w:b/>
          <w:sz w:val="22"/>
        </w:rPr>
        <w:t>瓶颈一：数据效率。</w:t>
      </w:r>
      <w:r>
        <w:rPr>
          <w:rFonts w:ascii="宋体" w:hAnsi="宋体"/>
          <w:sz w:val="22"/>
        </w:rPr>
        <w:t xml:space="preserve">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pPr>
        <w:spacing w:after="100"/>
        <w:ind w:firstLine="420"/>
      </w:pPr>
      <w:r>
        <w:rPr>
          <w:rFonts w:ascii="宋体" w:hAnsi="宋体"/>
          <w:b/>
          <w:sz w:val="22"/>
        </w:rPr>
        <w:t>瓶颈二：可解释性。</w:t>
      </w:r>
      <w:r>
        <w:rPr>
          <w:rFonts w:ascii="宋体" w:hAnsi="宋体"/>
          <w:sz w:val="22"/>
        </w:rPr>
        <w:t xml:space="preserve">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pPr>
        <w:spacing w:after="100"/>
        <w:ind w:firstLine="420"/>
      </w:pPr>
      <w:r>
        <w:rPr>
          <w:rFonts w:ascii="宋体" w:hAnsi="宋体"/>
          <w:b/>
          <w:sz w:val="22"/>
        </w:rPr>
        <w:t>瓶颈三：物理合规。</w:t>
      </w:r>
      <w:r>
        <w:rPr>
          <w:rFonts w:ascii="宋体" w:hAnsi="宋体"/>
          <w:sz w:val="22"/>
        </w:rPr>
        <w:t xml:space="preserve">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pPr>
        <w:spacing w:after="100"/>
        <w:ind w:firstLine="420"/>
      </w:pPr>
      <w:r>
        <w:rPr>
          <w:rFonts w:ascii="宋体" w:hAnsi="宋体"/>
          <w:sz w:val="22"/>
        </w:rPr>
        <w:t>我们将这三种瓶颈概括为一个概念——</w:t>
      </w:r>
      <w:r>
        <w:rPr>
          <w:rFonts w:ascii="宋体" w:hAnsi="宋体"/>
          <w:b/>
          <w:sz w:val="22"/>
        </w:rPr>
        <w:t>数据暴力</w:t>
      </w:r>
      <w:r>
        <w:rPr>
          <w:rFonts w:ascii="宋体" w:hAnsi="宋体"/>
          <w:sz w:val="22"/>
        </w:rPr>
        <w:t>（Data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pPr>
        <w:spacing w:before="120" w:after="120"/>
        <w:ind w:firstLine="0"/>
      </w:pPr>
      <w:r>
        <w:rPr>
          <w:color w:val="969696"/>
          <w:sz w:val="18"/>
        </w:rPr>
        <w:t>——————————————————————————————</w:t>
      </w:r>
    </w:p>
    <w:p>
      <w:pPr>
        <w:spacing w:before="280" w:after="160"/>
      </w:pPr>
      <w:r>
        <w:rPr>
          <w:rFonts w:ascii="黑体" w:hAnsi="黑体"/>
          <w:b/>
          <w:sz w:val="28"/>
        </w:rPr>
        <w:t>1.2.2 符号主义为何失败：给符号系统第二次机会</w:t>
      </w:r>
    </w:p>
    <w:p>
      <w:pPr>
        <w:spacing w:after="100"/>
        <w:ind w:firstLine="420"/>
      </w:pPr>
      <w:r>
        <w:rPr>
          <w:rFonts w:ascii="宋体" w:hAnsi="宋体"/>
          <w:sz w:val="22"/>
        </w:rPr>
        <w:t>"用先验知识替代数据"的想法并非新创。这正是 AI 第一次浪潮——符号主义——的核心信念。如果符号主义当年成功了，就不会有今天的深度学习统治。因此，任何基于符号知识的现代方法都必须诚实地面对历史：</w:t>
      </w:r>
      <w:r>
        <w:rPr>
          <w:rFonts w:ascii="宋体" w:hAnsi="宋体"/>
          <w:b/>
          <w:sz w:val="22"/>
        </w:rPr>
        <w:t>符号主义为什么会失败？易理研物凭什么能绕过同样的陷阱？</w:t>
      </w:r>
    </w:p>
    <w:p>
      <w:pPr>
        <w:spacing w:after="100"/>
        <w:ind w:firstLine="420"/>
      </w:pPr>
      <w:r>
        <w:rPr>
          <w:rFonts w:ascii="宋体" w:hAnsi="宋体"/>
          <w:sz w:val="22"/>
        </w:rPr>
        <w:t>符号主义遭遇了三个根本困难。</w:t>
      </w:r>
    </w:p>
    <w:p>
      <w:pPr>
        <w:spacing w:after="100"/>
        <w:ind w:firstLine="420"/>
      </w:pPr>
      <w:r>
        <w:rPr>
          <w:rFonts w:ascii="宋体" w:hAnsi="宋体"/>
          <w:b/>
          <w:sz w:val="22"/>
        </w:rPr>
        <w:t>困难一：符号接地问题。</w:t>
      </w:r>
      <w:r>
        <w:rPr>
          <w:rFonts w:ascii="宋体" w:hAnsi="宋体"/>
          <w:sz w:val="22"/>
        </w:rPr>
        <w:t xml:space="preserve">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pPr>
        <w:spacing w:after="100"/>
        <w:ind w:firstLine="420"/>
      </w:pPr>
      <w:r>
        <w:rPr>
          <w:rFonts w:ascii="宋体" w:hAnsi="宋体"/>
          <w:b/>
          <w:sz w:val="22"/>
        </w:rPr>
        <w:t>困难二：知识获取瓶颈。</w:t>
      </w:r>
      <w:r>
        <w:rPr>
          <w:rFonts w:ascii="宋体" w:hAnsi="宋体"/>
          <w:sz w:val="22"/>
        </w:rPr>
        <w:t xml:space="preserve">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pPr>
        <w:spacing w:after="100"/>
        <w:ind w:firstLine="420"/>
      </w:pPr>
      <w:r>
        <w:rPr>
          <w:rFonts w:ascii="宋体" w:hAnsi="宋体"/>
          <w:b/>
          <w:sz w:val="22"/>
        </w:rPr>
        <w:t>困难三：鲁棒性不足。</w:t>
      </w:r>
      <w:r>
        <w:rPr>
          <w:rFonts w:ascii="宋体" w:hAnsi="宋体"/>
          <w:sz w:val="22"/>
        </w:rPr>
        <w:t xml:space="preserve"> 离散谓词系统在遇到边界案例时表现极差。一个物体的稳定性 0.49 被归类为"不稳定"，导致系统选择了完全不同的一套策略——这在对噪声和不确定性天然存在的物理世界中造成了脆弱的决策边界。</w:t>
      </w:r>
    </w:p>
    <w:p>
      <w:pPr>
        <w:spacing w:after="100"/>
        <w:ind w:firstLine="420"/>
      </w:pPr>
      <w:r>
        <w:rPr>
          <w:rFonts w:ascii="宋体" w:hAnsi="宋体"/>
          <w:sz w:val="22"/>
        </w:rPr>
        <w:t>易理研物之所以不是"符号主义的重演"，正是因为针对这三个困难都提供了新的解决方案。</w:t>
      </w:r>
    </w:p>
    <w:p>
      <w:pPr>
        <w:spacing w:after="100"/>
        <w:ind w:firstLine="420"/>
      </w:pPr>
      <w:r>
        <w:rPr>
          <w:rFonts w:ascii="宋体" w:hAnsi="宋体"/>
          <w:b/>
          <w:sz w:val="22"/>
        </w:rPr>
        <w:t>关于符号接地。</w:t>
      </w:r>
      <w:r>
        <w:rPr>
          <w:rFonts w:ascii="宋体" w:hAnsi="宋体"/>
          <w:sz w:val="22"/>
        </w:rPr>
        <w:t xml:space="preserve">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pPr>
        <w:spacing w:after="100"/>
        <w:ind w:firstLine="420"/>
      </w:pPr>
      <w:r>
        <w:rPr>
          <w:rFonts w:ascii="宋体" w:hAnsi="宋体"/>
          <w:b/>
          <w:sz w:val="22"/>
        </w:rPr>
        <w:t>关于知识获取。</w:t>
      </w:r>
      <w:r>
        <w:rPr>
          <w:rFonts w:ascii="宋体" w:hAnsi="宋体"/>
          <w:sz w:val="22"/>
        </w:rPr>
        <w:t xml:space="preserve">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pPr>
        <w:spacing w:after="100"/>
        <w:ind w:firstLine="420"/>
      </w:pPr>
      <w:r>
        <w:rPr>
          <w:rFonts w:ascii="宋体" w:hAnsi="宋体"/>
          <w:b/>
          <w:sz w:val="22"/>
        </w:rPr>
        <w:t>关于鲁棒性。</w:t>
      </w:r>
      <w:r>
        <w:rPr>
          <w:rFonts w:ascii="宋体" w:hAnsi="宋体"/>
          <w:sz w:val="22"/>
        </w:rPr>
        <w:t xml:space="preserve">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pPr>
        <w:spacing w:after="100"/>
        <w:ind w:firstLine="420"/>
      </w:pPr>
      <w:r>
        <w:rPr>
          <w:rFonts w:ascii="宋体" w:hAnsi="宋体"/>
          <w:sz w:val="22"/>
        </w:rPr>
        <w:t>表 1.1 总结了经典符号主义、深度学习与易理研物三者的关键差异。</w:t>
      </w:r>
    </w:p>
    <w:p>
      <w:pPr>
        <w:spacing w:after="100"/>
        <w:ind w:firstLine="420"/>
      </w:pPr>
      <w:r>
        <w:rPr>
          <w:rFonts w:ascii="宋体" w:hAnsi="宋体"/>
          <w:b/>
          <w:sz w:val="22"/>
        </w:rPr>
        <w:t>表 1.1 三条技术路线的关键差异</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经典符号主义</w:t>
            </w:r>
          </w:p>
        </w:tc>
        <w:tc>
          <w:tcPr>
            <w:tcW w:type="dxa" w:w="2158"/>
          </w:tcPr>
          <w:p>
            <w:pPr>
              <w:spacing w:before="40" w:after="40"/>
            </w:pPr>
            <w:r>
              <w:rPr>
                <w:rFonts w:ascii="宋体" w:hAnsi="宋体"/>
                <w:b/>
                <w:sz w:val="18"/>
              </w:rPr>
              <w:t>深度学习</w:t>
            </w:r>
          </w:p>
        </w:tc>
        <w:tc>
          <w:tcPr>
            <w:tcW w:type="dxa" w:w="2158"/>
          </w:tcPr>
          <w:p>
            <w:pPr>
              <w:spacing w:before="40" w:after="40"/>
            </w:pPr>
            <w:r>
              <w:rPr>
                <w:rFonts w:ascii="宋体" w:hAnsi="宋体"/>
                <w:b/>
                <w:sz w:val="18"/>
              </w:rPr>
              <w:t>易理研物</w:t>
            </w:r>
          </w:p>
        </w:tc>
      </w:tr>
      <w:tr>
        <w:tc>
          <w:tcPr>
            <w:tcW w:type="dxa" w:w="2158"/>
          </w:tcPr>
          <w:p>
            <w:pPr>
              <w:spacing w:before="40" w:after="40"/>
            </w:pPr>
            <w:r>
              <w:rPr>
                <w:rFonts w:ascii="宋体" w:hAnsi="宋体"/>
                <w:sz w:val="18"/>
              </w:rPr>
              <w:t>知识来源</w:t>
            </w:r>
          </w:p>
        </w:tc>
        <w:tc>
          <w:tcPr>
            <w:tcW w:type="dxa" w:w="2158"/>
          </w:tcPr>
          <w:p>
            <w:pPr>
              <w:spacing w:before="40" w:after="40"/>
            </w:pPr>
            <w:r>
              <w:rPr>
                <w:rFonts w:ascii="宋体" w:hAnsi="宋体"/>
                <w:sz w:val="18"/>
              </w:rPr>
              <w:t>人工编写规则</w:t>
            </w:r>
          </w:p>
        </w:tc>
        <w:tc>
          <w:tcPr>
            <w:tcW w:type="dxa" w:w="2158"/>
          </w:tcPr>
          <w:p>
            <w:pPr>
              <w:spacing w:before="40" w:after="40"/>
            </w:pPr>
            <w:r>
              <w:rPr>
                <w:rFonts w:ascii="宋体" w:hAnsi="宋体"/>
                <w:sz w:val="18"/>
              </w:rPr>
              <w:t>数据统计拟合</w:t>
            </w:r>
          </w:p>
        </w:tc>
        <w:tc>
          <w:tcPr>
            <w:tcW w:type="dxa" w:w="2158"/>
          </w:tcPr>
          <w:p>
            <w:pPr>
              <w:spacing w:before="40" w:after="40"/>
            </w:pPr>
            <w:r>
              <w:rPr>
                <w:rFonts w:ascii="宋体" w:hAnsi="宋体"/>
                <w:sz w:val="18"/>
              </w:rPr>
              <w:t>结构化先验符号体系</w:t>
            </w:r>
          </w:p>
        </w:tc>
      </w:tr>
      <w:tr>
        <w:tc>
          <w:tcPr>
            <w:tcW w:type="dxa" w:w="2158"/>
          </w:tcPr>
          <w:p>
            <w:pPr>
              <w:spacing w:before="40" w:after="40"/>
            </w:pPr>
            <w:r>
              <w:rPr>
                <w:rFonts w:ascii="宋体" w:hAnsi="宋体"/>
                <w:sz w:val="18"/>
              </w:rPr>
              <w:t>数据效率</w:t>
            </w:r>
          </w:p>
        </w:tc>
        <w:tc>
          <w:tcPr>
            <w:tcW w:type="dxa" w:w="2158"/>
          </w:tcPr>
          <w:p>
            <w:pPr>
              <w:spacing w:before="40" w:after="40"/>
            </w:pPr>
            <w:r>
              <w:rPr>
                <w:rFonts w:ascii="宋体" w:hAnsi="宋体"/>
                <w:sz w:val="18"/>
              </w:rPr>
              <w:t>极高（零数据）</w:t>
            </w:r>
          </w:p>
        </w:tc>
        <w:tc>
          <w:tcPr>
            <w:tcW w:type="dxa" w:w="2158"/>
          </w:tcPr>
          <w:p>
            <w:pPr>
              <w:spacing w:before="40" w:after="40"/>
            </w:pPr>
            <w:r>
              <w:rPr>
                <w:rFonts w:ascii="宋体" w:hAnsi="宋体"/>
                <w:sz w:val="18"/>
              </w:rPr>
              <w:t>极低（海量数据）</w:t>
            </w:r>
          </w:p>
        </w:tc>
        <w:tc>
          <w:tcPr>
            <w:tcW w:type="dxa" w:w="2158"/>
          </w:tcPr>
          <w:p>
            <w:pPr>
              <w:spacing w:before="40" w:after="40"/>
            </w:pPr>
            <w:r>
              <w:rPr>
                <w:rFonts w:ascii="宋体" w:hAnsi="宋体"/>
                <w:sz w:val="18"/>
              </w:rPr>
              <w:t>高（百级示范）</w:t>
            </w:r>
          </w:p>
        </w:tc>
      </w:tr>
      <w:tr>
        <w:tc>
          <w:tcPr>
            <w:tcW w:type="dxa" w:w="2158"/>
          </w:tcPr>
          <w:p>
            <w:pPr>
              <w:spacing w:before="40" w:after="40"/>
            </w:pPr>
            <w:r>
              <w:rPr>
                <w:rFonts w:ascii="宋体" w:hAnsi="宋体"/>
                <w:sz w:val="18"/>
              </w:rPr>
              <w:t>表示粒度</w:t>
            </w:r>
          </w:p>
        </w:tc>
        <w:tc>
          <w:tcPr>
            <w:tcW w:type="dxa" w:w="2158"/>
          </w:tcPr>
          <w:p>
            <w:pPr>
              <w:spacing w:before="40" w:after="40"/>
            </w:pPr>
            <w:r>
              <w:rPr>
                <w:rFonts w:ascii="宋体" w:hAnsi="宋体"/>
                <w:sz w:val="18"/>
              </w:rPr>
              <w:t>离散（True/False）</w:t>
            </w:r>
          </w:p>
        </w:tc>
        <w:tc>
          <w:tcPr>
            <w:tcW w:type="dxa" w:w="2158"/>
          </w:tcPr>
          <w:p>
            <w:pPr>
              <w:spacing w:before="40" w:after="40"/>
            </w:pPr>
            <w:r>
              <w:rPr>
                <w:rFonts w:ascii="宋体" w:hAnsi="宋体"/>
                <w:sz w:val="18"/>
              </w:rPr>
              <w:t>连续（潜在向量）</w:t>
            </w:r>
          </w:p>
        </w:tc>
        <w:tc>
          <w:tcPr>
            <w:tcW w:type="dxa" w:w="2158"/>
          </w:tcPr>
          <w:p>
            <w:pPr>
              <w:spacing w:before="40" w:after="40"/>
            </w:pPr>
            <w:r>
              <w:rPr>
                <w:rFonts w:ascii="宋体" w:hAnsi="宋体"/>
                <w:sz w:val="18"/>
              </w:rPr>
              <w:t>连续隶属度→符号</w:t>
            </w:r>
          </w:p>
        </w:tc>
      </w:tr>
      <w:tr>
        <w:tc>
          <w:tcPr>
            <w:tcW w:type="dxa" w:w="2158"/>
          </w:tcPr>
          <w:p>
            <w:pPr>
              <w:spacing w:before="40" w:after="40"/>
            </w:pPr>
            <w:r>
              <w:rPr>
                <w:rFonts w:ascii="宋体" w:hAnsi="宋体"/>
                <w:sz w:val="18"/>
              </w:rPr>
              <w:t>可解释性</w:t>
            </w:r>
          </w:p>
        </w:tc>
        <w:tc>
          <w:tcPr>
            <w:tcW w:type="dxa" w:w="2158"/>
          </w:tcPr>
          <w:p>
            <w:pPr>
              <w:spacing w:before="40" w:after="40"/>
            </w:pPr>
            <w:r>
              <w:rPr>
                <w:rFonts w:ascii="宋体" w:hAnsi="宋体"/>
                <w:sz w:val="18"/>
              </w:rPr>
              <w:t>高（逻辑可读）</w:t>
            </w:r>
          </w:p>
        </w:tc>
        <w:tc>
          <w:tcPr>
            <w:tcW w:type="dxa" w:w="2158"/>
          </w:tcPr>
          <w:p>
            <w:pPr>
              <w:spacing w:before="40" w:after="40"/>
            </w:pPr>
            <w:r>
              <w:rPr>
                <w:rFonts w:ascii="宋体" w:hAnsi="宋体"/>
                <w:sz w:val="18"/>
              </w:rPr>
              <w:t>极低（黑箱）</w:t>
            </w:r>
          </w:p>
        </w:tc>
        <w:tc>
          <w:tcPr>
            <w:tcW w:type="dxa" w:w="2158"/>
          </w:tcPr>
          <w:p>
            <w:pPr>
              <w:spacing w:before="40" w:after="40"/>
            </w:pPr>
            <w:r>
              <w:rPr>
                <w:rFonts w:ascii="宋体" w:hAnsi="宋体"/>
                <w:sz w:val="18"/>
              </w:rPr>
              <w:t>高（卦辞可读推理链）</w:t>
            </w:r>
          </w:p>
        </w:tc>
      </w:tr>
      <w:tr>
        <w:tc>
          <w:tcPr>
            <w:tcW w:type="dxa" w:w="2158"/>
          </w:tcPr>
          <w:p>
            <w:pPr>
              <w:spacing w:before="40" w:after="40"/>
            </w:pPr>
            <w:r>
              <w:rPr>
                <w:rFonts w:ascii="宋体" w:hAnsi="宋体"/>
                <w:sz w:val="18"/>
              </w:rPr>
              <w:t>鲁棒性</w:t>
            </w:r>
          </w:p>
        </w:tc>
        <w:tc>
          <w:tcPr>
            <w:tcW w:type="dxa" w:w="2158"/>
          </w:tcPr>
          <w:p>
            <w:pPr>
              <w:spacing w:before="40" w:after="40"/>
            </w:pPr>
            <w:r>
              <w:rPr>
                <w:rFonts w:ascii="宋体" w:hAnsi="宋体"/>
                <w:sz w:val="18"/>
              </w:rPr>
              <w:t>差（硬边界）</w:t>
            </w:r>
          </w:p>
        </w:tc>
        <w:tc>
          <w:tcPr>
            <w:tcW w:type="dxa" w:w="2158"/>
          </w:tcPr>
          <w:p>
            <w:pPr>
              <w:spacing w:before="40" w:after="40"/>
            </w:pPr>
            <w:r>
              <w:rPr>
                <w:rFonts w:ascii="宋体" w:hAnsi="宋体"/>
                <w:sz w:val="18"/>
              </w:rPr>
              <w:t>可（统计平滑）</w:t>
            </w:r>
          </w:p>
        </w:tc>
        <w:tc>
          <w:tcPr>
            <w:tcW w:type="dxa" w:w="2158"/>
          </w:tcPr>
          <w:p>
            <w:pPr>
              <w:spacing w:before="40" w:after="40"/>
            </w:pPr>
            <w:r>
              <w:rPr>
                <w:rFonts w:ascii="宋体" w:hAnsi="宋体"/>
                <w:sz w:val="18"/>
              </w:rPr>
              <w:t>好（模糊边界）</w:t>
            </w:r>
          </w:p>
        </w:tc>
      </w:tr>
      <w:tr>
        <w:tc>
          <w:tcPr>
            <w:tcW w:type="dxa" w:w="2158"/>
          </w:tcPr>
          <w:p>
            <w:pPr>
              <w:spacing w:before="40" w:after="40"/>
            </w:pPr>
            <w:r>
              <w:rPr>
                <w:rFonts w:ascii="宋体" w:hAnsi="宋体"/>
                <w:sz w:val="18"/>
              </w:rPr>
              <w:t>知识组织</w:t>
            </w:r>
          </w:p>
        </w:tc>
        <w:tc>
          <w:tcPr>
            <w:tcW w:type="dxa" w:w="2158"/>
          </w:tcPr>
          <w:p>
            <w:pPr>
              <w:spacing w:before="40" w:after="40"/>
            </w:pPr>
            <w:r>
              <w:rPr>
                <w:rFonts w:ascii="宋体" w:hAnsi="宋体"/>
                <w:sz w:val="18"/>
              </w:rPr>
              <w:t>平面规则列表</w:t>
            </w:r>
          </w:p>
        </w:tc>
        <w:tc>
          <w:tcPr>
            <w:tcW w:type="dxa" w:w="2158"/>
          </w:tcPr>
          <w:p>
            <w:pPr>
              <w:spacing w:before="40" w:after="40"/>
            </w:pPr>
            <w:r>
              <w:rPr>
                <w:rFonts w:ascii="宋体" w:hAnsi="宋体"/>
                <w:sz w:val="18"/>
              </w:rPr>
              <w:t>隐式分布在权重中</w:t>
            </w:r>
          </w:p>
        </w:tc>
        <w:tc>
          <w:tcPr>
            <w:tcW w:type="dxa" w:w="2158"/>
          </w:tcPr>
          <w:p>
            <w:pPr>
              <w:spacing w:before="40" w:after="40"/>
            </w:pPr>
            <w:r>
              <w:rPr>
                <w:rFonts w:ascii="宋体" w:hAnsi="宋体"/>
                <w:sz w:val="18"/>
              </w:rPr>
              <w:t>结构化关系网络</w:t>
            </w:r>
          </w:p>
        </w:tc>
      </w:tr>
      <w:tr>
        <w:tc>
          <w:tcPr>
            <w:tcW w:type="dxa" w:w="2158"/>
          </w:tcPr>
          <w:p>
            <w:pPr>
              <w:spacing w:before="40" w:after="40"/>
            </w:pPr>
            <w:r>
              <w:rPr>
                <w:rFonts w:ascii="宋体" w:hAnsi="宋体"/>
                <w:sz w:val="18"/>
              </w:rPr>
              <w:t>安全内建</w:t>
            </w:r>
          </w:p>
        </w:tc>
        <w:tc>
          <w:tcPr>
            <w:tcW w:type="dxa" w:w="2158"/>
          </w:tcPr>
          <w:p>
            <w:pPr>
              <w:spacing w:before="40" w:after="40"/>
            </w:pPr>
            <w:r>
              <w:rPr>
                <w:rFonts w:ascii="宋体" w:hAnsi="宋体"/>
                <w:sz w:val="18"/>
              </w:rPr>
              <w:t>否（外挂规则）</w:t>
            </w:r>
          </w:p>
        </w:tc>
        <w:tc>
          <w:tcPr>
            <w:tcW w:type="dxa" w:w="2158"/>
          </w:tcPr>
          <w:p>
            <w:pPr>
              <w:spacing w:before="40" w:after="40"/>
            </w:pPr>
            <w:r>
              <w:rPr>
                <w:rFonts w:ascii="宋体" w:hAnsi="宋体"/>
                <w:sz w:val="18"/>
              </w:rPr>
              <w:t>否（隐式学习）</w:t>
            </w:r>
          </w:p>
        </w:tc>
        <w:tc>
          <w:tcPr>
            <w:tcW w:type="dxa" w:w="2158"/>
          </w:tcPr>
          <w:p>
            <w:pPr>
              <w:spacing w:before="40" w:after="40"/>
            </w:pPr>
            <w:r>
              <w:rPr>
                <w:rFonts w:ascii="宋体" w:hAnsi="宋体"/>
                <w:sz w:val="18"/>
              </w:rPr>
              <w:t>是（安全八卦）</w:t>
            </w:r>
          </w:p>
        </w:tc>
      </w:tr>
    </w:tbl>
    <w:p/>
    <w:p>
      <w:pPr>
        <w:spacing w:before="120" w:after="120"/>
        <w:ind w:firstLine="0"/>
      </w:pPr>
      <w:r>
        <w:rPr>
          <w:color w:val="969696"/>
          <w:sz w:val="18"/>
        </w:rPr>
        <w:t>——————————————————————————————</w:t>
      </w:r>
    </w:p>
    <w:p>
      <w:pPr>
        <w:spacing w:before="280" w:after="160"/>
      </w:pPr>
      <w:r>
        <w:rPr>
          <w:rFonts w:ascii="黑体" w:hAnsi="黑体"/>
          <w:b/>
          <w:sz w:val="28"/>
        </w:rPr>
        <w:t>1.2.3 神经符号 AI 的潜力与空白：YLYW 的历史坐标</w:t>
      </w:r>
    </w:p>
    <w:p>
      <w:pPr>
        <w:spacing w:after="100"/>
        <w:ind w:firstLine="420"/>
      </w:pPr>
      <w:r>
        <w:rPr>
          <w:rFonts w:ascii="宋体" w:hAnsi="宋体"/>
          <w:sz w:val="22"/>
        </w:rPr>
        <w:t>符号主义和连接主义各自的失败催生了第三次浪潮——神经符号人工智能（Neuro-Symbolic AI, NeSy）——试图将神经网络的感知能力与符号系统的推理能力结合起来。</w:t>
      </w:r>
    </w:p>
    <w:p>
      <w:pPr>
        <w:spacing w:after="100"/>
        <w:ind w:firstLine="420"/>
      </w:pPr>
      <w:r>
        <w:rPr>
          <w:rFonts w:ascii="宋体" w:hAnsi="宋体"/>
          <w:sz w:val="22"/>
        </w:rPr>
        <w:t>根据最新的分类体系，NeSy 系统可沿两个核心维度分类。</w:t>
      </w:r>
    </w:p>
    <w:p>
      <w:pPr>
        <w:spacing w:after="100"/>
        <w:ind w:firstLine="420"/>
      </w:pPr>
      <w:r>
        <w:rPr>
          <w:rFonts w:ascii="宋体" w:hAnsi="宋体"/>
          <w:b/>
          <w:sz w:val="22"/>
        </w:rPr>
        <w:t>架构位置维度。</w:t>
      </w:r>
      <w:r>
        <w:rPr>
          <w:rFonts w:ascii="宋体" w:hAnsi="宋体"/>
          <w:sz w:val="22"/>
        </w:rPr>
        <w:t xml:space="preserve">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pPr>
        <w:spacing w:after="100"/>
        <w:ind w:firstLine="420"/>
      </w:pPr>
      <w:r>
        <w:rPr>
          <w:rFonts w:ascii="宋体" w:hAnsi="宋体"/>
          <w:b/>
          <w:sz w:val="22"/>
        </w:rPr>
        <w:t>交互模式维度。</w:t>
      </w:r>
      <w:r>
        <w:rPr>
          <w:rFonts w:ascii="宋体" w:hAnsi="宋体"/>
          <w:sz w:val="22"/>
        </w:rPr>
        <w:t xml:space="preserve"> Teaching（T）——符号知识传递后丢弃；Constraining（C）——符号规则编译进网络架构来限制可行解空间；Generating（G）——符号系统生成训练数据供网络学习；Reasoning（R）——神经感知输出的概率事实供符号引擎推理；Loop（L）——神经-符号双向动态交互。</w:t>
      </w:r>
    </w:p>
    <w:p>
      <w:pPr>
        <w:spacing w:after="100"/>
        <w:ind w:firstLine="420"/>
      </w:pPr>
      <w:r>
        <w:rPr>
          <w:rFonts w:ascii="宋体" w:hAnsi="宋体"/>
          <w:sz w:val="22"/>
        </w:rPr>
        <w:t>YLYW 精准定位于</w:t>
      </w:r>
      <w:r>
        <w:rPr>
          <w:rFonts w:ascii="宋体" w:hAnsi="宋体"/>
          <w:b/>
          <w:sz w:val="22"/>
        </w:rPr>
        <w:t>联邦式约束+推理混合型（F-C + F-R）</w:t>
      </w:r>
      <w:r>
        <w:rPr>
          <w:rFonts w:ascii="宋体" w:hAnsi="宋体"/>
          <w:sz w:val="22"/>
        </w:rPr>
        <w:t>。其符号层——64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pPr>
        <w:spacing w:after="100"/>
        <w:ind w:firstLine="420"/>
      </w:pPr>
      <w:r>
        <w:rPr>
          <w:rFonts w:ascii="宋体" w:hAnsi="宋体"/>
          <w:sz w:val="22"/>
        </w:rPr>
        <w:t>然而，现有 NeSy 系统共享一个空白：它们普遍使用通用逻辑框架（概率谓词、可微公式、信念粒子）作为符号层，缺乏</w:t>
      </w:r>
      <w:r>
        <w:rPr>
          <w:rFonts w:ascii="宋体" w:hAnsi="宋体"/>
          <w:b/>
          <w:sz w:val="22"/>
        </w:rPr>
        <w:t>领域特定的结构化先验</w:t>
      </w:r>
      <w:r>
        <w:rPr>
          <w:rFonts w:ascii="宋体" w:hAnsi="宋体"/>
          <w:sz w:val="22"/>
        </w:rPr>
        <w:t>。概念中心框架的概念模板是"空白"的——不具备领域特定的先验结构。DeepProbLog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pPr>
        <w:spacing w:after="100"/>
        <w:ind w:firstLine="420"/>
      </w:pPr>
      <w:r>
        <w:rPr>
          <w:rFonts w:ascii="宋体" w:hAnsi="宋体"/>
          <w:sz w:val="22"/>
        </w:rPr>
        <w:t>YLYW 与它们的关键差异在于：</w:t>
      </w:r>
      <w:r>
        <w:rPr>
          <w:rFonts w:ascii="宋体" w:hAnsi="宋体"/>
          <w:b/>
          <w:sz w:val="22"/>
        </w:rPr>
        <w:t>首次以特定文化知识体系——六十四卦——作为结构化先验模板库</w:t>
      </w:r>
      <w:r>
        <w:rPr>
          <w:rFonts w:ascii="宋体" w:hAnsi="宋体"/>
          <w:sz w:val="22"/>
        </w:rPr>
        <w:t>。这带来了三个独特的优势：</w:t>
      </w:r>
    </w:p>
    <w:p>
      <w:pPr>
        <w:spacing w:after="100"/>
        <w:ind w:left="680"/>
      </w:pPr>
      <w:r>
        <w:rPr>
          <w:rFonts w:ascii="宋体" w:hAnsi="宋体"/>
          <w:sz w:val="22"/>
        </w:rPr>
        <w:t xml:space="preserve">1. </w:t>
      </w:r>
      <w:r>
        <w:rPr>
          <w:rFonts w:ascii="宋体" w:hAnsi="宋体"/>
          <w:b/>
          <w:sz w:val="22"/>
        </w:rPr>
        <w:t>紧凑性</w:t>
      </w:r>
      <w:r>
        <w:rPr>
          <w:rFonts w:ascii="宋体" w:hAnsi="宋体"/>
          <w:sz w:val="22"/>
        </w:rPr>
        <w:t>——8 个八卦基元和 64 个复合模式，远少于通用谓词系统可能需要的原子符号数量。</w:t>
      </w:r>
    </w:p>
    <w:p>
      <w:pPr>
        <w:spacing w:after="100"/>
        <w:ind w:left="680"/>
      </w:pPr>
      <w:r>
        <w:rPr>
          <w:rFonts w:ascii="宋体" w:hAnsi="宋体"/>
          <w:sz w:val="22"/>
        </w:rPr>
        <w:t xml:space="preserve">2. </w:t>
      </w:r>
      <w:r>
        <w:rPr>
          <w:rFonts w:ascii="宋体" w:hAnsi="宋体"/>
          <w:b/>
          <w:sz w:val="22"/>
        </w:rPr>
        <w:t>自洽性</w:t>
      </w:r>
      <w:r>
        <w:rPr>
          <w:rFonts w:ascii="宋体" w:hAnsi="宋体"/>
          <w:sz w:val="22"/>
        </w:rPr>
        <w:t>——64 卦之间存在错、综、乘、承、比、应等关系网络，形成了一个自洽的符号体系，而非独立规则的列表。</w:t>
      </w:r>
    </w:p>
    <w:p>
      <w:pPr>
        <w:spacing w:after="100"/>
        <w:ind w:left="680"/>
      </w:pPr>
      <w:r>
        <w:rPr>
          <w:rFonts w:ascii="宋体" w:hAnsi="宋体"/>
          <w:sz w:val="22"/>
        </w:rPr>
        <w:t xml:space="preserve">3. </w:t>
      </w:r>
      <w:r>
        <w:rPr>
          <w:rFonts w:ascii="宋体" w:hAnsi="宋体"/>
          <w:b/>
          <w:sz w:val="22"/>
        </w:rPr>
        <w:t>传统智慧</w:t>
      </w:r>
      <w:r>
        <w:rPr>
          <w:rFonts w:ascii="宋体" w:hAnsi="宋体"/>
          <w:sz w:val="22"/>
        </w:rPr>
        <w:t>——卦辞和爻辞携带了数千年对变化情境模式的观察和分类，在物理交互任务中提供了远超空白模板的强归纳偏置。</w:t>
      </w:r>
    </w:p>
    <w:p>
      <w:pPr>
        <w:spacing w:before="120" w:after="120"/>
        <w:ind w:firstLine="0"/>
      </w:pPr>
      <w:r>
        <w:rPr>
          <w:color w:val="969696"/>
          <w:sz w:val="18"/>
        </w:rPr>
        <w:t>——————————————————————————————</w:t>
      </w:r>
    </w:p>
    <w:p>
      <w:pPr>
        <w:spacing w:before="280" w:after="160"/>
      </w:pPr>
      <w:r>
        <w:rPr>
          <w:rFonts w:ascii="黑体" w:hAnsi="黑体"/>
          <w:b/>
          <w:sz w:val="28"/>
        </w:rPr>
        <w:t>1.2.4 为什么是东方易学：全球知识体系中独特的可计算结构</w:t>
      </w:r>
    </w:p>
    <w:p>
      <w:pPr>
        <w:spacing w:after="100"/>
        <w:ind w:firstLine="420"/>
      </w:pPr>
      <w:r>
        <w:rPr>
          <w:rFonts w:ascii="宋体" w:hAnsi="宋体"/>
          <w:sz w:val="22"/>
        </w:rPr>
        <w:t>最后一个需要回答的问题是：在全球知识体系中，为什么是《易经》——而不是西方的本体论或印度的因明——具有这种作为计算先验的特殊适合性？</w:t>
      </w:r>
    </w:p>
    <w:p>
      <w:pPr>
        <w:spacing w:after="100"/>
        <w:ind w:firstLine="420"/>
      </w:pPr>
      <w:r>
        <w:rPr>
          <w:rFonts w:ascii="宋体" w:hAnsi="宋体"/>
          <w:sz w:val="22"/>
        </w:rPr>
        <w:t>《易经》有几个结构特征在全球古典知识体系中是罕见的、甚至是唯一的：</w:t>
      </w:r>
    </w:p>
    <w:p>
      <w:pPr>
        <w:spacing w:after="100"/>
        <w:ind w:firstLine="420"/>
      </w:pPr>
      <w:r>
        <w:rPr>
          <w:rFonts w:ascii="宋体" w:hAnsi="宋体"/>
          <w:b/>
          <w:sz w:val="22"/>
        </w:rPr>
        <w:t>二进制本质。</w:t>
      </w:r>
      <w:r>
        <w:rPr>
          <w:rFonts w:ascii="宋体" w:hAnsi="宋体"/>
          <w:sz w:val="22"/>
        </w:rPr>
        <w:t xml:space="preserve">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pPr>
        <w:spacing w:after="100"/>
        <w:ind w:firstLine="420"/>
      </w:pPr>
      <w:r>
        <w:rPr>
          <w:rFonts w:ascii="宋体" w:hAnsi="宋体"/>
          <w:b/>
          <w:sz w:val="22"/>
        </w:rPr>
        <w:t>状态空间的穷举性。</w:t>
      </w:r>
      <w:r>
        <w:rPr>
          <w:rFonts w:ascii="宋体" w:hAnsi="宋体"/>
          <w:sz w:val="22"/>
        </w:rPr>
        <w:t xml:space="preserve">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pPr>
        <w:spacing w:after="100"/>
        <w:ind w:firstLine="420"/>
      </w:pPr>
      <w:r>
        <w:rPr>
          <w:rFonts w:ascii="宋体" w:hAnsi="宋体"/>
          <w:b/>
          <w:sz w:val="22"/>
        </w:rPr>
        <w:t>关系网络的先验性。</w:t>
      </w:r>
      <w:r>
        <w:rPr>
          <w:rFonts w:ascii="宋体" w:hAnsi="宋体"/>
          <w:sz w:val="22"/>
        </w:rPr>
        <w:t xml:space="preserve">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pPr>
        <w:spacing w:after="100"/>
        <w:ind w:firstLine="420"/>
      </w:pPr>
      <w:r>
        <w:rPr>
          <w:rFonts w:ascii="宋体" w:hAnsi="宋体"/>
          <w:sz w:val="22"/>
        </w:rPr>
        <w:t>从计算理论的视角看，《易经》具有以下特征：它是一个精巧设计的</w:t>
      </w:r>
      <w:r>
        <w:rPr>
          <w:rFonts w:ascii="宋体" w:hAnsi="宋体"/>
          <w:b/>
          <w:sz w:val="22"/>
        </w:rPr>
        <w:t>6-bit 向量空间上的关系代数</w:t>
      </w:r>
      <w:r>
        <w:rPr>
          <w:rFonts w:ascii="宋体" w:hAnsi="宋体"/>
          <w:sz w:val="22"/>
        </w:rPr>
        <w:t>。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pPr>
        <w:spacing w:before="120" w:after="120"/>
        <w:ind w:firstLine="0"/>
      </w:pPr>
      <w:r>
        <w:rPr>
          <w:color w:val="969696"/>
          <w:sz w:val="18"/>
        </w:rPr>
        <w:t>——————————————————————————————</w:t>
      </w:r>
    </w:p>
    <w:p>
      <w:pPr>
        <w:spacing w:before="280" w:after="160"/>
      </w:pPr>
      <w:r>
        <w:rPr>
          <w:rFonts w:ascii="黑体" w:hAnsi="黑体"/>
          <w:b/>
          <w:sz w:val="28"/>
        </w:rPr>
        <w:t>1.2.5 本章小结与下一章预览</w:t>
      </w:r>
    </w:p>
    <w:p>
      <w:pPr>
        <w:spacing w:after="100"/>
        <w:ind w:firstLine="420"/>
      </w:pPr>
      <w:r>
        <w:rPr>
          <w:rFonts w:ascii="宋体" w:hAnsi="宋体"/>
          <w:sz w:val="22"/>
        </w:rP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pPr>
        <w:spacing w:after="100"/>
        <w:ind w:firstLine="420"/>
      </w:pPr>
      <w:r>
        <w:rPr>
          <w:rFonts w:ascii="宋体" w:hAnsi="宋体"/>
          <w:sz w:val="22"/>
        </w:rPr>
        <w:t>下一章（第 2 章）将进入易理研物的第一个核心技术组件：</w:t>
      </w:r>
      <w:r>
        <w:rPr>
          <w:rFonts w:ascii="宋体" w:hAnsi="宋体"/>
          <w:b/>
          <w:sz w:val="22"/>
        </w:rPr>
        <w:t>符号化接地方法</w:t>
      </w:r>
      <w:r>
        <w:rPr>
          <w:rFonts w:ascii="宋体" w:hAnsi="宋体"/>
          <w:sz w:val="22"/>
        </w:rPr>
        <w:t>。我们将详细展示 YLYW 如何将连续物理量通过八卦隶属度映射为符号表征——在不丢失连续信息的前提下实现"从物理世界到符号空间"的桥梁。</w:t>
      </w:r>
    </w:p>
    <w:p>
      <w:pPr>
        <w:spacing w:before="120" w:after="120"/>
        <w:ind w:firstLine="0"/>
      </w:pPr>
      <w:r>
        <w:rPr>
          <w:color w:val="969696"/>
          <w:sz w:val="18"/>
        </w:rPr>
        <w:t>——————————————————————————————</w:t>
      </w:r>
    </w:p>
    <w:p>
      <w:pPr>
        <w:spacing w:after="100"/>
        <w:ind w:firstLine="420"/>
      </w:pPr>
      <w:r>
        <w:rPr>
          <w:rFonts w:ascii="宋体" w:hAnsi="宋体"/>
          <w:sz w:val="22"/>
        </w:rPr>
        <w:t>*本节完。下一节：第 2 章 八卦隶属度：符号化接地方法。*</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