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ind w:firstLine="420"/>
      </w:pPr>
      <w:r>
        <w:rPr>
          <w:rFonts w:ascii="宋体" w:hAnsi="宋体"/>
          <w:sz w:val="22"/>
        </w:rPr>
        <w:t>前两节完成了两个关键论证：《易经》具有可计算的知识结构（1.1），以及从符号先验到通用智能的工程路径具有独特的学术价值（1.2）。在这些论证之上，易理研物还承载着几个更根本的哲学命题——它们不是可有可无的"文化包装"，而是直接决定了系统架构的设计选择、安全机制的实现方式、以及本书所描绘的AGI愿景的形态。</w:t>
      </w:r>
    </w:p>
    <w:p>
      <w:pPr>
        <w:spacing w:after="100"/>
        <w:ind w:firstLine="420"/>
      </w:pPr>
      <w:r>
        <w:rPr>
          <w:rFonts w:ascii="宋体" w:hAnsi="宋体"/>
          <w:sz w:val="22"/>
        </w:rPr>
        <w:t>本节逐一阐明这四个命题。</w:t>
      </w:r>
    </w:p>
    <w:p>
      <w:pPr>
        <w:spacing w:before="120" w:after="120"/>
        <w:ind w:firstLine="0"/>
      </w:pPr>
      <w:r>
        <w:rPr>
          <w:color w:val="969696"/>
          <w:sz w:val="18"/>
        </w:rPr>
        <w:t>——————————————————————————————</w:t>
      </w:r>
    </w:p>
    <w:p>
      <w:pPr>
        <w:spacing w:before="280" w:after="160"/>
      </w:pPr>
      <w:r>
        <w:rPr>
          <w:rFonts w:ascii="黑体" w:hAnsi="黑体"/>
          <w:b/>
          <w:sz w:val="28"/>
        </w:rPr>
        <w:t>1.3.1 "道器合一"的智能观：形而上法则→形而下算法的直接编码</w:t>
      </w:r>
    </w:p>
    <w:p>
      <w:pPr>
        <w:spacing w:after="100"/>
        <w:ind w:firstLine="420"/>
      </w:pPr>
      <w:r>
        <w:rPr>
          <w:rFonts w:ascii="宋体" w:hAnsi="宋体"/>
          <w:sz w:val="22"/>
        </w:rPr>
        <w:t>"道器合一"是中国哲学中关于"形而上"与"形而下"之关系的经典命题。"形而上者谓之道，形而下者谓之器"——道是无形的法则，器是有形的实体。传统解读中，道与器之间有不可逾越的层级鸿沟：道不能直接成为器，器也不能完全体现道。</w:t>
      </w:r>
    </w:p>
    <w:p>
      <w:pPr>
        <w:spacing w:after="100"/>
        <w:ind w:firstLine="420"/>
      </w:pPr>
      <w:r>
        <w:rPr>
          <w:rFonts w:ascii="宋体" w:hAnsi="宋体"/>
          <w:sz w:val="22"/>
        </w:rPr>
        <w:t>易理研物提出了一种逆向的解读——并将这一解读工程化。</w:t>
      </w:r>
    </w:p>
    <w:p>
      <w:pPr>
        <w:spacing w:after="100"/>
        <w:ind w:firstLine="420"/>
      </w:pPr>
      <w:r>
        <w:rPr>
          <w:rFonts w:ascii="宋体" w:hAnsi="宋体"/>
          <w:b/>
          <w:sz w:val="22"/>
        </w:rPr>
        <w:t>道与器的"直通"假设。</w:t>
      </w:r>
      <w:r>
        <w:rPr>
          <w:rFonts w:ascii="宋体" w:hAnsi="宋体"/>
          <w:sz w:val="22"/>
        </w:rPr>
        <w:t xml:space="preserve"> YLYW的核心信念是：形而上的变化法则可以</w:t>
      </w:r>
      <w:r>
        <w:rPr>
          <w:rFonts w:ascii="宋体" w:hAnsi="宋体"/>
          <w:b/>
          <w:sz w:val="22"/>
        </w:rPr>
        <w:t>无损地</w:t>
      </w:r>
      <w:r>
        <w:rPr>
          <w:rFonts w:ascii="宋体" w:hAnsi="宋体"/>
          <w:sz w:val="22"/>
        </w:rPr>
        <w:t>编码为形而下的算法。这一信念基于以下观察：如果一套变化规则确实具有普适性——如果它描述的是"世界如何运作"的最基本模式——那么它在任何尺度上都应该可以工作。从宇宙洪荒（道）到关节力矩（器），同一套规则应该同样适用。关键在于：不是将"道"翻译为某种模糊的"灵感"或"启发"，而是将其彻底形式化为可计算的算子——隶属度函数、余弦相似度、爻位评分公式——使"道"的执行可以不依赖人的直觉解读，而由计算机精确执行。</w:t>
      </w:r>
    </w:p>
    <w:p>
      <w:pPr>
        <w:spacing w:after="100"/>
        <w:ind w:firstLine="420"/>
      </w:pPr>
      <w:r>
        <w:rPr>
          <w:rFonts w:ascii="宋体" w:hAnsi="宋体"/>
          <w:b/>
          <w:sz w:val="22"/>
        </w:rPr>
        <w:t>工程含义。</w:t>
      </w:r>
      <w:r>
        <w:rPr>
          <w:rFonts w:ascii="宋体" w:hAnsi="宋体"/>
          <w:sz w:val="22"/>
        </w:rPr>
        <w:t xml:space="preserve"> 六十四卦在YLYW中不是作为"文化参考"出现在论文的引言中，而是作为可执行的符号模板出现在L3层。八卦不是作为哲学概念出现在讨论部分，而是作为8个6维隶属度原型出现在L1层。"乘承比应当位得中"不是在文献综述中被引用，而是作为5个可计算算子出现在L3+层的伪代码中。这种"道器直通"决定了YLYW架构的一个深层特征：</w:t>
      </w:r>
      <w:r>
        <w:rPr>
          <w:rFonts w:ascii="宋体" w:hAnsi="宋体"/>
          <w:b/>
          <w:sz w:val="22"/>
        </w:rPr>
        <w:t>每一步推理都可以追溯到具体的易理概念</w:t>
      </w:r>
      <w:r>
        <w:rPr>
          <w:rFonts w:ascii="宋体" w:hAnsi="宋体"/>
          <w:sz w:val="22"/>
        </w:rPr>
        <w:t>——不是事后解释，而是结构本身就携带了语义。</w:t>
      </w:r>
    </w:p>
    <w:p>
      <w:pPr>
        <w:spacing w:before="120" w:after="120"/>
        <w:ind w:firstLine="0"/>
      </w:pPr>
      <w:r>
        <w:rPr>
          <w:color w:val="969696"/>
          <w:sz w:val="18"/>
        </w:rPr>
        <w:t>——————————————————————————————</w:t>
      </w:r>
    </w:p>
    <w:p>
      <w:pPr>
        <w:spacing w:before="280" w:after="160"/>
      </w:pPr>
      <w:r>
        <w:rPr>
          <w:rFonts w:ascii="黑体" w:hAnsi="黑体"/>
          <w:b/>
          <w:sz w:val="28"/>
        </w:rPr>
        <w:t>1.3.2 "感应"而非"控制"：东方认知模式的工程转译</w:t>
      </w:r>
    </w:p>
    <w:p>
      <w:pPr>
        <w:spacing w:after="100"/>
        <w:ind w:firstLine="420"/>
      </w:pPr>
      <w:r>
        <w:rPr>
          <w:rFonts w:ascii="宋体" w:hAnsi="宋体"/>
          <w:sz w:val="22"/>
        </w:rPr>
        <w:t>西方科学传统中的智能范式倾向于"控制"：智能体感知环境、建立模型、规划最优路径、执行精确控制。这是一种"主体→客体"的单向支配模型。当这一模型被移植到人工智能中时，产生了我们熟知的框架：感知→模型预测→动作规划→PID控制。</w:t>
      </w:r>
    </w:p>
    <w:p>
      <w:pPr>
        <w:spacing w:after="100"/>
        <w:ind w:firstLine="420"/>
      </w:pPr>
      <w:r>
        <w:rPr>
          <w:rFonts w:ascii="宋体" w:hAnsi="宋体"/>
          <w:sz w:val="22"/>
        </w:rPr>
        <w:t>东方传统提供了一种替代性的认知模式："感应"（Ganying）。它不是主体对客体的单方面支配，而是</w:t>
      </w:r>
      <w:r>
        <w:rPr>
          <w:rFonts w:ascii="宋体" w:hAnsi="宋体"/>
          <w:b/>
          <w:sz w:val="22"/>
        </w:rPr>
        <w:t>主体与客体之间的相互响应</w:t>
      </w:r>
      <w:r>
        <w:rPr>
          <w:rFonts w:ascii="宋体" w:hAnsi="宋体"/>
          <w:sz w:val="22"/>
        </w:rPr>
        <w:t>。一面铜锣被敲击而发声，不是因为敲击者"控制"了铜锣，而是因为铜锣与敲击之间产生了"感应"。自然环境的变化并非由某个中心控制器调度，而是万事万物相互感应、自发协调的结果。</w:t>
      </w:r>
    </w:p>
    <w:p>
      <w:pPr>
        <w:spacing w:after="100"/>
        <w:ind w:firstLine="420"/>
      </w:pPr>
      <w:r>
        <w:rPr>
          <w:rFonts w:ascii="宋体" w:hAnsi="宋体"/>
          <w:b/>
          <w:sz w:val="22"/>
        </w:rPr>
        <w:t>工程转译。</w:t>
      </w:r>
      <w:r>
        <w:rPr>
          <w:rFonts w:ascii="宋体" w:hAnsi="宋体"/>
          <w:sz w:val="22"/>
        </w:rPr>
        <w:t xml:space="preserve"> YLYW的模糊隶属度匹配在结构上更接近"感应"而非"控制"：</w:t>
      </w:r>
    </w:p>
    <w:p>
      <w:pPr>
        <w:spacing w:after="100"/>
        <w:ind w:left="680"/>
      </w:pPr>
      <w:r>
        <w:rPr>
          <w:rFonts w:ascii="宋体" w:hAnsi="宋体"/>
          <w:sz w:val="22"/>
        </w:rPr>
        <w:t xml:space="preserve">•  </w:t>
      </w:r>
      <w:r>
        <w:rPr>
          <w:rFonts w:ascii="宋体" w:hAnsi="宋体"/>
          <w:sz w:val="22"/>
        </w:rPr>
        <w:t>"控制"模式：物体特征为X → 计算最优抓取力 = f(X) → 执行f(X)</w:t>
      </w:r>
    </w:p>
    <w:p>
      <w:pPr>
        <w:spacing w:after="100"/>
        <w:ind w:left="680"/>
      </w:pPr>
      <w:r>
        <w:rPr>
          <w:rFonts w:ascii="宋体" w:hAnsi="宋体"/>
          <w:sz w:val="22"/>
        </w:rPr>
        <w:t xml:space="preserve">•  </w:t>
      </w:r>
      <w:r>
        <w:rPr>
          <w:rFonts w:ascii="宋体" w:hAnsi="宋体"/>
          <w:sz w:val="22"/>
        </w:rPr>
        <w:t>"感应"模式：物体特征≈乾卦0.85 → 乾卦"感应"到该物体 → 乾卦的强力抓取策略被"唤醒" → 执行中再根据爻位关系微调</w:t>
      </w:r>
    </w:p>
    <w:p>
      <w:pPr>
        <w:spacing w:after="100"/>
        <w:ind w:firstLine="420"/>
      </w:pPr>
      <w:r>
        <w:rPr>
          <w:rFonts w:ascii="宋体" w:hAnsi="宋体"/>
          <w:sz w:val="22"/>
        </w:rPr>
        <w:t>在"控制"模式中，系统是在"计算"动作。在"感应"模式中，系统是在"匹配"情境——找到与当前状态最"感应"的卦象原型，并激活该卦象的策略。这不是语义上的文字游戏。"计算"需要精确的输入→输出的函数映射。"匹配"只需要相似度的排序——系统不需要知道"为什么"乾卦对应强力抓取（它来自卦辞的语义赋值），只需要知道"当物体像乾卦时，用强力抓取"。</w:t>
      </w:r>
    </w:p>
    <w:p>
      <w:pPr>
        <w:spacing w:after="100"/>
        <w:ind w:firstLine="420"/>
      </w:pPr>
      <w:r>
        <w:rPr>
          <w:rFonts w:ascii="宋体" w:hAnsi="宋体"/>
          <w:sz w:val="22"/>
        </w:rPr>
        <w:t>这种"感应"模式的工程优势在于：</w:t>
      </w:r>
      <w:r>
        <w:rPr>
          <w:rFonts w:ascii="宋体" w:hAnsi="宋体"/>
          <w:b/>
          <w:sz w:val="22"/>
        </w:rPr>
        <w:t>它降低了对精确建模的需求</w:t>
      </w:r>
      <w:r>
        <w:rPr>
          <w:rFonts w:ascii="宋体" w:hAnsi="宋体"/>
          <w:sz w:val="22"/>
        </w:rPr>
        <w:t>。你不必知道物体的精确质量、精确重心、精确摩擦系数——你只需要知道它在6维爻空间中"像"哪个卦象，就获得了该卦象的策略指南。这对传感器贫瘠条件下的鲁棒性至关重要（见第6.8节学灵通8051实验）。</w:t>
      </w:r>
    </w:p>
    <w:p>
      <w:pPr>
        <w:spacing w:before="120" w:after="120"/>
        <w:ind w:firstLine="0"/>
      </w:pPr>
      <w:r>
        <w:rPr>
          <w:color w:val="969696"/>
          <w:sz w:val="18"/>
        </w:rPr>
        <w:t>——————————————————————————————</w:t>
      </w:r>
    </w:p>
    <w:p>
      <w:pPr>
        <w:spacing w:before="280" w:after="160"/>
      </w:pPr>
      <w:r>
        <w:rPr>
          <w:rFonts w:ascii="黑体" w:hAnsi="黑体"/>
          <w:b/>
          <w:sz w:val="28"/>
        </w:rPr>
        <w:t>1.3.3 "物极必反"作为系统动力学的原始模型</w:t>
      </w:r>
    </w:p>
    <w:p>
      <w:pPr>
        <w:spacing w:after="100"/>
        <w:ind w:firstLine="420"/>
      </w:pPr>
      <w:r>
        <w:rPr>
          <w:rFonts w:ascii="宋体" w:hAnsi="宋体"/>
          <w:sz w:val="22"/>
        </w:rPr>
        <w:t>"物极必反"——当事物发展到极端时，必然向相反方向转化——是《易经》最核心的动态原理之一。《周易》中这一原理有多种表达："亢龙有悔"（乾卦上九——飞得太高就要后悔）、"否极泰来"（否卦发展到极端转变为泰卦）、"无平不陂，无往不复"（泰卦九三——平坦必转倾斜，离去必转归来）。</w:t>
      </w:r>
    </w:p>
    <w:p>
      <w:pPr>
        <w:spacing w:after="100"/>
        <w:ind w:firstLine="420"/>
      </w:pPr>
      <w:r>
        <w:rPr>
          <w:rFonts w:ascii="宋体" w:hAnsi="宋体"/>
          <w:sz w:val="22"/>
        </w:rPr>
        <w:t>从现代非线性动力学的视角看，"物极必反"具有精确的数学对应：</w:t>
      </w:r>
      <w:r>
        <w:rPr>
          <w:rFonts w:ascii="宋体" w:hAnsi="宋体"/>
          <w:b/>
          <w:sz w:val="22"/>
        </w:rPr>
        <w:t>控制参数越过临界值导致系统的定性行为发生突然转变</w:t>
      </w:r>
      <w:r>
        <w:rPr>
          <w:rFonts w:ascii="宋体" w:hAnsi="宋体"/>
          <w:sz w:val="22"/>
        </w:rPr>
        <w:t>——即"分岔"（Bifurcation）。在倒立摆中，摆角超过恢复力矩的有效范围时，系统从"直立稳定"变为"倾倒"。在抓取中，抓取力超过物体的破坏阈值时，系统状态从"正常操作"变为"物体损坏"。</w:t>
      </w:r>
    </w:p>
    <w:p>
      <w:pPr>
        <w:spacing w:after="100"/>
        <w:ind w:firstLine="420"/>
      </w:pPr>
      <w:r>
        <w:rPr>
          <w:rFonts w:ascii="宋体" w:hAnsi="宋体"/>
          <w:b/>
          <w:sz w:val="22"/>
        </w:rPr>
        <w:t>工程实现。</w:t>
      </w:r>
      <w:r>
        <w:rPr>
          <w:rFonts w:ascii="宋体" w:hAnsi="宋体"/>
          <w:sz w:val="22"/>
        </w:rPr>
        <w:t xml:space="preserve"> YLYW将"物极必反"编码为三个层面的工程机制：</w:t>
      </w:r>
    </w:p>
    <w:p>
      <w:pPr>
        <w:spacing w:after="100"/>
        <w:ind w:left="680"/>
      </w:pPr>
      <w:r>
        <w:rPr>
          <w:rFonts w:ascii="宋体" w:hAnsi="宋体"/>
          <w:sz w:val="22"/>
        </w:rPr>
        <w:t xml:space="preserve">1. </w:t>
      </w:r>
      <w:r>
        <w:rPr>
          <w:rFonts w:ascii="宋体" w:hAnsi="宋体"/>
          <w:b/>
          <w:sz w:val="22"/>
        </w:rPr>
        <w:t>隶属度层面</w:t>
      </w:r>
      <w:r>
        <w:rPr>
          <w:rFonts w:ascii="宋体" w:hAnsi="宋体"/>
          <w:sz w:val="22"/>
        </w:rPr>
        <w:t>：当一个维度的隶属度逼近极端值（≥0.90或≤0.10）时，系统标记该维度为"老阳/老阴"，触发对该维度的高度警觉。</w:t>
      </w:r>
    </w:p>
    <w:p>
      <w:pPr>
        <w:spacing w:after="100"/>
        <w:ind w:left="680"/>
      </w:pPr>
      <w:r>
        <w:rPr>
          <w:rFonts w:ascii="宋体" w:hAnsi="宋体"/>
          <w:sz w:val="22"/>
        </w:rPr>
        <w:t xml:space="preserve">2. </w:t>
      </w:r>
      <w:r>
        <w:rPr>
          <w:rFonts w:ascii="宋体" w:hAnsi="宋体"/>
          <w:b/>
          <w:sz w:val="22"/>
        </w:rPr>
        <w:t>变卦层面</w:t>
      </w:r>
      <w:r>
        <w:rPr>
          <w:rFonts w:ascii="宋体" w:hAnsi="宋体"/>
          <w:sz w:val="22"/>
        </w:rPr>
        <w:t>：当六爻中多个维度同时处于极端值时，系统预判即将发生卦象切换——当前策略不应再持续，需要切换到备选卦象（Top-3卦象中的下一个）。</w:t>
      </w:r>
    </w:p>
    <w:p>
      <w:pPr>
        <w:spacing w:after="100"/>
        <w:ind w:left="680"/>
      </w:pPr>
      <w:r>
        <w:rPr>
          <w:rFonts w:ascii="宋体" w:hAnsi="宋体"/>
          <w:sz w:val="22"/>
        </w:rPr>
        <w:t xml:space="preserve">3. </w:t>
      </w:r>
      <w:r>
        <w:rPr>
          <w:rFonts w:ascii="宋体" w:hAnsi="宋体"/>
          <w:b/>
          <w:sz w:val="22"/>
        </w:rPr>
        <w:t>安全层面</w:t>
      </w:r>
      <w:r>
        <w:rPr>
          <w:rFonts w:ascii="宋体" w:hAnsi="宋体"/>
          <w:sz w:val="22"/>
        </w:rPr>
        <w:t>：安全八卦通过加权违规公式在二爻（破坏风险）和上爻（穿透风险）逼近极端值时，自动将安全等级从WARNING提升至DANGER/CRITICAL，强制降力或急停。</w:t>
      </w:r>
    </w:p>
    <w:p>
      <w:pPr>
        <w:spacing w:after="100"/>
        <w:ind w:firstLine="420"/>
      </w:pPr>
      <w:r>
        <w:rPr>
          <w:rFonts w:ascii="宋体" w:hAnsi="宋体"/>
          <w:sz w:val="22"/>
        </w:rPr>
        <w:t>第4.4.3节报告的推搡恢复实验是"物极必反"在工程中的生动演示：当推搡（300N侧向力）将姿态稳定性推向"老阴"（爻值≈0）时，系统自动将卦象从"火风鼎"（正常行走）切换到"坎为水"（恢复步态），再从"地雷复"（恢复）逐步过渡到"泽雷随"（正常行走）——完整经历了"极→反→复→常"的过程。</w:t>
      </w:r>
    </w:p>
    <w:p>
      <w:pPr>
        <w:spacing w:before="120" w:after="120"/>
        <w:ind w:firstLine="0"/>
      </w:pPr>
      <w:r>
        <w:rPr>
          <w:color w:val="969696"/>
          <w:sz w:val="18"/>
        </w:rPr>
        <w:t>——————————————————————————————</w:t>
      </w:r>
    </w:p>
    <w:p>
      <w:pPr>
        <w:spacing w:before="280" w:after="160"/>
      </w:pPr>
      <w:r>
        <w:rPr>
          <w:rFonts w:ascii="黑体" w:hAnsi="黑体"/>
          <w:b/>
          <w:sz w:val="28"/>
        </w:rPr>
        <w:t>1.3.4 "履霜坚冰至"作为安全哲学的根基</w:t>
      </w:r>
    </w:p>
    <w:p>
      <w:pPr>
        <w:spacing w:after="100"/>
        <w:ind w:firstLine="420"/>
      </w:pPr>
      <w:r>
        <w:rPr>
          <w:rFonts w:ascii="宋体" w:hAnsi="宋体"/>
          <w:sz w:val="22"/>
        </w:rPr>
        <w:t>&gt; "履霜，坚冰至。""臣弑其君，子弑其父，非一朝一夕之故，其所由来者渐矣。"</w:t>
      </w:r>
    </w:p>
    <w:p>
      <w:pPr>
        <w:spacing w:after="100"/>
        <w:ind w:firstLine="420"/>
      </w:pPr>
      <w:r>
        <w:rPr>
          <w:rFonts w:ascii="宋体" w:hAnsi="宋体"/>
          <w:sz w:val="22"/>
        </w:rPr>
        <w:t>这是坤卦初六的爻辞。它的核心洞见是：</w:t>
      </w:r>
      <w:r>
        <w:rPr>
          <w:rFonts w:ascii="宋体" w:hAnsi="宋体"/>
          <w:b/>
          <w:sz w:val="22"/>
        </w:rPr>
        <w:t>灾难性的失败从来不是突然发生的——它们是由无数微小的偏差逐渐积累而成的。</w:t>
      </w:r>
      <w:r>
        <w:rPr>
          <w:rFonts w:ascii="宋体" w:hAnsi="宋体"/>
          <w:sz w:val="22"/>
        </w:rPr>
        <w:t xml:space="preserve"> 踩到霜的时候，就要预见到坚冰将至。臣子弑君、儿子弑父，不是哪天突然爆发的——而是长期的不满、怨恨和失衡的渐进累积。</w:t>
      </w:r>
    </w:p>
    <w:p>
      <w:pPr>
        <w:spacing w:after="100"/>
        <w:ind w:firstLine="420"/>
      </w:pPr>
      <w:r>
        <w:rPr>
          <w:rFonts w:ascii="宋体" w:hAnsi="宋体"/>
          <w:sz w:val="22"/>
        </w:rPr>
        <w:t>这一原理决定了YLYW安全架构（第5章）的根本设计哲学。</w:t>
      </w:r>
    </w:p>
    <w:p>
      <w:pPr>
        <w:spacing w:after="100"/>
        <w:ind w:firstLine="420"/>
      </w:pPr>
      <w:r>
        <w:rPr>
          <w:rFonts w:ascii="宋体" w:hAnsi="宋体"/>
          <w:b/>
          <w:sz w:val="22"/>
        </w:rPr>
        <w:t>渐进式安全响应。</w:t>
      </w:r>
      <w:r>
        <w:rPr>
          <w:rFonts w:ascii="宋体" w:hAnsi="宋体"/>
          <w:sz w:val="22"/>
        </w:rPr>
        <w:t xml:space="preserve"> 安全八卦定义了五级安全等级——SAFE→CAUTION→WARNING→DANGER→CRITICAL——其核心理念是：</w:t>
      </w:r>
      <w:r>
        <w:rPr>
          <w:rFonts w:ascii="宋体" w:hAnsi="宋体"/>
          <w:b/>
          <w:sz w:val="22"/>
        </w:rPr>
        <w:t>安全干预的力度随风险的渐进累积而逐步升级</w:t>
      </w:r>
      <w:r>
        <w:rPr>
          <w:rFonts w:ascii="宋体" w:hAnsi="宋体"/>
          <w:sz w:val="22"/>
        </w:rPr>
        <w:t>。系统不会等到"坚冰"（CRITICAL）才做出反应——它在"霜"（CAUTION/WARNING）的阶段就开始介入。当二爻（破坏风险）的隶属度仅略低于阈值时，安全八卦输出CAUTION（力修正×0.95，速度−10%）。当两条以上的安全爻同时违规时，安全等级升至DANGER（力修正×0.60，速度−40%，请求人工确认）。仅当加权违规数超过5.0时，系统才触发CRITICAL（紧急停机）。</w:t>
      </w:r>
    </w:p>
    <w:p>
      <w:pPr>
        <w:spacing w:after="100"/>
        <w:ind w:firstLine="420"/>
      </w:pPr>
      <w:r>
        <w:rPr>
          <w:rFonts w:ascii="宋体" w:hAnsi="宋体"/>
          <w:sz w:val="22"/>
        </w:rPr>
        <w:t>这与传统安全方案形成了根本性对比。在传统方法中，安全通常是一个</w:t>
      </w:r>
      <w:r>
        <w:rPr>
          <w:rFonts w:ascii="宋体" w:hAnsi="宋体"/>
          <w:b/>
          <w:sz w:val="22"/>
        </w:rPr>
        <w:t>硬阈值开关</w:t>
      </w:r>
      <w:r>
        <w:rPr>
          <w:rFonts w:ascii="宋体" w:hAnsi="宋体"/>
          <w:sz w:val="22"/>
        </w:rPr>
        <w:t>——力超过某个上限就停机，姿态超过某个角度就急停。这种"二值安全"的问题在于：它只能应对已经发生的危险，无法在危险累积的过程中进行渐进式的干预。而且，硬阈值总是面临"设得太高→危险不触发"和"设得太低→频繁误触发"的两难困境。</w:t>
      </w:r>
    </w:p>
    <w:p>
      <w:pPr>
        <w:spacing w:after="100"/>
        <w:ind w:firstLine="420"/>
      </w:pPr>
      <w:r>
        <w:rPr>
          <w:rFonts w:ascii="宋体" w:hAnsi="宋体"/>
          <w:b/>
          <w:sz w:val="22"/>
        </w:rPr>
        <w:t>安全内建而非安全外挂。</w:t>
      </w:r>
      <w:r>
        <w:rPr>
          <w:rFonts w:ascii="宋体" w:hAnsi="宋体"/>
          <w:sz w:val="22"/>
        </w:rPr>
        <w:t xml:space="preserve"> "履霜坚冰至"还蕴含了更深层的设计含义：安全不应该是一个独立于系统认知的外部模块（在发生危险时"断电"），而应该与系统的认知推理机制同构——</w:t>
      </w:r>
      <w:r>
        <w:rPr>
          <w:rFonts w:ascii="宋体" w:hAnsi="宋体"/>
          <w:b/>
          <w:sz w:val="22"/>
        </w:rPr>
        <w:t>使用同样的三层架构、同样的六爻编码、同样的六十四卦状态空间</w:t>
      </w:r>
      <w:r>
        <w:rPr>
          <w:rFonts w:ascii="宋体" w:hAnsi="宋体"/>
          <w:sz w:val="22"/>
        </w:rPr>
        <w:t>。在YLYW中，安全八卦不是策略八卦之后的一个"安全检查步骤"。它是一个完全并行的、在同一个符号框架内运行的、具有同等计算能力的第二通道。它和策略八卦在同一时刻处理同一批数据，但它关心的是不同的问题：策略八卦问"最优动作是什么"，安全八卦问"这个动作是安全的吗"。</w:t>
      </w:r>
    </w:p>
    <w:p>
      <w:pPr>
        <w:spacing w:after="100"/>
        <w:ind w:firstLine="420"/>
      </w:pPr>
      <w:r>
        <w:rPr>
          <w:rFonts w:ascii="宋体" w:hAnsi="宋体"/>
          <w:sz w:val="22"/>
        </w:rPr>
        <w:t>这种"安全的认知化"使得安全干预不是粗暴的终止，而是</w:t>
      </w:r>
      <w:r>
        <w:rPr>
          <w:rFonts w:ascii="宋体" w:hAnsi="宋体"/>
          <w:b/>
          <w:sz w:val="22"/>
        </w:rPr>
        <w:t>有语义的修正</w:t>
      </w:r>
      <w:r>
        <w:rPr>
          <w:rFonts w:ascii="宋体" w:hAnsi="宋体"/>
          <w:sz w:val="22"/>
        </w:rPr>
        <w:t>——安全八卦输出的是"通过六十四卦安全状态空间推断出的安全等级和力修正系数"，其推理过程与策略八卦的推理过程使用的是同一套符号语言。这确保了安全干预在结构上是"自然的"——它在艮卦（静止如山）里停工，在复卦（恢复）里重新启动——而非通过一个外部的if-then紧急停止。</w:t>
      </w:r>
    </w:p>
    <w:p>
      <w:pPr>
        <w:spacing w:before="120" w:after="120"/>
        <w:ind w:firstLine="0"/>
      </w:pPr>
      <w:r>
        <w:rPr>
          <w:color w:val="969696"/>
          <w:sz w:val="18"/>
        </w:rPr>
        <w:t>——————————————————————————————</w:t>
      </w:r>
    </w:p>
    <w:p>
      <w:pPr>
        <w:spacing w:before="280" w:after="160"/>
      </w:pPr>
      <w:r>
        <w:rPr>
          <w:rFonts w:ascii="黑体" w:hAnsi="黑体"/>
          <w:b/>
          <w:sz w:val="28"/>
        </w:rPr>
        <w:t>1.4 本书的方法论承诺</w:t>
      </w:r>
    </w:p>
    <w:p>
      <w:pPr>
        <w:spacing w:after="100"/>
        <w:ind w:firstLine="420"/>
      </w:pPr>
      <w:r>
        <w:rPr>
          <w:rFonts w:ascii="宋体" w:hAnsi="宋体"/>
          <w:sz w:val="22"/>
        </w:rPr>
        <w:t>在这一章的最后，我们做出本书的四个方法论承诺。这些承诺定义了全书的核心标准——每一章的内容必须满足这四条标准，否则不能称之为"易理研物"。</w:t>
      </w:r>
    </w:p>
    <w:p>
      <w:pPr>
        <w:spacing w:after="100"/>
        <w:ind w:firstLine="420"/>
      </w:pPr>
      <w:r>
        <w:rPr>
          <w:rFonts w:ascii="宋体" w:hAnsi="宋体"/>
          <w:b/>
          <w:sz w:val="22"/>
        </w:rPr>
        <w:t>承诺一：可计算。</w:t>
      </w:r>
      <w:r>
        <w:rPr>
          <w:rFonts w:ascii="宋体" w:hAnsi="宋体"/>
          <w:sz w:val="22"/>
        </w:rPr>
        <w:t xml:space="preserve"> 本书中出现的每一个易理概念，必须有对应的数学公式或算法伪代码。"感应"不是模糊的哲学概念，它被编码为"余弦相似度匹配→激活卦象策略"的计算流程。"物极必反"不是格言背诵，它被编码为"隶属度≥0.90→标记老阳→触发变卦预判"的条件分支。如果某个易理概念在当前阶段还无法被形式化，我们将诚实地将其标注为"开放问题"（第10章），而非用模糊的语言来绕过。</w:t>
      </w:r>
    </w:p>
    <w:p>
      <w:pPr>
        <w:spacing w:after="100"/>
        <w:ind w:firstLine="420"/>
      </w:pPr>
      <w:r>
        <w:rPr>
          <w:rFonts w:ascii="宋体" w:hAnsi="宋体"/>
          <w:b/>
          <w:sz w:val="22"/>
        </w:rPr>
        <w:t>承诺二：可验证。</w:t>
      </w:r>
      <w:r>
        <w:rPr>
          <w:rFonts w:ascii="宋体" w:hAnsi="宋体"/>
          <w:sz w:val="22"/>
        </w:rPr>
        <w:t xml:space="preserve"> 本书中提出的每一个设计选择，必须通过实验验证其独立贡献。卦象-策略映射是否携带真实的物理先验知识？消融实验A证明：随机打乱后性能从64%降至30%（+34%）。连续隶属度是否优于硬阈值？消融实验B证明：替换后性能从64%降至41%（+23%）。三层架构是否每一层都必要？消融实验C证明：移除L1+L2后性能降12.7%。全书共报告了超过10组消融实验，覆盖了从L1到安全八卦的每个模块。任何设计选择的声明都伴随一个量化归因。</w:t>
      </w:r>
    </w:p>
    <w:p>
      <w:pPr>
        <w:spacing w:after="100"/>
        <w:ind w:firstLine="420"/>
      </w:pPr>
      <w:r>
        <w:rPr>
          <w:rFonts w:ascii="宋体" w:hAnsi="宋体"/>
          <w:b/>
          <w:sz w:val="22"/>
        </w:rPr>
        <w:t>承诺三：可追溯。</w:t>
      </w:r>
      <w:r>
        <w:rPr>
          <w:rFonts w:ascii="宋体" w:hAnsi="宋体"/>
          <w:sz w:val="22"/>
        </w:rPr>
        <w:t xml:space="preserve"> 每一次推理决策必须能追溯到具体的卦名、爻位或物理公式。当系统输出"对球体施加dynamic_grasp，力0.55，速度fast"时，我们可以逐层追溯：球体的L1隶属度→L2六爻值→L3匹配到的震为雷（䷲）→震卦的策略语义"动态抓取"→爻位关系分析给出力修正0.90→安全八卦给出力修正×0.80→最终力0.55。这个推理链的每个节点都有明确的语义——不需要"打开黑箱"。</w:t>
      </w:r>
    </w:p>
    <w:p>
      <w:pPr>
        <w:spacing w:after="100"/>
        <w:ind w:firstLine="420"/>
      </w:pPr>
      <w:r>
        <w:rPr>
          <w:rFonts w:ascii="宋体" w:hAnsi="宋体"/>
          <w:b/>
          <w:sz w:val="22"/>
        </w:rPr>
        <w:t>承诺四：可扩展。</w:t>
      </w:r>
      <w:r>
        <w:rPr>
          <w:rFonts w:ascii="宋体" w:hAnsi="宋体"/>
          <w:sz w:val="22"/>
        </w:rPr>
        <w:t xml:space="preserve"> 架构的设计不依赖特定硬件、特定任务或特定传感器配置。同一套L1→L2→L3架构在五个域（物理/运动/视觉/语言/书法）、两种仿真引擎（PyBullet/MuJoCo）、一个8位MCU（8051）上运行，不需要修改架构骨架，仅需替换各层的语义内容。其层次化嵌套版本（第7章）更是将这种可扩展性推到极致——每增加一个子系统，只需增加一个复用相同架构的YLYW模型。</w:t>
      </w:r>
    </w:p>
    <w:p>
      <w:pPr>
        <w:spacing w:before="120" w:after="120"/>
        <w:ind w:firstLine="0"/>
      </w:pPr>
      <w:r>
        <w:rPr>
          <w:color w:val="969696"/>
          <w:sz w:val="18"/>
        </w:rPr>
        <w:t>——————————————————————————————</w:t>
      </w:r>
    </w:p>
    <w:p>
      <w:pPr>
        <w:spacing w:before="280" w:after="160"/>
      </w:pPr>
      <w:r>
        <w:rPr>
          <w:rFonts w:ascii="黑体" w:hAnsi="黑体"/>
          <w:b/>
          <w:sz w:val="28"/>
        </w:rPr>
        <w:t>本章小结</w:t>
      </w:r>
    </w:p>
    <w:p>
      <w:pPr>
        <w:spacing w:after="100"/>
        <w:ind w:firstLine="420"/>
      </w:pPr>
      <w:r>
        <w:rPr>
          <w:rFonts w:ascii="宋体" w:hAnsi="宋体"/>
          <w:sz w:val="22"/>
        </w:rPr>
        <w:t>第1章是全书的总纲。我们完成了三件基础性工作：</w:t>
      </w:r>
    </w:p>
    <w:p>
      <w:pPr>
        <w:spacing w:after="100"/>
        <w:ind w:firstLine="420"/>
      </w:pPr>
      <w:r>
        <w:rPr>
          <w:rFonts w:ascii="宋体" w:hAnsi="宋体"/>
          <w:sz w:val="22"/>
        </w:rPr>
        <w:t>第一，从工程而非神秘主义的视角重新审视了《易经》——推导出它作为一个可计算知识体系的五维结构：紧凑的符号基元、结构化的关系网络、可形式化的动态演化、完备的情境分类学、嵌入的价值判断。</w:t>
      </w:r>
    </w:p>
    <w:p>
      <w:pPr>
        <w:spacing w:after="100"/>
        <w:ind w:firstLine="420"/>
      </w:pPr>
      <w:r>
        <w:rPr>
          <w:rFonts w:ascii="宋体" w:hAnsi="宋体"/>
          <w:sz w:val="22"/>
        </w:rPr>
        <w:t>第二，将易理研物定位为当前AI生态系统中的一个独特学术生态位——不是替代深度学习的数据驱动路径，而是用结构化先验知识填补数据驱动路径的系统性空白——在数据效率、可解释性、物理合规三个维度上提供深度学习和经典符号主义都无法单独提供的优势。</w:t>
      </w:r>
    </w:p>
    <w:p>
      <w:pPr>
        <w:spacing w:after="100"/>
        <w:ind w:firstLine="420"/>
      </w:pPr>
      <w:r>
        <w:rPr>
          <w:rFonts w:ascii="宋体" w:hAnsi="宋体"/>
          <w:sz w:val="22"/>
        </w:rPr>
        <w:t>第三，阐明了支撑整个工程的四个哲学命题："道器合一"的直通信念、"感应非控制"的认知模式、"物极必反"的动态逻辑、"履霜坚冰至"的安全哲学——以及全书的方法论承诺。</w:t>
      </w:r>
    </w:p>
    <w:p>
      <w:pPr>
        <w:spacing w:after="100"/>
        <w:ind w:firstLine="420"/>
      </w:pPr>
      <w:r>
        <w:rPr>
          <w:rFonts w:ascii="宋体" w:hAnsi="宋体"/>
          <w:sz w:val="22"/>
        </w:rPr>
        <w:t>在后续的九章中，我们将逐一展开这�套框架的每个技术组件——从符号化接地（第2章）到架构设计（第3章），从学习机制（第4章）到安全约束（第5章），从跨域实证（第6章）到层次化嵌套（第7章），从范式对比（第8章）到AGI路径（第9章），最后以诚实的局限与开放问题收束（第10章）。</w:t>
      </w:r>
    </w:p>
    <w:p>
      <w:pPr>
        <w:spacing w:before="120" w:after="120"/>
        <w:ind w:firstLine="0"/>
      </w:pPr>
      <w:r>
        <w:rPr>
          <w:color w:val="969696"/>
          <w:sz w:val="18"/>
        </w:rPr>
        <w:t>——————————————————————————————</w:t>
      </w:r>
    </w:p>
    <w:p>
      <w:pPr>
        <w:spacing w:after="100"/>
        <w:ind w:firstLine="420"/>
      </w:pPr>
      <w:r>
        <w:rPr>
          <w:rFonts w:ascii="宋体" w:hAnsi="宋体"/>
          <w:sz w:val="22"/>
        </w:rPr>
        <w:t>*本章完。下一章：八卦隶属度——符号化接地方法。*</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