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spacing w:before="120" w:after="120"/>
        <w:ind w:firstLine="0"/>
      </w:pPr>
      <w:r>
        <w:rPr>
          <w:color w:val="969696"/>
          <w:sz w:val="18"/>
        </w:rPr>
        <w:t>——————————————————————————————</w:t>
      </w:r>
    </w:p>
    <w:p>
      <w:pPr>
        <w:spacing w:before="280" w:after="160"/>
      </w:pPr>
      <w:r>
        <w:rPr>
          <w:rFonts w:ascii="黑体" w:hAnsi="黑体"/>
          <w:b/>
          <w:sz w:val="28"/>
        </w:rPr>
        <w:t>3.5.1 与层次化决策的对比</w:t>
      </w:r>
    </w:p>
    <w:p>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spacing w:after="100"/>
        <w:ind w:firstLine="420"/>
      </w:pPr>
      <w:r>
        <w:rPr>
          <w:rFonts w:ascii="宋体" w:hAnsi="宋体"/>
          <w:b/>
          <w:sz w:val="22"/>
        </w:rPr>
        <w:t>表3.11 YLYW vs HDM</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HDM（PaLM-E/SayCan）</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高层表示</w:t>
            </w:r>
          </w:p>
        </w:tc>
        <w:tc>
          <w:tcPr>
            <w:tcW w:type="dxa" w:w="2878"/>
          </w:tcPr>
          <w:p>
            <w:pPr>
              <w:spacing w:before="40" w:after="40"/>
            </w:pPr>
            <w:r>
              <w:rPr>
                <w:rFonts w:ascii="宋体" w:hAnsi="宋体"/>
                <w:sz w:val="18"/>
              </w:rPr>
              <w:t>自然语言/符号规划</w:t>
            </w:r>
          </w:p>
        </w:tc>
        <w:tc>
          <w:tcPr>
            <w:tcW w:type="dxa" w:w="2878"/>
          </w:tcPr>
          <w:p>
            <w:pPr>
              <w:spacing w:before="40" w:after="40"/>
            </w:pPr>
            <w:r>
              <w:rPr>
                <w:rFonts w:ascii="宋体" w:hAnsi="宋体"/>
                <w:sz w:val="18"/>
              </w:rPr>
              <w:t>八卦隶属度（连续语义）</w:t>
            </w:r>
          </w:p>
        </w:tc>
      </w:tr>
      <w:tr>
        <w:tc>
          <w:tcPr>
            <w:tcW w:type="dxa" w:w="2878"/>
          </w:tcPr>
          <w:p>
            <w:pPr>
              <w:spacing w:before="40" w:after="40"/>
            </w:pPr>
            <w:r>
              <w:rPr>
                <w:rFonts w:ascii="宋体" w:hAnsi="宋体"/>
                <w:sz w:val="18"/>
              </w:rPr>
              <w:t>低层表示</w:t>
            </w:r>
          </w:p>
        </w:tc>
        <w:tc>
          <w:tcPr>
            <w:tcW w:type="dxa" w:w="2878"/>
          </w:tcPr>
          <w:p>
            <w:pPr>
              <w:spacing w:before="40" w:after="40"/>
            </w:pPr>
            <w:r>
              <w:rPr>
                <w:rFonts w:ascii="宋体" w:hAnsi="宋体"/>
                <w:sz w:val="18"/>
              </w:rPr>
              <w:t>轨迹参数（数值）</w:t>
            </w:r>
          </w:p>
        </w:tc>
        <w:tc>
          <w:tcPr>
            <w:tcW w:type="dxa" w:w="2878"/>
          </w:tcPr>
          <w:p>
            <w:pPr>
              <w:spacing w:before="40" w:after="40"/>
            </w:pPr>
            <w:r>
              <w:rPr>
                <w:rFonts w:ascii="宋体" w:hAnsi="宋体"/>
                <w:sz w:val="18"/>
              </w:rPr>
              <w:t>六爻值（语义锚定）</w:t>
            </w:r>
          </w:p>
        </w:tc>
      </w:tr>
      <w:tr>
        <w:tc>
          <w:tcPr>
            <w:tcW w:type="dxa" w:w="2878"/>
          </w:tcPr>
          <w:p>
            <w:pPr>
              <w:spacing w:before="40" w:after="40"/>
            </w:pPr>
            <w:r>
              <w:rPr>
                <w:rFonts w:ascii="宋体" w:hAnsi="宋体"/>
                <w:sz w:val="18"/>
              </w:rPr>
              <w:t>层间翻译</w:t>
            </w:r>
          </w:p>
        </w:tc>
        <w:tc>
          <w:tcPr>
            <w:tcW w:type="dxa" w:w="2878"/>
          </w:tcPr>
          <w:p>
            <w:pPr>
              <w:spacing w:before="40" w:after="40"/>
            </w:pPr>
            <w:r>
              <w:rPr>
                <w:rFonts w:ascii="宋体" w:hAnsi="宋体"/>
                <w:sz w:val="18"/>
              </w:rPr>
              <w:t>运动规划器（黑箱）</w:t>
            </w:r>
          </w:p>
        </w:tc>
        <w:tc>
          <w:tcPr>
            <w:tcW w:type="dxa" w:w="2878"/>
          </w:tcPr>
          <w:p>
            <w:pPr>
              <w:spacing w:before="40" w:after="40"/>
            </w:pPr>
            <w:r>
              <w:rPr>
                <w:rFonts w:ascii="宋体" w:hAnsi="宋体"/>
                <w:sz w:val="18"/>
              </w:rPr>
              <w:t>加权聚合公式（透明）</w:t>
            </w:r>
          </w:p>
        </w:tc>
      </w:tr>
      <w:tr>
        <w:tc>
          <w:tcPr>
            <w:tcW w:type="dxa" w:w="2878"/>
          </w:tcPr>
          <w:p>
            <w:pPr>
              <w:spacing w:before="40" w:after="40"/>
            </w:pPr>
            <w:r>
              <w:rPr>
                <w:rFonts w:ascii="宋体" w:hAnsi="宋体"/>
                <w:sz w:val="18"/>
              </w:rPr>
              <w:t>语义保留</w:t>
            </w:r>
          </w:p>
        </w:tc>
        <w:tc>
          <w:tcPr>
            <w:tcW w:type="dxa" w:w="2878"/>
          </w:tcPr>
          <w:p>
            <w:pPr>
              <w:spacing w:before="40" w:after="40"/>
            </w:pPr>
            <w:r>
              <w:rPr>
                <w:rFonts w:ascii="宋体" w:hAnsi="宋体"/>
                <w:sz w:val="18"/>
              </w:rPr>
              <w:t>损耗（意图→数值）</w:t>
            </w:r>
          </w:p>
        </w:tc>
        <w:tc>
          <w:tcPr>
            <w:tcW w:type="dxa" w:w="2878"/>
          </w:tcPr>
          <w:p>
            <w:pPr>
              <w:spacing w:before="40" w:after="40"/>
            </w:pPr>
            <w:r>
              <w:rPr>
                <w:rFonts w:ascii="宋体" w:hAnsi="宋体"/>
                <w:sz w:val="18"/>
              </w:rPr>
              <w:t>保留（八卦→六爻→卦象）</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大模型预训练</w:t>
            </w:r>
          </w:p>
        </w:tc>
        <w:tc>
          <w:tcPr>
            <w:tcW w:type="dxa" w:w="2878"/>
          </w:tcPr>
          <w:p>
            <w:pPr>
              <w:spacing w:before="40" w:after="40"/>
            </w:pPr>
            <w:r>
              <w:rPr>
                <w:rFonts w:ascii="宋体" w:hAnsi="宋体"/>
                <w:sz w:val="18"/>
              </w:rPr>
              <w:t>零（纯先验推理）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高层可解释，低层不可</w:t>
            </w:r>
          </w:p>
        </w:tc>
        <w:tc>
          <w:tcPr>
            <w:tcW w:type="dxa" w:w="2878"/>
          </w:tcPr>
          <w:p>
            <w:pPr>
              <w:spacing w:before="40" w:after="40"/>
            </w:pPr>
            <w:r>
              <w:rPr>
                <w:rFonts w:ascii="宋体" w:hAnsi="宋体"/>
                <w:sz w:val="18"/>
              </w:rPr>
              <w:t>全栈可解释</w:t>
            </w:r>
          </w:p>
        </w:tc>
      </w:tr>
    </w:tbl>
    <w:p/>
    <w:p>
      <w:pPr>
        <w:spacing w:before="120" w:after="120"/>
        <w:ind w:firstLine="0"/>
      </w:pPr>
      <w:r>
        <w:rPr>
          <w:color w:val="969696"/>
          <w:sz w:val="18"/>
        </w:rPr>
        <w:t>——————————————————————————————</w:t>
      </w:r>
    </w:p>
    <w:p>
      <w:pPr>
        <w:spacing w:before="280" w:after="160"/>
      </w:pPr>
      <w:r>
        <w:rPr>
          <w:rFonts w:ascii="黑体" w:hAnsi="黑体"/>
          <w:b/>
          <w:sz w:val="28"/>
        </w:rPr>
        <w:t>3.5.2 与端到端VLA的对比</w:t>
      </w:r>
    </w:p>
    <w:p>
      <w:pPr>
        <w:spacing w:after="100"/>
        <w:ind w:firstLine="420"/>
      </w:pPr>
      <w:r>
        <w:rPr>
          <w:rFonts w:ascii="宋体" w:hAnsi="宋体"/>
          <w:sz w:val="22"/>
        </w:rPr>
        <w:t>端到端视觉-语言-动作模型（VLA）代表了与YLYW最极端的架构对比——一个Transformer统一处理从感知到动作的全部映射。</w:t>
      </w:r>
    </w:p>
    <w:p>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pPr>
        <w:spacing w:after="100"/>
        <w:ind w:firstLine="420"/>
      </w:pPr>
      <w:r>
        <w:rPr>
          <w:rFonts w:ascii="宋体" w:hAnsi="宋体"/>
          <w:b/>
          <w:sz w:val="22"/>
        </w:rPr>
        <w:t>表3.12 YLYW vs VLA</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VLA（RT-2/OpenVLA/π₀）</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海量轨迹数据（10⁴-10⁶）</w:t>
            </w:r>
          </w:p>
        </w:tc>
        <w:tc>
          <w:tcPr>
            <w:tcW w:type="dxa" w:w="2878"/>
          </w:tcPr>
          <w:p>
            <w:pPr>
              <w:spacing w:before="40" w:after="40"/>
            </w:pPr>
            <w:r>
              <w:rPr>
                <w:rFonts w:ascii="宋体" w:hAnsi="宋体"/>
                <w:sz w:val="18"/>
              </w:rPr>
              <w:t>结构化先验符号知识</w:t>
            </w:r>
          </w:p>
        </w:tc>
      </w:tr>
      <w:tr>
        <w:tc>
          <w:tcPr>
            <w:tcW w:type="dxa" w:w="2878"/>
          </w:tcPr>
          <w:p>
            <w:pPr>
              <w:spacing w:before="40" w:after="40"/>
            </w:pPr>
            <w:r>
              <w:rPr>
                <w:rFonts w:ascii="宋体" w:hAnsi="宋体"/>
                <w:sz w:val="18"/>
              </w:rPr>
              <w:t>推理机制</w:t>
            </w:r>
          </w:p>
        </w:tc>
        <w:tc>
          <w:tcPr>
            <w:tcW w:type="dxa" w:w="2878"/>
          </w:tcPr>
          <w:p>
            <w:pPr>
              <w:spacing w:before="40" w:after="40"/>
            </w:pPr>
            <w:r>
              <w:rPr>
                <w:rFonts w:ascii="宋体" w:hAnsi="宋体"/>
                <w:sz w:val="18"/>
              </w:rPr>
              <w:t>Transformer前向传播（黑箱）</w:t>
            </w:r>
          </w:p>
        </w:tc>
        <w:tc>
          <w:tcPr>
            <w:tcW w:type="dxa" w:w="2878"/>
          </w:tcPr>
          <w:p>
            <w:pPr>
              <w:spacing w:before="40" w:after="40"/>
            </w:pPr>
            <w:r>
              <w:rPr>
                <w:rFonts w:ascii="宋体" w:hAnsi="宋体"/>
                <w:sz w:val="18"/>
              </w:rPr>
              <w:t>卦象匹配+爻位分析（透明链）</w:t>
            </w:r>
          </w:p>
        </w:tc>
      </w:tr>
      <w:tr>
        <w:tc>
          <w:tcPr>
            <w:tcW w:type="dxa" w:w="2878"/>
          </w:tcPr>
          <w:p>
            <w:pPr>
              <w:spacing w:before="40" w:after="40"/>
            </w:pPr>
            <w:r>
              <w:rPr>
                <w:rFonts w:ascii="宋体" w:hAnsi="宋体"/>
                <w:sz w:val="18"/>
              </w:rPr>
              <w:t>模型规模</w:t>
            </w:r>
          </w:p>
        </w:tc>
        <w:tc>
          <w:tcPr>
            <w:tcW w:type="dxa" w:w="2878"/>
          </w:tcPr>
          <w:p>
            <w:pPr>
              <w:spacing w:before="40" w:after="40"/>
            </w:pPr>
            <w:r>
              <w:rPr>
                <w:rFonts w:ascii="宋体" w:hAnsi="宋体"/>
                <w:sz w:val="18"/>
              </w:rPr>
              <w:t>10⁷-10¹⁰参数</w:t>
            </w:r>
          </w:p>
        </w:tc>
        <w:tc>
          <w:tcPr>
            <w:tcW w:type="dxa" w:w="2878"/>
          </w:tcPr>
          <w:p>
            <w:pPr>
              <w:spacing w:before="40" w:after="40"/>
            </w:pPr>
            <w:r>
              <w:rPr>
                <w:rFonts w:ascii="宋体" w:hAnsi="宋体"/>
                <w:sz w:val="18"/>
              </w:rPr>
              <w:t>443参数</w:t>
            </w:r>
          </w:p>
        </w:tc>
      </w:tr>
      <w:tr>
        <w:tc>
          <w:tcPr>
            <w:tcW w:type="dxa" w:w="2878"/>
          </w:tcPr>
          <w:p>
            <w:pPr>
              <w:spacing w:before="40" w:after="40"/>
            </w:pPr>
            <w:r>
              <w:rPr>
                <w:rFonts w:ascii="宋体" w:hAnsi="宋体"/>
                <w:sz w:val="18"/>
              </w:rPr>
              <w:t>推理延迟</w:t>
            </w:r>
          </w:p>
        </w:tc>
        <w:tc>
          <w:tcPr>
            <w:tcW w:type="dxa" w:w="2878"/>
          </w:tcPr>
          <w:p>
            <w:pPr>
              <w:spacing w:before="40" w:after="40"/>
            </w:pPr>
            <w:r>
              <w:rPr>
                <w:rFonts w:ascii="宋体" w:hAnsi="宋体"/>
                <w:sz w:val="18"/>
              </w:rPr>
              <w:t>10-1000ms（GPU）</w:t>
            </w:r>
          </w:p>
        </w:tc>
        <w:tc>
          <w:tcPr>
            <w:tcW w:type="dxa" w:w="2878"/>
          </w:tcPr>
          <w:p>
            <w:pPr>
              <w:spacing w:before="40" w:after="40"/>
            </w:pPr>
            <w:r>
              <w:rPr>
                <w:rFonts w:ascii="宋体" w:hAnsi="宋体"/>
                <w:sz w:val="18"/>
              </w:rPr>
              <w:t>1.7ms（CPU）</w:t>
            </w:r>
          </w:p>
        </w:tc>
      </w:tr>
      <w:tr>
        <w:tc>
          <w:tcPr>
            <w:tcW w:type="dxa" w:w="2878"/>
          </w:tcPr>
          <w:p>
            <w:pPr>
              <w:spacing w:before="40" w:after="40"/>
            </w:pPr>
            <w:r>
              <w:rPr>
                <w:rFonts w:ascii="宋体" w:hAnsi="宋体"/>
                <w:sz w:val="18"/>
              </w:rPr>
              <w:t>部署条件</w:t>
            </w:r>
          </w:p>
        </w:tc>
        <w:tc>
          <w:tcPr>
            <w:tcW w:type="dxa" w:w="2878"/>
          </w:tcPr>
          <w:p>
            <w:pPr>
              <w:spacing w:before="40" w:after="40"/>
            </w:pPr>
            <w:r>
              <w:rPr>
                <w:rFonts w:ascii="宋体" w:hAnsi="宋体"/>
                <w:sz w:val="18"/>
              </w:rPr>
              <w:t>GPU集群</w:t>
            </w:r>
          </w:p>
        </w:tc>
        <w:tc>
          <w:tcPr>
            <w:tcW w:type="dxa" w:w="2878"/>
          </w:tcPr>
          <w:p>
            <w:pPr>
              <w:spacing w:before="40" w:after="40"/>
            </w:pPr>
            <w:r>
              <w:rPr>
                <w:rFonts w:ascii="宋体" w:hAnsi="宋体"/>
                <w:sz w:val="18"/>
              </w:rPr>
              <w:t>8051单片机也可运行</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不可（黑箱）</w:t>
            </w:r>
          </w:p>
        </w:tc>
        <w:tc>
          <w:tcPr>
            <w:tcW w:type="dxa" w:w="2878"/>
          </w:tcPr>
          <w:p>
            <w:pPr>
              <w:spacing w:before="40" w:after="40"/>
            </w:pPr>
            <w:r>
              <w:rPr>
                <w:rFonts w:ascii="宋体" w:hAnsi="宋体"/>
                <w:sz w:val="18"/>
              </w:rPr>
              <w:t>每步推理可追溯至卦辞</w:t>
            </w:r>
          </w:p>
        </w:tc>
      </w:tr>
      <w:tr>
        <w:tc>
          <w:tcPr>
            <w:tcW w:type="dxa" w:w="2878"/>
          </w:tcPr>
          <w:p>
            <w:pPr>
              <w:spacing w:before="40" w:after="40"/>
            </w:pPr>
            <w:r>
              <w:rPr>
                <w:rFonts w:ascii="宋体" w:hAnsi="宋体"/>
                <w:sz w:val="18"/>
              </w:rPr>
              <w:t>物理约束</w:t>
            </w:r>
          </w:p>
        </w:tc>
        <w:tc>
          <w:tcPr>
            <w:tcW w:type="dxa" w:w="2878"/>
          </w:tcPr>
          <w:p>
            <w:pPr>
              <w:spacing w:before="40" w:after="40"/>
            </w:pPr>
            <w:r>
              <w:rPr>
                <w:rFonts w:ascii="宋体" w:hAnsi="宋体"/>
                <w:sz w:val="18"/>
              </w:rPr>
              <w:t>隐式学习，无法保证</w:t>
            </w:r>
          </w:p>
        </w:tc>
        <w:tc>
          <w:tcPr>
            <w:tcW w:type="dxa" w:w="2878"/>
          </w:tcPr>
          <w:p>
            <w:pPr>
              <w:spacing w:before="40" w:after="40"/>
            </w:pPr>
            <w:r>
              <w:rPr>
                <w:rFonts w:ascii="宋体" w:hAnsi="宋体"/>
                <w:sz w:val="18"/>
              </w:rPr>
              <w:t>显式嵌入（安全八卦+爻位关系）</w:t>
            </w:r>
          </w:p>
        </w:tc>
      </w:tr>
    </w:tbl>
    <w:p/>
    <w:p>
      <w:pPr>
        <w:spacing w:before="120" w:after="120"/>
        <w:ind w:firstLine="0"/>
      </w:pPr>
      <w:r>
        <w:rPr>
          <w:color w:val="969696"/>
          <w:sz w:val="18"/>
        </w:rPr>
        <w:t>——————————————————————————————</w:t>
      </w:r>
    </w:p>
    <w:p>
      <w:pPr>
        <w:spacing w:before="280" w:after="160"/>
      </w:pPr>
      <w:r>
        <w:rPr>
          <w:rFonts w:ascii="黑体" w:hAnsi="黑体"/>
          <w:b/>
          <w:sz w:val="28"/>
        </w:rPr>
        <w:t>3.5.3 与神经符号框架的对比</w:t>
      </w:r>
    </w:p>
    <w:p>
      <w:pPr>
        <w:spacing w:after="100"/>
        <w:ind w:firstLine="420"/>
      </w:pPr>
      <w:r>
        <w:rPr>
          <w:rFonts w:ascii="宋体" w:hAnsi="宋体"/>
          <w:sz w:val="22"/>
        </w:rPr>
        <w:t>在神经符号AI的子领域中，YLYW与四个代表性框架共享"神经+符号"的基本理念，但在知识的来源和组织方式上存在根本分歧。</w:t>
      </w:r>
    </w:p>
    <w:p>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pPr>
        <w:spacing w:after="100"/>
        <w:ind w:firstLine="420"/>
      </w:pPr>
      <w:r>
        <w:rPr>
          <w:rFonts w:ascii="宋体" w:hAnsi="宋体"/>
          <w:b/>
          <w:sz w:val="22"/>
        </w:rPr>
        <w:t>表3.13 YLYW vs 神经符号框架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DeepProbLog</w:t>
            </w:r>
          </w:p>
        </w:tc>
        <w:tc>
          <w:tcPr>
            <w:tcW w:type="dxa" w:w="1439"/>
          </w:tcPr>
          <w:p>
            <w:pPr>
              <w:spacing w:before="40" w:after="40"/>
            </w:pPr>
            <w:r>
              <w:rPr>
                <w:rFonts w:ascii="宋体" w:hAnsi="宋体"/>
                <w:b/>
                <w:sz w:val="18"/>
              </w:rPr>
              <w:t>LTN</w:t>
            </w:r>
          </w:p>
        </w:tc>
        <w:tc>
          <w:tcPr>
            <w:tcW w:type="dxa" w:w="1439"/>
          </w:tcPr>
          <w:p>
            <w:pPr>
              <w:spacing w:before="40" w:after="40"/>
            </w:pPr>
            <w:r>
              <w:rPr>
                <w:rFonts w:ascii="宋体" w:hAnsi="宋体"/>
                <w:b/>
                <w:sz w:val="18"/>
              </w:rPr>
              <w:t>概念中心</w:t>
            </w:r>
          </w:p>
        </w:tc>
        <w:tc>
          <w:tcPr>
            <w:tcW w:type="dxa" w:w="1439"/>
          </w:tcPr>
          <w:p>
            <w:pPr>
              <w:spacing w:before="40" w:after="40"/>
            </w:pPr>
            <w:r>
              <w:rPr>
                <w:rFonts w:ascii="宋体" w:hAnsi="宋体"/>
                <w:b/>
                <w:sz w:val="18"/>
              </w:rPr>
              <w:t>ABIL</w:t>
            </w:r>
          </w:p>
        </w:tc>
        <w:tc>
          <w:tcPr>
            <w:tcW w:type="dxa" w:w="1439"/>
          </w:tcPr>
          <w:p>
            <w:pPr>
              <w:spacing w:before="40" w:after="40"/>
            </w:pPr>
            <w:r>
              <w:rPr>
                <w:rFonts w:ascii="宋体" w:hAnsi="宋体"/>
                <w:b/>
                <w:sz w:val="18"/>
              </w:rPr>
              <w:t>YLYW</w:t>
            </w:r>
          </w:p>
        </w:tc>
      </w:tr>
      <w:tr>
        <w:tc>
          <w:tcPr>
            <w:tcW w:type="dxa" w:w="1439"/>
          </w:tcPr>
          <w:p>
            <w:pPr>
              <w:spacing w:before="40" w:after="40"/>
            </w:pPr>
            <w:r>
              <w:rPr>
                <w:rFonts w:ascii="宋体" w:hAnsi="宋体"/>
                <w:sz w:val="18"/>
              </w:rPr>
              <w:t>符号表示</w:t>
            </w:r>
          </w:p>
        </w:tc>
        <w:tc>
          <w:tcPr>
            <w:tcW w:type="dxa" w:w="1439"/>
          </w:tcPr>
          <w:p>
            <w:pPr>
              <w:spacing w:before="40" w:after="40"/>
            </w:pPr>
            <w:r>
              <w:rPr>
                <w:rFonts w:ascii="宋体" w:hAnsi="宋体"/>
                <w:sz w:val="18"/>
              </w:rPr>
              <w:t>概率谓词</w:t>
            </w:r>
          </w:p>
        </w:tc>
        <w:tc>
          <w:tcPr>
            <w:tcW w:type="dxa" w:w="1439"/>
          </w:tcPr>
          <w:p>
            <w:pPr>
              <w:spacing w:before="40" w:after="40"/>
            </w:pPr>
            <w:r>
              <w:rPr>
                <w:rFonts w:ascii="宋体" w:hAnsi="宋体"/>
                <w:sz w:val="18"/>
              </w:rPr>
              <w:t>可微公式</w:t>
            </w:r>
          </w:p>
        </w:tc>
        <w:tc>
          <w:tcPr>
            <w:tcW w:type="dxa" w:w="1439"/>
          </w:tcPr>
          <w:p>
            <w:pPr>
              <w:spacing w:before="40" w:after="40"/>
            </w:pPr>
            <w:r>
              <w:rPr>
                <w:rFonts w:ascii="宋体" w:hAnsi="宋体"/>
                <w:sz w:val="18"/>
              </w:rPr>
              <w:t>概念三元组</w:t>
            </w:r>
          </w:p>
        </w:tc>
        <w:tc>
          <w:tcPr>
            <w:tcW w:type="dxa" w:w="1439"/>
          </w:tcPr>
          <w:p>
            <w:pPr>
              <w:spacing w:before="40" w:after="40"/>
            </w:pPr>
            <w:r>
              <w:rPr>
                <w:rFonts w:ascii="宋体" w:hAnsi="宋体"/>
                <w:sz w:val="18"/>
              </w:rPr>
              <w:t>溯因谓词</w:t>
            </w:r>
          </w:p>
        </w:tc>
        <w:tc>
          <w:tcPr>
            <w:tcW w:type="dxa" w:w="1439"/>
          </w:tcPr>
          <w:p>
            <w:pPr>
              <w:spacing w:before="40" w:after="40"/>
            </w:pPr>
            <w:r>
              <w:rPr>
                <w:rFonts w:ascii="宋体" w:hAnsi="宋体"/>
                <w:sz w:val="18"/>
              </w:rPr>
              <w:t>八卦+64卦模板</w:t>
            </w:r>
          </w:p>
        </w:tc>
      </w:tr>
      <w:tr>
        <w:tc>
          <w:tcPr>
            <w:tcW w:type="dxa" w:w="1439"/>
          </w:tcPr>
          <w:p>
            <w:pPr>
              <w:spacing w:before="40" w:after="40"/>
            </w:pPr>
            <w:r>
              <w:rPr>
                <w:rFonts w:ascii="宋体" w:hAnsi="宋体"/>
                <w:sz w:val="18"/>
              </w:rPr>
              <w:t>架构类型</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注入式-约束</w:t>
            </w:r>
          </w:p>
        </w:tc>
        <w:tc>
          <w:tcPr>
            <w:tcW w:type="dxa" w:w="1439"/>
          </w:tcPr>
          <w:p>
            <w:pPr>
              <w:spacing w:before="40" w:after="40"/>
            </w:pPr>
            <w:r>
              <w:rPr>
                <w:rFonts w:ascii="宋体" w:hAnsi="宋体"/>
                <w:sz w:val="18"/>
              </w:rPr>
              <w:t>联邦式-生成</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联邦式-约束+推理</w:t>
            </w:r>
          </w:p>
        </w:tc>
      </w:tr>
      <w:tr>
        <w:tc>
          <w:tcPr>
            <w:tcW w:type="dxa" w:w="1439"/>
          </w:tcPr>
          <w:p>
            <w:pPr>
              <w:spacing w:before="40" w:after="40"/>
            </w:pPr>
            <w:r>
              <w:rPr>
                <w:rFonts w:ascii="宋体" w:hAnsi="宋体"/>
                <w:sz w:val="18"/>
              </w:rPr>
              <w:t>知识来源</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空白模板</w:t>
            </w:r>
          </w:p>
        </w:tc>
        <w:tc>
          <w:tcPr>
            <w:tcW w:type="dxa" w:w="1439"/>
          </w:tcPr>
          <w:p>
            <w:pPr>
              <w:spacing w:before="40" w:after="40"/>
            </w:pPr>
            <w:r>
              <w:rPr>
                <w:rFonts w:ascii="宋体" w:hAnsi="宋体"/>
                <w:sz w:val="18"/>
              </w:rPr>
              <w:t>示范数据</w:t>
            </w:r>
          </w:p>
        </w:tc>
        <w:tc>
          <w:tcPr>
            <w:tcW w:type="dxa" w:w="1439"/>
          </w:tcPr>
          <w:p>
            <w:pPr>
              <w:spacing w:before="40" w:after="40"/>
            </w:pPr>
            <w:r>
              <w:rPr>
                <w:rFonts w:ascii="宋体" w:hAnsi="宋体"/>
                <w:sz w:val="18"/>
              </w:rPr>
              <w:t>《易经》符号体系</w:t>
            </w:r>
          </w:p>
        </w:tc>
      </w:tr>
      <w:tr>
        <w:tc>
          <w:tcPr>
            <w:tcW w:type="dxa" w:w="1439"/>
          </w:tcPr>
          <w:p>
            <w:pPr>
              <w:spacing w:before="40" w:after="40"/>
            </w:pPr>
            <w:r>
              <w:rPr>
                <w:rFonts w:ascii="宋体" w:hAnsi="宋体"/>
                <w:sz w:val="18"/>
              </w:rPr>
              <w:t>符号完备性</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需示范覆盖</w:t>
            </w:r>
          </w:p>
        </w:tc>
        <w:tc>
          <w:tcPr>
            <w:tcW w:type="dxa" w:w="1439"/>
          </w:tcPr>
          <w:p>
            <w:pPr>
              <w:spacing w:before="40" w:after="40"/>
            </w:pPr>
            <w:r>
              <w:rPr>
                <w:rFonts w:ascii="宋体" w:hAnsi="宋体"/>
                <w:sz w:val="18"/>
              </w:rPr>
              <w:t>是（组合完备）</w:t>
            </w:r>
          </w:p>
        </w:tc>
      </w:tr>
      <w:tr>
        <w:tc>
          <w:tcPr>
            <w:tcW w:type="dxa" w:w="1439"/>
          </w:tcPr>
          <w:p>
            <w:pPr>
              <w:spacing w:before="40" w:after="40"/>
            </w:pPr>
            <w:r>
              <w:rPr>
                <w:rFonts w:ascii="宋体" w:hAnsi="宋体"/>
                <w:sz w:val="18"/>
              </w:rPr>
              <w:t>可解释性</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高</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高（卦辞可读全链）</w:t>
            </w:r>
          </w:p>
        </w:tc>
      </w:tr>
      <w:tr>
        <w:tc>
          <w:tcPr>
            <w:tcW w:type="dxa" w:w="1439"/>
          </w:tcPr>
          <w:p>
            <w:pPr>
              <w:spacing w:before="40" w:after="40"/>
            </w:pPr>
            <w:r>
              <w:rPr>
                <w:rFonts w:ascii="宋体" w:hAnsi="宋体"/>
                <w:sz w:val="18"/>
              </w:rPr>
              <w:t>知识结构</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结构化关系网络</w:t>
            </w:r>
          </w:p>
        </w:tc>
      </w:tr>
      <w:tr>
        <w:tc>
          <w:tcPr>
            <w:tcW w:type="dxa" w:w="1439"/>
          </w:tcPr>
          <w:p>
            <w:pPr>
              <w:spacing w:before="40" w:after="40"/>
            </w:pPr>
            <w:r>
              <w:rPr>
                <w:rFonts w:ascii="宋体" w:hAnsi="宋体"/>
                <w:sz w:val="18"/>
              </w:rPr>
              <w:t>数据效率</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极低</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极高（零样本92.7%）</w:t>
            </w:r>
          </w:p>
        </w:tc>
      </w:tr>
    </w:tbl>
    <w:p/>
    <w:p>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spacing w:before="120" w:after="120"/>
        <w:ind w:firstLine="0"/>
      </w:pPr>
      <w:r>
        <w:rPr>
          <w:color w:val="969696"/>
          <w:sz w:val="18"/>
        </w:rPr>
        <w:t>——————————————————————————————</w:t>
      </w:r>
    </w:p>
    <w:p>
      <w:pPr>
        <w:spacing w:before="280" w:after="160"/>
      </w:pPr>
      <w:r>
        <w:rPr>
          <w:rFonts w:ascii="黑体" w:hAnsi="黑体"/>
          <w:b/>
          <w:sz w:val="28"/>
        </w:rPr>
        <w:t>3.5.4 与天元类脑架构的对比</w:t>
      </w:r>
    </w:p>
    <w:p>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pPr>
        <w:spacing w:after="100"/>
        <w:ind w:firstLine="420"/>
      </w:pPr>
      <w:r>
        <w:rPr>
          <w:rFonts w:ascii="宋体" w:hAnsi="宋体"/>
          <w:b/>
          <w:sz w:val="22"/>
        </w:rPr>
        <w:t>表3.14 YLYW vs 天元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天元类脑</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易经角色</w:t>
            </w:r>
          </w:p>
        </w:tc>
        <w:tc>
          <w:tcPr>
            <w:tcW w:type="dxa" w:w="2878"/>
          </w:tcPr>
          <w:p>
            <w:pPr>
              <w:spacing w:before="40" w:after="40"/>
            </w:pPr>
            <w:r>
              <w:rPr>
                <w:rFonts w:ascii="宋体" w:hAnsi="宋体"/>
                <w:sz w:val="18"/>
              </w:rPr>
              <w:t>灵感启发</w:t>
            </w:r>
          </w:p>
        </w:tc>
        <w:tc>
          <w:tcPr>
            <w:tcW w:type="dxa" w:w="2878"/>
          </w:tcPr>
          <w:p>
            <w:pPr>
              <w:spacing w:before="40" w:after="40"/>
            </w:pPr>
            <w:r>
              <w:rPr>
                <w:rFonts w:ascii="宋体" w:hAnsi="宋体"/>
                <w:sz w:val="18"/>
              </w:rPr>
              <w:t>显式先验</w:t>
            </w:r>
          </w:p>
        </w:tc>
      </w:tr>
      <w:tr>
        <w:tc>
          <w:tcPr>
            <w:tcW w:type="dxa" w:w="2878"/>
          </w:tcPr>
          <w:p>
            <w:pPr>
              <w:spacing w:before="40" w:after="40"/>
            </w:pPr>
            <w:r>
              <w:rPr>
                <w:rFonts w:ascii="宋体" w:hAnsi="宋体"/>
                <w:sz w:val="18"/>
              </w:rPr>
              <w:t>实现方式</w:t>
            </w:r>
          </w:p>
        </w:tc>
        <w:tc>
          <w:tcPr>
            <w:tcW w:type="dxa" w:w="2878"/>
          </w:tcPr>
          <w:p>
            <w:pPr>
              <w:spacing w:before="40" w:after="40"/>
            </w:pPr>
            <w:r>
              <w:rPr>
                <w:rFonts w:ascii="宋体" w:hAnsi="宋体"/>
                <w:sz w:val="18"/>
              </w:rPr>
              <w:t>SNN+STDP</w:t>
            </w:r>
          </w:p>
        </w:tc>
        <w:tc>
          <w:tcPr>
            <w:tcW w:type="dxa" w:w="2878"/>
          </w:tcPr>
          <w:p>
            <w:pPr>
              <w:spacing w:before="40" w:after="40"/>
            </w:pPr>
            <w:r>
              <w:rPr>
                <w:rFonts w:ascii="宋体" w:hAnsi="宋体"/>
                <w:sz w:val="18"/>
              </w:rPr>
              <w:t>连续隶属度+余弦匹配</w:t>
            </w:r>
          </w:p>
        </w:tc>
      </w:tr>
      <w:tr>
        <w:tc>
          <w:tcPr>
            <w:tcW w:type="dxa" w:w="2878"/>
          </w:tcPr>
          <w:p>
            <w:pPr>
              <w:spacing w:before="40" w:after="40"/>
            </w:pPr>
            <w:r>
              <w:rPr>
                <w:rFonts w:ascii="宋体" w:hAnsi="宋体"/>
                <w:sz w:val="18"/>
              </w:rPr>
              <w:t>易经保真度</w:t>
            </w:r>
          </w:p>
        </w:tc>
        <w:tc>
          <w:tcPr>
            <w:tcW w:type="dxa" w:w="2878"/>
          </w:tcPr>
          <w:p>
            <w:pPr>
              <w:spacing w:before="40" w:after="40"/>
            </w:pPr>
            <w:r>
              <w:rPr>
                <w:rFonts w:ascii="宋体" w:hAnsi="宋体"/>
                <w:sz w:val="18"/>
              </w:rPr>
              <w:t>不确定（涌现式）</w:t>
            </w:r>
          </w:p>
        </w:tc>
        <w:tc>
          <w:tcPr>
            <w:tcW w:type="dxa" w:w="2878"/>
          </w:tcPr>
          <w:p>
            <w:pPr>
              <w:spacing w:before="40" w:after="40"/>
            </w:pPr>
            <w:r>
              <w:rPr>
                <w:rFonts w:ascii="宋体" w:hAnsi="宋体"/>
                <w:sz w:val="18"/>
              </w:rPr>
              <w:t>确定（硬编码嵌入）</w:t>
            </w:r>
          </w:p>
        </w:tc>
      </w:tr>
      <w:tr>
        <w:tc>
          <w:tcPr>
            <w:tcW w:type="dxa" w:w="2878"/>
          </w:tcPr>
          <w:p>
            <w:pPr>
              <w:spacing w:before="40" w:after="40"/>
            </w:pPr>
            <w:r>
              <w:rPr>
                <w:rFonts w:ascii="宋体" w:hAnsi="宋体"/>
                <w:sz w:val="18"/>
              </w:rPr>
              <w:t>数学形式化</w:t>
            </w:r>
          </w:p>
        </w:tc>
        <w:tc>
          <w:tcPr>
            <w:tcW w:type="dxa" w:w="2878"/>
          </w:tcPr>
          <w:p>
            <w:pPr>
              <w:spacing w:before="40" w:after="40"/>
            </w:pPr>
            <w:r>
              <w:rPr>
                <w:rFonts w:ascii="宋体" w:hAnsi="宋体"/>
                <w:sz w:val="18"/>
              </w:rPr>
              <w:t>部分</w:t>
            </w:r>
          </w:p>
        </w:tc>
        <w:tc>
          <w:tcPr>
            <w:tcW w:type="dxa" w:w="2878"/>
          </w:tcPr>
          <w:p>
            <w:pPr>
              <w:spacing w:before="40" w:after="40"/>
            </w:pPr>
            <w:r>
              <w:rPr>
                <w:rFonts w:ascii="宋体" w:hAnsi="宋体"/>
                <w:sz w:val="18"/>
              </w:rPr>
              <w:t>完整</w:t>
            </w:r>
          </w:p>
        </w:tc>
      </w:tr>
      <w:tr>
        <w:tc>
          <w:tcPr>
            <w:tcW w:type="dxa" w:w="2878"/>
          </w:tcPr>
          <w:p>
            <w:pPr>
              <w:spacing w:before="40" w:after="40"/>
            </w:pPr>
            <w:r>
              <w:rPr>
                <w:rFonts w:ascii="宋体" w:hAnsi="宋体"/>
                <w:sz w:val="18"/>
              </w:rPr>
              <w:t>可验证性</w:t>
            </w:r>
          </w:p>
        </w:tc>
        <w:tc>
          <w:tcPr>
            <w:tcW w:type="dxa" w:w="2878"/>
          </w:tcPr>
          <w:p>
            <w:pPr>
              <w:spacing w:before="40" w:after="40"/>
            </w:pPr>
            <w:r>
              <w:rPr>
                <w:rFonts w:ascii="宋体" w:hAnsi="宋体"/>
                <w:sz w:val="18"/>
              </w:rPr>
              <w:t>自报仿真指标</w:t>
            </w:r>
          </w:p>
        </w:tc>
        <w:tc>
          <w:tcPr>
            <w:tcW w:type="dxa" w:w="2878"/>
          </w:tcPr>
          <w:p>
            <w:pPr>
              <w:spacing w:before="40" w:after="40"/>
            </w:pPr>
            <w:r>
              <w:rPr>
                <w:rFonts w:ascii="宋体" w:hAnsi="宋体"/>
                <w:sz w:val="18"/>
              </w:rPr>
              <w:t>系统消融+对比实验</w:t>
            </w:r>
          </w:p>
        </w:tc>
      </w:tr>
      <w:tr>
        <w:tc>
          <w:tcPr>
            <w:tcW w:type="dxa" w:w="2878"/>
          </w:tcPr>
          <w:p>
            <w:pPr>
              <w:spacing w:before="40" w:after="40"/>
            </w:pPr>
            <w:r>
              <w:rPr>
                <w:rFonts w:ascii="宋体" w:hAnsi="宋体"/>
                <w:sz w:val="18"/>
              </w:rPr>
              <w:t>硬件依赖</w:t>
            </w:r>
          </w:p>
        </w:tc>
        <w:tc>
          <w:tcPr>
            <w:tcW w:type="dxa" w:w="2878"/>
          </w:tcPr>
          <w:p>
            <w:pPr>
              <w:spacing w:before="40" w:after="40"/>
            </w:pPr>
            <w:r>
              <w:rPr>
                <w:rFonts w:ascii="宋体" w:hAnsi="宋体"/>
                <w:sz w:val="18"/>
              </w:rPr>
              <w:t>异构类脑芯片</w:t>
            </w:r>
          </w:p>
        </w:tc>
        <w:tc>
          <w:tcPr>
            <w:tcW w:type="dxa" w:w="2878"/>
          </w:tcPr>
          <w:p>
            <w:pPr>
              <w:spacing w:before="40" w:after="40"/>
            </w:pPr>
            <w:r>
              <w:rPr>
                <w:rFonts w:ascii="宋体" w:hAnsi="宋体"/>
                <w:sz w:val="18"/>
              </w:rPr>
              <w:t>纯CPU/8051</w:t>
            </w:r>
          </w:p>
        </w:tc>
      </w:tr>
      <w:tr>
        <w:tc>
          <w:tcPr>
            <w:tcW w:type="dxa" w:w="2878"/>
          </w:tcPr>
          <w:p>
            <w:pPr>
              <w:spacing w:before="40" w:after="40"/>
            </w:pPr>
            <w:r>
              <w:rPr>
                <w:rFonts w:ascii="宋体" w:hAnsi="宋体"/>
                <w:sz w:val="18"/>
              </w:rPr>
              <w:t>验证阶段</w:t>
            </w:r>
          </w:p>
        </w:tc>
        <w:tc>
          <w:tcPr>
            <w:tcW w:type="dxa" w:w="2878"/>
          </w:tcPr>
          <w:p>
            <w:pPr>
              <w:spacing w:before="40" w:after="40"/>
            </w:pPr>
            <w:r>
              <w:rPr>
                <w:rFonts w:ascii="宋体" w:hAnsi="宋体"/>
                <w:sz w:val="18"/>
              </w:rPr>
              <w:t>概念构想</w:t>
            </w:r>
          </w:p>
        </w:tc>
        <w:tc>
          <w:tcPr>
            <w:tcW w:type="dxa" w:w="2878"/>
          </w:tcPr>
          <w:p>
            <w:pPr>
              <w:spacing w:before="40" w:after="40"/>
            </w:pPr>
            <w:r>
              <w:rPr>
                <w:rFonts w:ascii="宋体" w:hAnsi="宋体"/>
                <w:sz w:val="18"/>
              </w:rPr>
              <w:t>五域跨域验证</w:t>
            </w:r>
          </w:p>
        </w:tc>
      </w:tr>
    </w:tbl>
    <w:p/>
    <w:p>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pPr>
        <w:spacing w:before="120" w:after="120"/>
        <w:ind w:firstLine="0"/>
      </w:pPr>
      <w:r>
        <w:rPr>
          <w:color w:val="969696"/>
          <w:sz w:val="18"/>
        </w:rPr>
        <w:t>——————————————————————————————</w:t>
      </w:r>
    </w:p>
    <w:p>
      <w:pPr>
        <w:spacing w:before="280" w:after="160"/>
      </w:pPr>
      <w:r>
        <w:rPr>
          <w:rFonts w:ascii="黑体" w:hAnsi="黑体"/>
          <w:b/>
          <w:sz w:val="28"/>
        </w:rPr>
        <w:t>3.5.5 YLYW的独特生态位</w:t>
      </w:r>
    </w:p>
    <w:p>
      <w:pPr>
        <w:spacing w:after="100"/>
        <w:ind w:firstLine="420"/>
      </w:pPr>
      <w:r>
        <w:rPr>
          <w:rFonts w:ascii="宋体" w:hAnsi="宋体"/>
          <w:sz w:val="22"/>
        </w:rPr>
        <w:t>综合以上四种对比，YLYW在当前的学术坐标系中占据了一个独特的生态位。</w:t>
      </w:r>
    </w:p>
    <w:p>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spacing w:before="120" w:after="120"/>
        <w:ind w:firstLine="0"/>
      </w:pPr>
      <w:r>
        <w:rPr>
          <w:color w:val="969696"/>
          <w:sz w:val="18"/>
        </w:rPr>
        <w:t>——————————————————————————————</w:t>
      </w:r>
    </w:p>
    <w:p>
      <w:pPr>
        <w:spacing w:after="100"/>
        <w:ind w:firstLine="420"/>
      </w:pPr>
      <w:r>
        <w:rPr>
          <w:rFonts w:ascii="宋体" w:hAnsi="宋体"/>
          <w:sz w:val="22"/>
        </w:rPr>
        <w:t>*本节完。下一节：第4章 知几知耻——自适应学习机制。*</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