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第2章和第3章定义了一个能够在完全零样本条件下运行的系统——它不需要任何训练数据就能对300种不同的物体给出92.7%的合理抓取策略。这引出了一个自然的问题：</w:t>
      </w:r>
      <w:r>
        <w:rPr>
          <w:rFonts w:ascii="宋体" w:hAnsi="宋体"/>
          <w:b/>
          <w:sz w:val="22"/>
        </w:rPr>
        <w:t>如果系统已经是零样本的，为什么还需要"学习"？</w:t>
      </w:r>
    </w:p>
    <w:p>
      <w:pPr>
        <w:spacing w:after="100"/>
        <w:ind w:firstLine="420"/>
      </w:pPr>
      <w:r>
        <w:rPr>
          <w:rFonts w:ascii="宋体" w:hAnsi="宋体"/>
          <w:sz w:val="22"/>
        </w:rPr>
        <w:t>答案是：零样本 ≠ 最优。先验知识给了YLYW一个正确的方向（"球体应该用动态抓取"），但没有给它最优的参数（"动态抓取的力应该是0.50还是0.45？速度应该是medium还是slow？"）。学习的角色不是重建知识——知识已经在先验中了——而是在先验的骨架上进行</w:t>
      </w:r>
      <w:r>
        <w:rPr>
          <w:rFonts w:ascii="宋体" w:hAnsi="宋体"/>
          <w:b/>
          <w:sz w:val="22"/>
        </w:rPr>
        <w:t>精化</w:t>
      </w:r>
      <w:r>
        <w:rPr>
          <w:rFonts w:ascii="宋体" w:hAnsi="宋体"/>
          <w:sz w:val="22"/>
        </w:rPr>
        <w:t>。</w:t>
      </w:r>
    </w:p>
    <w:p>
      <w:pPr>
        <w:spacing w:after="100"/>
        <w:ind w:firstLine="420"/>
      </w:pPr>
      <w:r>
        <w:rPr>
          <w:rFonts w:ascii="宋体" w:hAnsi="宋体"/>
          <w:sz w:val="22"/>
        </w:rPr>
        <w:t>本章阐述YLYW的自适应学习机制——知几知耻。这不是"AI学习"的常规含义。它不需要海量数据。它不依赖梯度下降。它不需要GPU。它只是利用YLYW特有的透明推理链，在极少数失败中精确定位问题所在并修正对应的参数。</w:t>
      </w:r>
    </w:p>
    <w:p>
      <w:pPr>
        <w:spacing w:before="120" w:after="120"/>
        <w:ind w:firstLine="0"/>
      </w:pPr>
      <w:r>
        <w:rPr>
          <w:color w:val="969696"/>
          <w:sz w:val="18"/>
        </w:rPr>
        <w:t>——————————————————————————————</w:t>
      </w:r>
    </w:p>
    <w:p>
      <w:pPr>
        <w:spacing w:before="280" w:after="160"/>
      </w:pPr>
      <w:r>
        <w:rPr>
          <w:rFonts w:ascii="黑体" w:hAnsi="黑体"/>
          <w:b/>
          <w:sz w:val="28"/>
        </w:rPr>
        <w:t>4.1.1 YLYW的零样本能力来自先验而非学习</w:t>
      </w:r>
    </w:p>
    <w:p>
      <w:pPr>
        <w:spacing w:after="100"/>
        <w:ind w:firstLine="420"/>
      </w:pPr>
      <w:r>
        <w:rPr>
          <w:rFonts w:ascii="宋体" w:hAnsi="宋体"/>
          <w:sz w:val="22"/>
        </w:rPr>
        <w:t>在第3.2.5节的端到端追踪中，一个球体被完整地推理为一个dynamic_grasp策略——力0.50，速度medium——在没有任何训练数据的情况下。这92.7%的零样本合理率从何而来？</w:t>
      </w:r>
    </w:p>
    <w:p>
      <w:pPr>
        <w:spacing w:after="100"/>
        <w:ind w:firstLine="420"/>
      </w:pPr>
      <w:r>
        <w:rPr>
          <w:rFonts w:ascii="宋体" w:hAnsi="宋体"/>
          <w:sz w:val="22"/>
        </w:rPr>
        <w:t>答案来自第1章和第3章建立的论证链：</w:t>
      </w:r>
      <w:r>
        <w:rPr>
          <w:rFonts w:ascii="宋体" w:hAnsi="宋体"/>
          <w:b/>
          <w:sz w:val="22"/>
        </w:rPr>
        <w:t>它来自六十四卦的符号结构。</w:t>
      </w:r>
    </w:p>
    <w:p>
      <w:pPr>
        <w:spacing w:after="100"/>
        <w:ind w:firstLine="420"/>
      </w:pPr>
      <w:r>
        <w:rPr>
          <w:rFonts w:ascii="宋体" w:hAnsi="宋体"/>
          <w:sz w:val="22"/>
        </w:rPr>
        <w:t>当设计者将"震为雷"的卦辞"震动不安"转译为dynamic_grasp时，这一转译知识并不来自机器人抓取数据的统计拟合——它来自数千年来对"震动"情境的观察和分类。同样，"天泽履"的"如履薄冰"被转译为cautious_grasp——力0.35。这种"卦象→策略"的映射不是从任何现代数据集中学习到的——它是在设计时从《周易》的文本中"导入"的。</w:t>
      </w:r>
    </w:p>
    <w:p>
      <w:pPr>
        <w:spacing w:after="100"/>
        <w:ind w:firstLine="420"/>
      </w:pPr>
      <w:r>
        <w:rPr>
          <w:rFonts w:ascii="宋体" w:hAnsi="宋体"/>
          <w:sz w:val="22"/>
        </w:rPr>
        <w:t>这引出了一个根本性的区分：</w:t>
      </w:r>
      <w:r>
        <w:rPr>
          <w:rFonts w:ascii="宋体" w:hAnsi="宋体"/>
          <w:b/>
          <w:sz w:val="22"/>
        </w:rPr>
        <w:t>YLYW的性能来自两个不同性质的来源。</w:t>
      </w:r>
    </w:p>
    <w:p>
      <w:pPr>
        <w:spacing w:after="100"/>
        <w:ind w:left="680"/>
      </w:pPr>
      <w:r>
        <w:rPr>
          <w:rFonts w:ascii="宋体" w:hAnsi="宋体"/>
          <w:sz w:val="22"/>
        </w:rPr>
        <w:t xml:space="preserve">1. </w:t>
      </w:r>
      <w:r>
        <w:rPr>
          <w:rFonts w:ascii="宋体" w:hAnsi="宋体"/>
          <w:b/>
          <w:sz w:val="22"/>
        </w:rPr>
        <w:t>先验贡献</w:t>
      </w:r>
      <w:r>
        <w:rPr>
          <w:rFonts w:ascii="宋体" w:hAnsi="宋体"/>
          <w:sz w:val="22"/>
        </w:rPr>
        <w:t>：来自64卦符号结构的知识——卦象→策略映射、爻位关系运算、安全八卦审核。这个贡献占92.7%的合理率。它是"免费"的——不需要任何训练数据。</w:t>
      </w:r>
    </w:p>
    <w:p>
      <w:pPr>
        <w:spacing w:after="100"/>
        <w:ind w:left="680"/>
      </w:pPr>
      <w:r>
        <w:rPr>
          <w:rFonts w:ascii="宋体" w:hAnsi="宋体"/>
          <w:sz w:val="22"/>
        </w:rPr>
        <w:t xml:space="preserve">2. </w:t>
      </w:r>
      <w:r>
        <w:rPr>
          <w:rFonts w:ascii="宋体" w:hAnsi="宋体"/>
          <w:b/>
          <w:sz w:val="22"/>
        </w:rPr>
        <w:t>后验贡献</w:t>
      </w:r>
      <w:r>
        <w:rPr>
          <w:rFonts w:ascii="宋体" w:hAnsi="宋体"/>
          <w:sz w:val="22"/>
        </w:rPr>
        <w:t>：来自自适应学习的精化——在失败中微调力系数、速度等级、爻模板值。这个贡献是边际的——它让系统从"正确"走向"更精准"。</w:t>
      </w:r>
    </w:p>
    <w:p>
      <w:pPr>
        <w:spacing w:after="100"/>
        <w:ind w:firstLine="420"/>
      </w:pPr>
      <w:r>
        <w:rPr>
          <w:rFonts w:ascii="宋体" w:hAnsi="宋体"/>
          <w:sz w:val="22"/>
        </w:rPr>
        <w:t>这个区分与深度学习有着根本性的不同。在深度学习中，</w:t>
      </w:r>
      <w:r>
        <w:rPr>
          <w:rFonts w:ascii="宋体" w:hAnsi="宋体"/>
          <w:b/>
          <w:sz w:val="22"/>
        </w:rPr>
        <w:t>全部</w:t>
      </w:r>
      <w:r>
        <w:rPr>
          <w:rFonts w:ascii="宋体" w:hAnsi="宋体"/>
          <w:sz w:val="22"/>
        </w:rPr>
        <w:t>能力来自数据——不存在"先验贡献"这个类别。网络初始化的权重是随机的——它从一开始就"什么都不懂"。而在YLYW中，系统从一开始就"有一个大致的理解"——因为它的符号架构中已经嵌入了结构化的先验知识。</w:t>
      </w:r>
    </w:p>
    <w:p>
      <w:pPr>
        <w:spacing w:after="100"/>
        <w:ind w:firstLine="420"/>
      </w:pPr>
      <w:r>
        <w:rPr>
          <w:rFonts w:ascii="宋体" w:hAnsi="宋体"/>
          <w:b/>
          <w:sz w:val="22"/>
        </w:rPr>
        <w:t>学习与学习的不同。</w:t>
      </w:r>
      <w:r>
        <w:rPr>
          <w:rFonts w:ascii="宋体" w:hAnsi="宋体"/>
          <w:sz w:val="22"/>
        </w:rPr>
        <w:t xml:space="preserve"> 对YLYW来说，"学习"不是"从一无所知到有知"的积累过程，而是"从大致了解到精确把握"的微调过程。一个人类学徒先研读了操作手册，懂得了基本原理，然后在实际操作中对力度和速度做精调——这就是YLYW的学习模式。而深度学习是一个没有读过手册的学徒从零开始试错。</w:t>
      </w:r>
    </w:p>
    <w:p>
      <w:pPr>
        <w:spacing w:before="120" w:after="120"/>
        <w:ind w:firstLine="0"/>
      </w:pPr>
      <w:r>
        <w:rPr>
          <w:color w:val="969696"/>
          <w:sz w:val="18"/>
        </w:rPr>
        <w:t>——————————————————————————————</w:t>
      </w:r>
    </w:p>
    <w:p>
      <w:pPr>
        <w:spacing w:before="280" w:after="160"/>
      </w:pPr>
      <w:r>
        <w:rPr>
          <w:rFonts w:ascii="黑体" w:hAnsi="黑体"/>
          <w:b/>
          <w:sz w:val="28"/>
        </w:rPr>
        <w:t>4.1.2 与深度学习"从零学习"的根本哲学差异</w:t>
      </w:r>
    </w:p>
    <w:p>
      <w:pPr>
        <w:spacing w:after="100"/>
        <w:ind w:firstLine="420"/>
      </w:pPr>
      <w:r>
        <w:rPr>
          <w:rFonts w:ascii="宋体" w:hAnsi="宋体"/>
          <w:sz w:val="22"/>
        </w:rPr>
        <w:t>这两种学习模式的差异可以通过比较它们在同一个问题上的行为来看出。</w:t>
      </w:r>
    </w:p>
    <w:p>
      <w:pPr>
        <w:spacing w:after="100"/>
        <w:ind w:firstLine="420"/>
      </w:pPr>
      <w:r>
        <w:rPr>
          <w:rFonts w:ascii="宋体" w:hAnsi="宋体"/>
          <w:b/>
          <w:sz w:val="22"/>
        </w:rPr>
        <w:t>场景：没有任何抓取操作经验的系统面对一个球体。</w:t>
      </w:r>
    </w:p>
    <w:p>
      <w:pPr>
        <w:spacing w:after="100"/>
        <w:ind w:firstLine="420"/>
      </w:pPr>
      <w:r>
        <w:rPr>
          <w:rFonts w:ascii="宋体" w:hAnsi="宋体"/>
          <w:sz w:val="22"/>
        </w:rPr>
        <w:t>一个随机初始化的MLP在"看到"球体的13维特征后，输出一个随机的39类策略分布。它没有任何先验来指引它应该偏向哪个策略。如果在第一次尝试后得到"失败"反馈，它能做的事情是通过梯度下降更新所有权重，希望在下一次尝试时输出稍微更好一点的策略。这个更新是全局的、不可解释的、需要经过大量的试错才能收敛。在真实的零样本对比实验中（第6.10节），这样的MLP的合理率是28.7%——甚至低于均匀随机的37.5%。</w:t>
      </w:r>
    </w:p>
    <w:p>
      <w:pPr>
        <w:spacing w:after="100"/>
        <w:ind w:firstLine="420"/>
      </w:pPr>
      <w:r>
        <w:rPr>
          <w:rFonts w:ascii="宋体" w:hAnsi="宋体"/>
          <w:sz w:val="22"/>
        </w:rPr>
        <w:t>一个YLYW系统在"感知"到同一个球体后，通过L1→L2→L3推理链输出dynamic_grasp——力0.50，速度medium。它已经处于一个"合理"的方向。如果在第一次尝试后得到"失败"反馈——比如力0.50不足以克服球体表面的摩擦导致滑脱——它能做的事情是：检查推理链，定位到"三爻(力需求)的爻值判定为阴，可能导致了力预设不够高"。然后——它只需要调整L3中震为雷卦象的力预设参数，或调整L2三爻编码公式中力需求的权重。这个修正是局部的、可解释的、1-2次失败后就能收敛的。</w:t>
      </w:r>
    </w:p>
    <w:p>
      <w:pPr>
        <w:spacing w:after="100"/>
        <w:ind w:firstLine="420"/>
      </w:pPr>
      <w:r>
        <w:rPr>
          <w:rFonts w:ascii="宋体" w:hAnsi="宋体"/>
          <w:b/>
          <w:sz w:val="22"/>
        </w:rPr>
        <w:t>表4.1总结了两种学习范式的关键区别。</w:t>
      </w:r>
    </w:p>
    <w:p>
      <w:pPr>
        <w:spacing w:after="100"/>
        <w:ind w:firstLine="420"/>
      </w:pPr>
      <w:r>
        <w:rPr>
          <w:rFonts w:ascii="宋体" w:hAnsi="宋体"/>
          <w:b/>
          <w:sz w:val="22"/>
        </w:rPr>
        <w:t>表4.1 YLYW自适应学习 vs 深度学习</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before="40" w:after="40"/>
            </w:pPr>
            <w:r>
              <w:rPr>
                <w:rFonts w:ascii="宋体" w:hAnsi="宋体"/>
                <w:b/>
                <w:sz w:val="18"/>
              </w:rPr>
              <w:t>维度</w:t>
            </w:r>
          </w:p>
        </w:tc>
        <w:tc>
          <w:tcPr>
            <w:tcW w:type="dxa" w:w="2878"/>
          </w:tcPr>
          <w:p>
            <w:pPr>
              <w:spacing w:before="40" w:after="40"/>
            </w:pPr>
            <w:r>
              <w:rPr>
                <w:rFonts w:ascii="宋体" w:hAnsi="宋体"/>
                <w:b/>
                <w:sz w:val="18"/>
              </w:rPr>
              <w:t>YLYW 自适应学习</w:t>
            </w:r>
          </w:p>
        </w:tc>
        <w:tc>
          <w:tcPr>
            <w:tcW w:type="dxa" w:w="2878"/>
          </w:tcPr>
          <w:p>
            <w:pPr>
              <w:spacing w:before="40" w:after="40"/>
            </w:pPr>
            <w:r>
              <w:rPr>
                <w:rFonts w:ascii="宋体" w:hAnsi="宋体"/>
                <w:b/>
                <w:sz w:val="18"/>
              </w:rPr>
              <w:t>深度学习 (DRL/端到端)</w:t>
            </w:r>
          </w:p>
        </w:tc>
      </w:tr>
      <w:tr>
        <w:tc>
          <w:tcPr>
            <w:tcW w:type="dxa" w:w="2878"/>
          </w:tcPr>
          <w:p>
            <w:pPr>
              <w:spacing w:before="40" w:after="40"/>
            </w:pPr>
            <w:r>
              <w:rPr>
                <w:rFonts w:ascii="宋体" w:hAnsi="宋体"/>
                <w:sz w:val="18"/>
              </w:rPr>
              <w:t>初始状态</w:t>
            </w:r>
          </w:p>
        </w:tc>
        <w:tc>
          <w:tcPr>
            <w:tcW w:type="dxa" w:w="2878"/>
          </w:tcPr>
          <w:p>
            <w:pPr>
              <w:spacing w:before="40" w:after="40"/>
            </w:pPr>
            <w:r>
              <w:rPr>
                <w:rFonts w:ascii="宋体" w:hAnsi="宋体"/>
                <w:sz w:val="18"/>
              </w:rPr>
              <w:t>已有合理策略（92.7%零样本）</w:t>
            </w:r>
          </w:p>
        </w:tc>
        <w:tc>
          <w:tcPr>
            <w:tcW w:type="dxa" w:w="2878"/>
          </w:tcPr>
          <w:p>
            <w:pPr>
              <w:spacing w:before="40" w:after="40"/>
            </w:pPr>
            <w:r>
              <w:rPr>
                <w:rFonts w:ascii="宋体" w:hAnsi="宋体"/>
                <w:sz w:val="18"/>
              </w:rPr>
              <w:t>随机猜测（28.7%零样本）</w:t>
            </w:r>
          </w:p>
        </w:tc>
      </w:tr>
      <w:tr>
        <w:tc>
          <w:tcPr>
            <w:tcW w:type="dxa" w:w="2878"/>
          </w:tcPr>
          <w:p>
            <w:pPr>
              <w:spacing w:before="40" w:after="40"/>
            </w:pPr>
            <w:r>
              <w:rPr>
                <w:rFonts w:ascii="宋体" w:hAnsi="宋体"/>
                <w:sz w:val="18"/>
              </w:rPr>
              <w:t>学习的角色</w:t>
            </w:r>
          </w:p>
        </w:tc>
        <w:tc>
          <w:tcPr>
            <w:tcW w:type="dxa" w:w="2878"/>
          </w:tcPr>
          <w:p>
            <w:pPr>
              <w:spacing w:before="40" w:after="40"/>
            </w:pPr>
            <w:r>
              <w:rPr>
                <w:rFonts w:ascii="宋体" w:hAnsi="宋体"/>
                <w:sz w:val="18"/>
              </w:rPr>
              <w:t>精化先验参数</w:t>
            </w:r>
          </w:p>
        </w:tc>
        <w:tc>
          <w:tcPr>
            <w:tcW w:type="dxa" w:w="2878"/>
          </w:tcPr>
          <w:p>
            <w:pPr>
              <w:spacing w:before="40" w:after="40"/>
            </w:pPr>
            <w:r>
              <w:rPr>
                <w:rFonts w:ascii="宋体" w:hAnsi="宋体"/>
                <w:sz w:val="18"/>
              </w:rPr>
              <w:t>从零构建所有知识</w:t>
            </w:r>
          </w:p>
        </w:tc>
      </w:tr>
      <w:tr>
        <w:tc>
          <w:tcPr>
            <w:tcW w:type="dxa" w:w="2878"/>
          </w:tcPr>
          <w:p>
            <w:pPr>
              <w:spacing w:before="40" w:after="40"/>
            </w:pPr>
            <w:r>
              <w:rPr>
                <w:rFonts w:ascii="宋体" w:hAnsi="宋体"/>
                <w:sz w:val="18"/>
              </w:rPr>
              <w:t>数据需求</w:t>
            </w:r>
          </w:p>
        </w:tc>
        <w:tc>
          <w:tcPr>
            <w:tcW w:type="dxa" w:w="2878"/>
          </w:tcPr>
          <w:p>
            <w:pPr>
              <w:spacing w:before="40" w:after="40"/>
            </w:pPr>
            <w:r>
              <w:rPr>
                <w:rFonts w:ascii="宋体" w:hAnsi="宋体"/>
                <w:sz w:val="18"/>
              </w:rPr>
              <w:t>1-5次失败交互</w:t>
            </w:r>
          </w:p>
        </w:tc>
        <w:tc>
          <w:tcPr>
            <w:tcW w:type="dxa" w:w="2878"/>
          </w:tcPr>
          <w:p>
            <w:pPr>
              <w:spacing w:before="40" w:after="40"/>
            </w:pPr>
            <w:r>
              <w:rPr>
                <w:rFonts w:ascii="宋体" w:hAnsi="宋体"/>
                <w:sz w:val="18"/>
              </w:rPr>
              <w:t>十万~百万次交互</w:t>
            </w:r>
          </w:p>
        </w:tc>
      </w:tr>
      <w:tr>
        <w:tc>
          <w:tcPr>
            <w:tcW w:type="dxa" w:w="2878"/>
          </w:tcPr>
          <w:p>
            <w:pPr>
              <w:spacing w:before="40" w:after="40"/>
            </w:pPr>
            <w:r>
              <w:rPr>
                <w:rFonts w:ascii="宋体" w:hAnsi="宋体"/>
                <w:sz w:val="18"/>
              </w:rPr>
              <w:t>修正方式</w:t>
            </w:r>
          </w:p>
        </w:tc>
        <w:tc>
          <w:tcPr>
            <w:tcW w:type="dxa" w:w="2878"/>
          </w:tcPr>
          <w:p>
            <w:pPr>
              <w:spacing w:before="40" w:after="40"/>
            </w:pPr>
            <w:r>
              <w:rPr>
                <w:rFonts w:ascii="宋体" w:hAnsi="宋体"/>
                <w:sz w:val="18"/>
              </w:rPr>
              <w:t>定向参数修正（定位到爻）</w:t>
            </w:r>
          </w:p>
        </w:tc>
        <w:tc>
          <w:tcPr>
            <w:tcW w:type="dxa" w:w="2878"/>
          </w:tcPr>
          <w:p>
            <w:pPr>
              <w:spacing w:before="40" w:after="40"/>
            </w:pPr>
            <w:r>
              <w:rPr>
                <w:rFonts w:ascii="宋体" w:hAnsi="宋体"/>
                <w:sz w:val="18"/>
              </w:rPr>
              <w:t>全局梯度传播</w:t>
            </w:r>
          </w:p>
        </w:tc>
      </w:tr>
      <w:tr>
        <w:tc>
          <w:tcPr>
            <w:tcW w:type="dxa" w:w="2878"/>
          </w:tcPr>
          <w:p>
            <w:pPr>
              <w:spacing w:before="40" w:after="40"/>
            </w:pPr>
            <w:r>
              <w:rPr>
                <w:rFonts w:ascii="宋体" w:hAnsi="宋体"/>
                <w:sz w:val="18"/>
              </w:rPr>
              <w:t>可解释性</w:t>
            </w:r>
          </w:p>
        </w:tc>
        <w:tc>
          <w:tcPr>
            <w:tcW w:type="dxa" w:w="2878"/>
          </w:tcPr>
          <w:p>
            <w:pPr>
              <w:spacing w:before="40" w:after="40"/>
            </w:pPr>
            <w:r>
              <w:rPr>
                <w:rFonts w:ascii="宋体" w:hAnsi="宋体"/>
                <w:sz w:val="18"/>
              </w:rPr>
              <w:t>每步修正有推理链可读</w:t>
            </w:r>
          </w:p>
        </w:tc>
        <w:tc>
          <w:tcPr>
            <w:tcW w:type="dxa" w:w="2878"/>
          </w:tcPr>
          <w:p>
            <w:pPr>
              <w:spacing w:before="40" w:after="40"/>
            </w:pPr>
            <w:r>
              <w:rPr>
                <w:rFonts w:ascii="宋体" w:hAnsi="宋体"/>
                <w:sz w:val="18"/>
              </w:rPr>
              <w:t>黑箱</w:t>
            </w:r>
          </w:p>
        </w:tc>
      </w:tr>
      <w:tr>
        <w:tc>
          <w:tcPr>
            <w:tcW w:type="dxa" w:w="2878"/>
          </w:tcPr>
          <w:p>
            <w:pPr>
              <w:spacing w:before="40" w:after="40"/>
            </w:pPr>
            <w:r>
              <w:rPr>
                <w:rFonts w:ascii="宋体" w:hAnsi="宋体"/>
                <w:sz w:val="18"/>
              </w:rPr>
              <w:t>灾难遗忘风险</w:t>
            </w:r>
          </w:p>
        </w:tc>
        <w:tc>
          <w:tcPr>
            <w:tcW w:type="dxa" w:w="2878"/>
          </w:tcPr>
          <w:p>
            <w:pPr>
              <w:spacing w:before="40" w:after="40"/>
            </w:pPr>
            <w:r>
              <w:rPr>
                <w:rFonts w:ascii="宋体" w:hAnsi="宋体"/>
                <w:sz w:val="18"/>
              </w:rPr>
              <w:t>无（知识在独立符号模块中）</w:t>
            </w:r>
          </w:p>
        </w:tc>
        <w:tc>
          <w:tcPr>
            <w:tcW w:type="dxa" w:w="2878"/>
          </w:tcPr>
          <w:p>
            <w:pPr>
              <w:spacing w:before="40" w:after="40"/>
            </w:pPr>
            <w:r>
              <w:rPr>
                <w:rFonts w:ascii="宋体" w:hAnsi="宋体"/>
                <w:sz w:val="18"/>
              </w:rPr>
              <w:t>有（知识分布在全部权重中）</w:t>
            </w:r>
          </w:p>
        </w:tc>
      </w:tr>
      <w:tr>
        <w:tc>
          <w:tcPr>
            <w:tcW w:type="dxa" w:w="2878"/>
          </w:tcPr>
          <w:p>
            <w:pPr>
              <w:spacing w:before="40" w:after="40"/>
            </w:pPr>
            <w:r>
              <w:rPr>
                <w:rFonts w:ascii="宋体" w:hAnsi="宋体"/>
                <w:sz w:val="18"/>
              </w:rPr>
              <w:t>硬件需求</w:t>
            </w:r>
          </w:p>
        </w:tc>
        <w:tc>
          <w:tcPr>
            <w:tcW w:type="dxa" w:w="2878"/>
          </w:tcPr>
          <w:p>
            <w:pPr>
              <w:spacing w:before="40" w:after="40"/>
            </w:pPr>
            <w:r>
              <w:rPr>
                <w:rFonts w:ascii="宋体" w:hAnsi="宋体"/>
                <w:sz w:val="18"/>
              </w:rPr>
              <w:t>CPU（1.7ms/推理）</w:t>
            </w:r>
          </w:p>
        </w:tc>
        <w:tc>
          <w:tcPr>
            <w:tcW w:type="dxa" w:w="2878"/>
          </w:tcPr>
          <w:p>
            <w:pPr>
              <w:spacing w:before="40" w:after="40"/>
            </w:pPr>
            <w:r>
              <w:rPr>
                <w:rFonts w:ascii="宋体" w:hAnsi="宋体"/>
                <w:sz w:val="18"/>
              </w:rPr>
              <w:t>GPU集群</w:t>
            </w:r>
          </w:p>
        </w:tc>
      </w:tr>
      <w:tr>
        <w:tc>
          <w:tcPr>
            <w:tcW w:type="dxa" w:w="2878"/>
          </w:tcPr>
          <w:p>
            <w:pPr>
              <w:spacing w:before="40" w:after="40"/>
            </w:pPr>
            <w:r>
              <w:rPr>
                <w:rFonts w:ascii="宋体" w:hAnsi="宋体"/>
                <w:sz w:val="18"/>
              </w:rPr>
              <w:t>人类干预</w:t>
            </w:r>
          </w:p>
        </w:tc>
        <w:tc>
          <w:tcPr>
            <w:tcW w:type="dxa" w:w="2878"/>
          </w:tcPr>
          <w:p>
            <w:pPr>
              <w:spacing w:before="40" w:after="40"/>
            </w:pPr>
            <w:r>
              <w:rPr>
                <w:rFonts w:ascii="宋体" w:hAnsi="宋体"/>
                <w:sz w:val="18"/>
              </w:rPr>
              <w:t>可随时查看/暂停/回滚</w:t>
            </w:r>
          </w:p>
        </w:tc>
        <w:tc>
          <w:tcPr>
            <w:tcW w:type="dxa" w:w="2878"/>
          </w:tcPr>
          <w:p>
            <w:pPr>
              <w:spacing w:before="40" w:after="40"/>
            </w:pPr>
            <w:r>
              <w:rPr>
                <w:rFonts w:ascii="宋体" w:hAnsi="宋体"/>
                <w:sz w:val="18"/>
              </w:rPr>
              <w:t>不可</w:t>
            </w:r>
          </w:p>
        </w:tc>
      </w:tr>
    </w:tbl>
    <w:p/>
    <w:p>
      <w:pPr>
        <w:spacing w:before="120" w:after="120"/>
        <w:ind w:firstLine="0"/>
      </w:pPr>
      <w:r>
        <w:rPr>
          <w:color w:val="969696"/>
          <w:sz w:val="18"/>
        </w:rPr>
        <w:t>——————————————————————————————</w:t>
      </w:r>
    </w:p>
    <w:p>
      <w:pPr>
        <w:spacing w:before="280" w:after="160"/>
      </w:pPr>
      <w:r>
        <w:rPr>
          <w:rFonts w:ascii="黑体" w:hAnsi="黑体"/>
          <w:b/>
          <w:sz w:val="28"/>
        </w:rPr>
        <w:t>4.1.3 知几与知耻的易学来源</w:t>
      </w:r>
    </w:p>
    <w:p>
      <w:pPr>
        <w:spacing w:after="100"/>
        <w:ind w:firstLine="420"/>
      </w:pPr>
      <w:r>
        <w:rPr>
          <w:rFonts w:ascii="宋体" w:hAnsi="宋体"/>
          <w:sz w:val="22"/>
        </w:rPr>
        <w:t>"知几"和"知耻"是《周易》中的两个核心概念，它们为YLYW的学习机制提供了哲学的锚定。</w:t>
      </w:r>
    </w:p>
    <w:p>
      <w:pPr>
        <w:spacing w:after="100"/>
        <w:ind w:firstLine="420"/>
      </w:pPr>
      <w:r>
        <w:rPr>
          <w:rFonts w:ascii="宋体" w:hAnsi="宋体"/>
          <w:b/>
          <w:sz w:val="22"/>
        </w:rPr>
        <w:t>知几——"知几其神乎"（《系辞传》）。</w:t>
      </w:r>
      <w:r>
        <w:rPr>
          <w:rFonts w:ascii="宋体" w:hAnsi="宋体"/>
          <w:sz w:val="22"/>
        </w:rPr>
        <w:t xml:space="preserve"> "几"是事物变化的微妙征兆——不是已经发生了的灾祸，而是灾祸的第一个隐约征兆。知几的能力就是在变化的"苗头"阶段就识别出它的方向和趋势。</w:t>
      </w:r>
    </w:p>
    <w:p>
      <w:pPr>
        <w:spacing w:after="100"/>
        <w:ind w:firstLine="420"/>
      </w:pPr>
      <w:r>
        <w:rPr>
          <w:rFonts w:ascii="宋体" w:hAnsi="宋体"/>
          <w:sz w:val="22"/>
        </w:rPr>
        <w:t>在YLYW的工程语言中，"知几"对应的是</w:t>
      </w:r>
      <w:r>
        <w:rPr>
          <w:rFonts w:ascii="宋体" w:hAnsi="宋体"/>
          <w:b/>
          <w:sz w:val="22"/>
        </w:rPr>
        <w:t>预测性诊断</w:t>
      </w:r>
      <w:r>
        <w:rPr>
          <w:rFonts w:ascii="宋体" w:hAnsi="宋体"/>
          <w:sz w:val="22"/>
        </w:rPr>
        <w:t>：不是等到系统摔倒后再做反应，而是在姿态刚刚开始偏离时就识别出"当前卦象正在向危险卦象漂移"。第3.2.4节中描述的Top-3卦象追踪——当最佳匹配卦象的相似度下降而备选卦象的相似度上升时——就是"知几"的工程实现。系统通过持续监测六爻值的变化趋势，在"老阳/老阴"（爻值≥0.90或≤0.10）出现时触发变卦预判——这比等到完全"变卦"（爻值跨过0.5的阴阳边界）早了整整一个梯度。</w:t>
      </w:r>
    </w:p>
    <w:p>
      <w:pPr>
        <w:spacing w:after="100"/>
        <w:ind w:firstLine="420"/>
      </w:pPr>
      <w:r>
        <w:rPr>
          <w:rFonts w:ascii="宋体" w:hAnsi="宋体"/>
          <w:b/>
          <w:sz w:val="22"/>
        </w:rPr>
        <w:t>知耻——"知耻近乎勇"（《中庸》）。</w:t>
      </w:r>
      <w:r>
        <w:rPr>
          <w:rFonts w:ascii="宋体" w:hAnsi="宋体"/>
          <w:sz w:val="22"/>
        </w:rPr>
        <w:t xml:space="preserve"> 知耻是认识到自己的过失，并有勇气去修正。它不是耻辱感本身，而是</w:t>
      </w:r>
      <w:r>
        <w:rPr>
          <w:rFonts w:ascii="宋体" w:hAnsi="宋体"/>
          <w:b/>
          <w:sz w:val="22"/>
        </w:rPr>
        <w:t>从失败中学习的能力</w:t>
      </w:r>
      <w:r>
        <w:rPr>
          <w:rFonts w:ascii="宋体" w:hAnsi="宋体"/>
          <w:sz w:val="22"/>
        </w:rPr>
        <w:t>。</w:t>
      </w:r>
    </w:p>
    <w:p>
      <w:pPr>
        <w:spacing w:after="100"/>
        <w:ind w:firstLine="420"/>
      </w:pPr>
      <w:r>
        <w:rPr>
          <w:rFonts w:ascii="宋体" w:hAnsi="宋体"/>
          <w:sz w:val="22"/>
        </w:rPr>
        <w:t>在工程语言中，"知耻"对应的是</w:t>
      </w:r>
      <w:r>
        <w:rPr>
          <w:rFonts w:ascii="宋体" w:hAnsi="宋体"/>
          <w:b/>
          <w:sz w:val="22"/>
        </w:rPr>
        <w:t>失败驱动的参数修正</w:t>
      </w:r>
      <w:r>
        <w:rPr>
          <w:rFonts w:ascii="宋体" w:hAnsi="宋体"/>
          <w:sz w:val="22"/>
        </w:rPr>
        <w:t>：当系统接收到物理反馈信号（滑脱、摔倒、COM偏差过大），它不会简单地"再试一次"——它回放完整的推理链，定位失败的根因，然后修正对应的参数。这种"知耻而改"的机制是第4.3-4.4节的核心内容。</w:t>
      </w:r>
    </w:p>
    <w:p>
      <w:pPr>
        <w:spacing w:after="100"/>
        <w:ind w:firstLine="420"/>
      </w:pPr>
      <w:r>
        <w:rPr>
          <w:rFonts w:ascii="宋体" w:hAnsi="宋体"/>
          <w:b/>
          <w:sz w:val="22"/>
        </w:rPr>
        <w:t>知几 + 知耻的互补。</w:t>
      </w:r>
      <w:r>
        <w:rPr>
          <w:rFonts w:ascii="宋体" w:hAnsi="宋体"/>
          <w:sz w:val="22"/>
        </w:rPr>
        <w:t xml:space="preserve"> 两个机制从不同的时间尺度上共同守护系统的安全与性能：</w:t>
      </w:r>
    </w:p>
    <w:p>
      <w:pPr>
        <w:spacing w:after="100"/>
        <w:ind w:left="680"/>
      </w:pPr>
      <w:r>
        <w:rPr>
          <w:rFonts w:ascii="宋体" w:hAnsi="宋体"/>
          <w:sz w:val="22"/>
        </w:rPr>
        <w:t xml:space="preserve">•  </w:t>
      </w:r>
      <w:r>
        <w:rPr>
          <w:rFonts w:ascii="宋体" w:hAnsi="宋体"/>
          <w:b/>
          <w:sz w:val="22"/>
        </w:rPr>
        <w:t>知几</w:t>
      </w:r>
      <w:r>
        <w:rPr>
          <w:rFonts w:ascii="宋体" w:hAnsi="宋体"/>
          <w:sz w:val="22"/>
        </w:rPr>
        <w:t>在"事前"运作——在问题还未完全成形时就预判并预防。它的窗口是"毫秒到秒级"的实时监测。</w:t>
      </w:r>
    </w:p>
    <w:p>
      <w:pPr>
        <w:spacing w:after="100"/>
        <w:ind w:left="680"/>
      </w:pPr>
      <w:r>
        <w:rPr>
          <w:rFonts w:ascii="宋体" w:hAnsi="宋体"/>
          <w:sz w:val="22"/>
        </w:rPr>
        <w:t xml:space="preserve">•  </w:t>
      </w:r>
      <w:r>
        <w:rPr>
          <w:rFonts w:ascii="宋体" w:hAnsi="宋体"/>
          <w:b/>
          <w:sz w:val="22"/>
        </w:rPr>
        <w:t>知耻</w:t>
      </w:r>
      <w:r>
        <w:rPr>
          <w:rFonts w:ascii="宋体" w:hAnsi="宋体"/>
          <w:sz w:val="22"/>
        </w:rPr>
        <w:t>在"事后"运作——在失败发生后从错误中学习并修正。它的窗口是"秒到分钟级"的参数精化。</w:t>
      </w:r>
    </w:p>
    <w:p>
      <w:pPr>
        <w:spacing w:after="100"/>
        <w:ind w:firstLine="420"/>
      </w:pPr>
      <w:r>
        <w:rPr>
          <w:rFonts w:ascii="宋体" w:hAnsi="宋体"/>
          <w:sz w:val="22"/>
        </w:rPr>
        <w:t>这种"预防+修正"的双层机制与人体内稳态的维持方式具有结构上的相似性——交感神经在偏差的苗头阶段就启动纠正（知几），而学习和记忆机制在一次失败体验后调整未来的行为策略（知耻）。</w:t>
      </w:r>
    </w:p>
    <w:p>
      <w:pPr>
        <w:spacing w:before="120" w:after="120"/>
        <w:ind w:firstLine="0"/>
      </w:pPr>
      <w:r>
        <w:rPr>
          <w:color w:val="969696"/>
          <w:sz w:val="18"/>
        </w:rPr>
        <w:t>——————————————————————————————</w:t>
      </w:r>
    </w:p>
    <w:p>
      <w:pPr>
        <w:spacing w:after="100"/>
        <w:ind w:firstLine="420"/>
      </w:pPr>
      <w:r>
        <w:rPr>
          <w:rFonts w:ascii="宋体" w:hAnsi="宋体"/>
          <w:sz w:val="22"/>
        </w:rPr>
        <w:t>*本节完。下一节：4.2 可解释推理链驱动的失败诊断。*</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