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第5.2节定义了双八卦系统的架构和五级安全等级的判定规则。本节报告安全八卦在304个仿真物体上的基线测试、8个极端场景的压力测试和三维消融实验，验证其在零样本条件下的安全判别能力。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5.3.1 304物体基线测试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实验配置。</w:t>
      </w:r>
      <w:r>
        <w:rPr>
          <w:rFonts w:ascii="宋体" w:hAnsi="宋体"/>
          <w:sz w:val="22"/>
        </w:rPr>
        <w:t xml:space="preserve"> 8类物体 × 38实例/类 = 304个仿真物体（随机种子42），每物体通过YLYW推理输出抓取策略，安全八卦与策略八卦并行推理。所有推理均为纯符号推理，零训练数据。评估指标：总力修正系数均值、按物体类型的安全等级分布。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表5.3 物理合规基线测试结果（n=304）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指标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数值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总力修正系数均值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×0.874 (σ=0.096)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脆弱物体系数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×0.801–0.802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坚固物体系数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×0.932–0.994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SAFE 占比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36.5%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CAUTION 占比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2.6%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WARNING 占比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60.9%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DANGER 占比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CRITICAL 占比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表5.4 按物体类型的安全等级分布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物体类型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力修正均值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SAFE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CAUTION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WARNING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立方体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×0.994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97.4%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2.6%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圆柱体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×0.977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76.3%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7.9%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15.8%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石块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×0.932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55.3%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7.9%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36.8%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球体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×0.864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36.8%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2.6%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60.5%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碗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×0.802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瓶子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×0.801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盘子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×0.802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花瓶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×0.802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100%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关键发现。</w:t>
      </w:r>
      <w:r>
        <w:rPr>
          <w:rFonts w:ascii="宋体" w:hAnsi="宋体"/>
          <w:sz w:val="22"/>
        </w:rPr>
        <w:t xml:space="preserve"> 脆弱物体（碗/瓶/盘/花瓶）100%触发WARNING——力修正均值×0.802，每次被抓取都需要降力约20%。坚固物体（立方体）97.4% SAFE——力修正均值×0.994，几乎无降力。球体触发WARNING的比例较高（60.5%）——因为其高滚动倾向在安全八卦的五爻（稳定性裕度）上触发了警告。仿真中的零DANGER/CRITICAL反映了理想化条件；实物实验中，由于真实物体的不确定性更高（如实际摩擦系数偏离标定值），预期会产生更高级别的安全响应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5.3.2 极端场景压力测试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为验证安全八卦在极端条件下的拦截能力，构造8个覆盖全安全等级谱系的场景——包括1个安全基线、2个中度风险、4个高风险和1个极度危险。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表5.5 极端场景压力测试结果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场景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描述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安全等级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力修正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触发爻位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正常苹果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SAFE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×1.00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重锤砸蛋壳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WARNING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二爻(破坏风险)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远距杠杆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WARNING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五爻(稳定性裕度)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湿滑玻璃杯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DANGER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二爻+三爻+上爻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薄壁瓷瓶斜刺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DANGER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二爻+上爻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油污金属球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DANGER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三爻+五爻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叠放玻璃杯组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DANGER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二爻+四爻+五爻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四重违规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CRITICAL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×0.30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初爻+三爻+五爻+上爻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结果分析：8个场景触发了全部5级安全等级。正常场景（S8，苹果）六阳全合规通过。高危场景触发DANGER——降力40%并切换到谨慎策略族（策略八卦从power_grasp切换到precision_grasp等）。极端危险场景（S7，四重违规）触发CRITICAL——降力70%并触发变卦，系统请求策略八卦重新选择卦象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DANGER和CRITICAL场景均由多条爻同时违规触发。S2（湿滑玻璃杯）在二爻（破坏风险）、三爻（摩擦锥）和上爻（穿透风险）三处同时违规——反映了潮湿低摩擦+锐角+高脆弱三重风险的叠加。系统通过多条安全爻的联合触发"认出"了这种危险的复合场景——这超出了任何单一if-then安全规则的处理能力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5.3.3 安全八卦消融实验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为量化安全八卦各组件的独立贡献，进行三维消融实验。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表5.6 安全八卦消融实验结果（n=304）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配置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力修正均值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WARNING数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CRITICAL数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(A) 完整安全八卦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×0.874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(B) 去掉二爻×2权重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×0.950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(C) 去掉爻加权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×0.950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(D) 关闭安全八卦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×1.000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二爻高权重（贡献−0.150）：</w:t>
      </w:r>
      <w:r>
        <w:rPr>
          <w:rFonts w:ascii="宋体" w:hAnsi="宋体"/>
          <w:sz w:val="22"/>
        </w:rPr>
        <w:t xml:space="preserve"> 去掉二爻的×2权重后，全部185个WARNING降级为CAUTION，脆弱物体的平均力修正从×0.800回升至×0.950。二爻（破坏风险）的高权重是安全八卦对脆弱物体敏感的核心机制——它确保了脆弱物体即使仅触发单一违规，也能获得20%的力降幅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安全八卦整层（贡献−0.122）：</w:t>
      </w:r>
      <w:r>
        <w:rPr>
          <w:rFonts w:ascii="宋体" w:hAnsi="宋体"/>
          <w:sz w:val="22"/>
        </w:rPr>
        <w:t xml:space="preserve"> 关闭安全八卦后，全部力修正系数回升至×1.000。安全八卦对全局力修正的平均贡献为−12.2%，其中对脆弱物体的贡献（−20.0%）显著大于对坚固物体的贡献（−6.8%）——体现了分层安全审核的设计目标：①对脆弱物体提供充分保护；②对坚固物体保持宽容，不降低操作效率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*本节完。下一节：5.4 反幻觉审查——从物理决策到语言审查的跨域迁移。*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