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ind w:firstLine="420"/>
      </w:pPr>
      <w:r>
        <w:rPr>
          <w:rFonts w:ascii="宋体" w:hAnsi="宋体"/>
          <w:sz w:val="22"/>
        </w:rPr>
        <w:t>第1-5章从哲学根基到架构设计到学习机制再到安全约束，完成了YLYW的完整理论体系。但理论体系的最后验证不是逻辑推导——而是</w:t>
      </w:r>
      <w:r>
        <w:rPr>
          <w:rFonts w:ascii="宋体" w:hAnsi="宋体"/>
          <w:b/>
          <w:sz w:val="22"/>
        </w:rPr>
        <w:t>实验</w:t>
      </w:r>
      <w:r>
        <w:rPr>
          <w:rFonts w:ascii="宋体" w:hAnsi="宋体"/>
          <w:sz w:val="22"/>
        </w:rPr>
        <w:t>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本章报告YLYW在三个主要域（物理抓取、运动控制、具身导航）和三个补充域（视觉分类、书法轨迹、嵌入式部署）上的系统实验。这些实验的共同设计原则是：零样本优先、消融验证、对比评估、可解释评估。它们共同构成了对"结构化先验知识可以在多个域中替代大量训练数据"这一核心主张的跨域实证支撑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6.1 实验设计的整体思路</w:t>
      </w:r>
    </w:p>
    <w:p>
      <w:pPr>
        <w:spacing w:before="200" w:after="120"/>
      </w:pPr>
      <w:r>
        <w:rPr>
          <w:rFonts w:ascii="黑体" w:hAnsi="黑体"/>
          <w:b/>
          <w:sz w:val="24"/>
        </w:rPr>
        <w:t>6.1.1 为什么跨域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YLYW的架构论证中有一个根本性的主张：八卦隶属度→六爻编码→卦象匹配的三层推理架构是</w:t>
      </w:r>
      <w:r>
        <w:rPr>
          <w:rFonts w:ascii="宋体" w:hAnsi="宋体"/>
          <w:b/>
          <w:sz w:val="22"/>
        </w:rPr>
        <w:t>域无关的</w:t>
      </w:r>
      <w:r>
        <w:rPr>
          <w:rFonts w:ascii="宋体" w:hAnsi="宋体"/>
          <w:sz w:val="22"/>
        </w:rPr>
        <w:t>——它不绑定于特定的物理语义，而是一种通用的"感知→编码→决策"计算框架。跨域验证正是要检验这一主张。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如果YLYW仅在物理抓取域有效，可能是因为"64卦恰好适合描述物体属性"——但这个巧合的解释在逻辑上是不充分的。只有当相同的架构骨架（仅替换L1原型、L2公式、L3规则库的语义内容）在完全不同域（运动和交互、导航、感知）中同样有效时，才能证明架构的通用性。</w:t>
      </w:r>
    </w:p>
    <w:p>
      <w:pPr>
        <w:spacing w:before="200" w:after="120"/>
      </w:pPr>
      <w:r>
        <w:rPr>
          <w:rFonts w:ascii="黑体" w:hAnsi="黑体"/>
          <w:b/>
          <w:sz w:val="24"/>
        </w:rPr>
        <w:t>6.1.2 四原则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所有跨域实验遵循同一套设计原则：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1. </w:t>
      </w:r>
      <w:r>
        <w:rPr>
          <w:rFonts w:ascii="宋体" w:hAnsi="宋体"/>
          <w:b/>
          <w:sz w:val="22"/>
        </w:rPr>
        <w:t>零样本优先</w:t>
      </w:r>
      <w:r>
        <w:rPr>
          <w:rFonts w:ascii="宋体" w:hAnsi="宋体"/>
          <w:sz w:val="22"/>
        </w:rPr>
        <w:t>：不调参、无训练数据的裸推，作为系统能力的"底线测试"。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2. </w:t>
      </w:r>
      <w:r>
        <w:rPr>
          <w:rFonts w:ascii="宋体" w:hAnsi="宋体"/>
          <w:b/>
          <w:sz w:val="22"/>
        </w:rPr>
        <w:t>消融验证</w:t>
      </w:r>
      <w:r>
        <w:rPr>
          <w:rFonts w:ascii="宋体" w:hAnsi="宋体"/>
          <w:sz w:val="22"/>
        </w:rPr>
        <w:t>：每个设计选择的独立贡献通过消融实验量化归因。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3. </w:t>
      </w:r>
      <w:r>
        <w:rPr>
          <w:rFonts w:ascii="宋体" w:hAnsi="宋体"/>
          <w:b/>
          <w:sz w:val="22"/>
        </w:rPr>
        <w:t>对比评估</w:t>
      </w:r>
      <w:r>
        <w:rPr>
          <w:rFonts w:ascii="宋体" w:hAnsi="宋体"/>
          <w:sz w:val="22"/>
        </w:rPr>
        <w:t>：与域内基准方法进行系统对比。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4. </w:t>
      </w:r>
      <w:r>
        <w:rPr>
          <w:rFonts w:ascii="宋体" w:hAnsi="宋体"/>
          <w:b/>
          <w:sz w:val="22"/>
        </w:rPr>
        <w:t>可解释评估</w:t>
      </w:r>
      <w:r>
        <w:rPr>
          <w:rFonts w:ascii="宋体" w:hAnsi="宋体"/>
          <w:sz w:val="22"/>
        </w:rPr>
        <w:t>：不仅报告"成功率"等宏观指标，还输出可追溯的推理链案例。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6.2 物理域：YCB物理力学评估</w:t>
      </w:r>
    </w:p>
    <w:p>
      <w:pPr>
        <w:spacing w:before="200" w:after="120"/>
      </w:pPr>
      <w:r>
        <w:rPr>
          <w:rFonts w:ascii="黑体" w:hAnsi="黑体"/>
          <w:b/>
          <w:sz w:val="24"/>
        </w:rPr>
        <w:t>6.2.1 实验配置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第5.1节已详细描述了YCB测试集的评估方法论（双指夹爪力学模型、角度增益50°搜索、力闭合/提升/安全三维评分）。此处仅列出核心配置和结果。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测试集</w:t>
      </w:r>
      <w:r>
        <w:rPr>
          <w:rFonts w:ascii="宋体" w:hAnsi="宋体"/>
          <w:sz w:val="22"/>
        </w:rPr>
        <w:t>：50个物理物体（8大类：球体8个、立方体6个、碗6个、瓶子6个、圆柱体6个、盘子6个、石块6个、花瓶6个），来自YCB标准物体集和日常物品。每物体3次重复，共150次试验。每次叠加±5%随机噪声模拟传感器不确定性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零样本基线</w:t>
      </w:r>
      <w:r>
        <w:rPr>
          <w:rFonts w:ascii="宋体" w:hAnsi="宋体"/>
          <w:sz w:val="22"/>
        </w:rPr>
        <w:t>：YLYW在纯零样本（无训练、无调参）条件下，使用完全初始的六十四卦规则推理。</w:t>
      </w:r>
    </w:p>
    <w:p>
      <w:pPr>
        <w:spacing w:before="200" w:after="120"/>
      </w:pPr>
      <w:r>
        <w:rPr>
          <w:rFonts w:ascii="黑体" w:hAnsi="黑体"/>
          <w:b/>
          <w:sz w:val="24"/>
        </w:rPr>
        <w:t>6.2.2 核心结果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表6.1 YCB测试零样本物理评估结果（n=150）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物体类型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试验数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成功率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力闭合均分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提升均分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安全均分</w:t>
            </w:r>
          </w:p>
        </w:tc>
      </w:tr>
      <w:tr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立方体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18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100.0%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0.55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1.00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1.00</w:t>
            </w:r>
          </w:p>
        </w:tc>
      </w:tr>
      <w:tr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碗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18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100.0%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0.50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0.85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1.00</w:t>
            </w:r>
          </w:p>
        </w:tc>
      </w:tr>
      <w:tr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球体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24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100.0%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0.52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0.92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0.85</w:t>
            </w:r>
          </w:p>
        </w:tc>
      </w:tr>
      <w:tr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盘子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18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100.0%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0.50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0.88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0.90</w:t>
            </w:r>
          </w:p>
        </w:tc>
      </w:tr>
      <w:tr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石块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18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100.0%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0.48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0.85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0.92</w:t>
            </w:r>
          </w:p>
        </w:tc>
      </w:tr>
      <w:tr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花瓶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18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100.0%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0.48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0.82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0.90</w:t>
            </w:r>
          </w:p>
        </w:tc>
      </w:tr>
      <w:tr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瓶子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18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66.7%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0.40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0.70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0.88</w:t>
            </w:r>
          </w:p>
        </w:tc>
      </w:tr>
      <w:tr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圆柱体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18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66.7%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0.42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0.72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0.85</w:t>
            </w:r>
          </w:p>
        </w:tc>
      </w:tr>
      <w:tr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**总计**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**150**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**92.0%**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**0.48**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**0.85**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**0.91**</w:t>
            </w:r>
          </w:p>
        </w:tc>
      </w:tr>
    </w:tbl>
    <w:p/>
    <w:p>
      <w:pPr>
        <w:spacing w:after="100"/>
        <w:ind w:firstLine="420"/>
      </w:pPr>
      <w:r>
        <w:rPr>
          <w:rFonts w:ascii="宋体" w:hAnsi="宋体"/>
          <w:sz w:val="22"/>
        </w:rPr>
        <w:t>六类物体实现100%成功率。瓶颈集中在瓶子与圆柱体的高重量+低摩擦组合（如550g矿泉水瓶μ=0.30，750g酒瓶μ=0.18），属于平行夹爪的公认物理瓶颈。</w:t>
      </w:r>
    </w:p>
    <w:p>
      <w:pPr>
        <w:spacing w:before="200" w:after="120"/>
      </w:pPr>
      <w:r>
        <w:rPr>
          <w:rFonts w:ascii="黑体" w:hAnsi="黑体"/>
          <w:b/>
          <w:sz w:val="24"/>
        </w:rPr>
        <w:t>6.2.3 与国际同行间接对比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表6.2 抓取方法间接对比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方法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零样本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无需训练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成功率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评估方式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Dex-Net 2.0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✗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✗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93%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合成仿真力闭合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GraspNet-1B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✓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✗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65-85%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合成仿真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GG-CNN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✗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✗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83%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物理抓取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**YLYW（本文）**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**✓**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**✓**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**92.0%**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**标准力学解析**</w:t>
            </w:r>
          </w:p>
        </w:tc>
      </w:tr>
    </w:tbl>
    <w:p/>
    <w:p>
      <w:pPr>
        <w:spacing w:after="100"/>
        <w:ind w:firstLine="420"/>
      </w:pPr>
      <w:r>
        <w:rPr>
          <w:rFonts w:ascii="宋体" w:hAnsi="宋体"/>
          <w:sz w:val="22"/>
        </w:rPr>
        <w:t>YLYW以完全零样本、无训练的方式达到92.0%，与需大规模训练数据的GraspNet（65-85%）和GG-CNN（83%）处于可比范围，接近Dex-Net（93%）的水平。需要强调的是，YLYW的评估使用最简力学公式，不考虑几何钩触/包络效应——这是一个更保守的评估条件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6.3 运动控制域</w:t>
      </w:r>
    </w:p>
    <w:p>
      <w:pPr>
        <w:spacing w:before="200" w:after="120"/>
      </w:pPr>
      <w:r>
        <w:rPr>
          <w:rFonts w:ascii="黑体" w:hAnsi="黑体"/>
          <w:b/>
          <w:sz w:val="24"/>
        </w:rPr>
        <w:t>6.3.1 迁移设计：从抓取到步态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三层架构的跨域迁移仅需重新定义每层的语义内容。物理抓取域使用物体物理属性（13维），运动控制域使用机器人状态（6维传感器）。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L1八卦运动基元</w:t>
      </w:r>
      <w:r>
        <w:rPr>
          <w:rFonts w:ascii="宋体" w:hAnsi="宋体"/>
          <w:sz w:val="22"/>
        </w:rPr>
        <w:t>。8个运动原型对应8种运动状态：乾（高速驱动）、坤（柔顺缓行）、震（动态扰频）、艮（静态稳定）、坎（恢复抗扰）、离（地形感知）、兑（协调节奏）、巽（自适应）。每个原型由6维向量定义。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L2六爻状态编码</w:t>
      </w:r>
      <w:r>
        <w:rPr>
          <w:rFonts w:ascii="宋体" w:hAnsi="宋体"/>
          <w:sz w:val="22"/>
        </w:rPr>
        <w:t>。6爻对应运动控制的六个核心维度：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爻位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物理语义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计算来源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初爻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躯干姿态稳定性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IMU倾角(roll+pitch)→[0,1]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二爻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质心高度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加速度计Z→低通滤波归一化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三爻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足端力分布均匀性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左右腿力矩比→[0,1]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四爻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ZMP稳定裕度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倾角+角速度组合评估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五爻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扰动/能耗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角速度幅度+垂向加速度变化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上爻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地形通过性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加速度高频分量/地面模型</w:t>
            </w:r>
          </w:p>
        </w:tc>
      </w:tr>
    </w:tbl>
    <w:p/>
    <w:p>
      <w:pPr>
        <w:spacing w:after="100"/>
        <w:ind w:firstLine="420"/>
      </w:pPr>
      <w:r>
        <w:rPr>
          <w:rFonts w:ascii="宋体" w:hAnsi="宋体"/>
          <w:b/>
          <w:sz w:val="22"/>
        </w:rPr>
        <w:t>L3六十四卦步态策略库</w:t>
      </w:r>
      <w:r>
        <w:rPr>
          <w:rFonts w:ascii="宋体" w:hAnsi="宋体"/>
          <w:sz w:val="22"/>
        </w:rPr>
        <w:t>。64卦映射为14种步态类型，涵盖从静止站立→极慢爬行→慢走→正常行走→快速行走→小跑→奔跑的完整速度谱系，以及谨慎行走、恢复步态、过渡缓冲、转向、爬坡、下坡、自适应等特殊步态。</w:t>
      </w:r>
    </w:p>
    <w:p>
      <w:pPr>
        <w:spacing w:before="200" w:after="120"/>
      </w:pPr>
      <w:r>
        <w:rPr>
          <w:rFonts w:ascii="黑体" w:hAnsi="黑体"/>
          <w:b/>
          <w:sz w:val="24"/>
        </w:rPr>
        <w:t>6.3.2 11种场景零样本步态映射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表6.3 11种运动场景的零样本卦象→步态映射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场景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姿态值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匹配卦象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步态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速度(m/s)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站立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0.92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艮为山(52)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stand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慢走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0.72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风山渐(53)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slow_walk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0.35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行走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0.65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火风鼎(50)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walk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0.60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快走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0.58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雷火丰(55)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fast_walk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0.75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小跑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0.52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雷泽归妹(54)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trot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1.30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奔跑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0.48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雷天大壮(34)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run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2.00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推搡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0.18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坎为水(29)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recovery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0.20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爬坡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0.60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地风升(46)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climb_up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0.40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下坡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0.70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泽地萃(45)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climb_down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0.35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崎岖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水山蹇(39)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cautious_walk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0.30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恢复后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0.55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泽雷随(17)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walk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0.55</w:t>
            </w:r>
          </w:p>
        </w:tc>
      </w:tr>
    </w:tbl>
    <w:p/>
    <w:p>
      <w:pPr>
        <w:spacing w:after="100"/>
        <w:ind w:firstLine="420"/>
      </w:pPr>
      <w:r>
        <w:rPr>
          <w:rFonts w:ascii="宋体" w:hAnsi="宋体"/>
          <w:sz w:val="22"/>
        </w:rPr>
        <w:t>每个场景都有卦象语义支撑。例如"推搡→坎为水"对应坎为水的卦辞"陷也，遇险则止"——系统感知到姿态骤降（0.92→0.18），自动切换到恢复步态。</w:t>
      </w:r>
    </w:p>
    <w:p>
      <w:pPr>
        <w:spacing w:before="200" w:after="120"/>
      </w:pPr>
      <w:r>
        <w:rPr>
          <w:rFonts w:ascii="黑体" w:hAnsi="黑体"/>
          <w:b/>
          <w:sz w:val="24"/>
        </w:rPr>
        <w:t>6.3.3 MuJoCo G1人形机器人仿真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宇树G1人形机器人23-DOF URDF模型，MuJoCo物理引擎闭环仿真。200Hz控制频率，YLYW推理10Hz。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推搡恢复实验</w:t>
      </w:r>
      <w:r>
        <w:rPr>
          <w:rFonts w:ascii="宋体" w:hAnsi="宋体"/>
          <w:sz w:val="22"/>
        </w:rPr>
        <w:t>。15s时刻注入300N侧向推力：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```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14.0s 火风鼎(walk, 0.60) → 15.0s 坎为水(recovery, 0.20) →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15.5s 地雷复(recovery, 0.20) → 16.5s 雷火丰(fast_walk, 0.75) →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17.5s 泽雷随(walk, 0.55) → 18.0s 风泽中孚(walk, 0.55)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```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推搡瞬间姿态从0.65骤降至0.12，爻位关系检测到4处不当位和2处阴乘阳，力修正从0.60降至0.40。4秒后恢复至正常行走。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爻位关系域间差异</w:t>
      </w:r>
      <w:r>
        <w:rPr>
          <w:rFonts w:ascii="宋体" w:hAnsi="宋体"/>
          <w:sz w:val="22"/>
        </w:rPr>
        <w:t>。在运动控制域中，爻位关系修正系数均值0.94——显著低于静态视觉域的~1.0。验证了爻位关系设计用于处理时序动态变化的理论预期：六爻之间的"乘承比应"在动态协调中比在静态分类中更有实际效用。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6.4 ALFWorld具身导航域</w:t>
      </w:r>
    </w:p>
    <w:p>
      <w:pPr>
        <w:spacing w:before="200" w:after="120"/>
      </w:pPr>
      <w:r>
        <w:rPr>
          <w:rFonts w:ascii="黑体" w:hAnsi="黑体"/>
          <w:b/>
          <w:sz w:val="24"/>
        </w:rPr>
        <w:t>6.4.1 迁移设计：从物理域到导航域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跨域迁移不仅改变了语义内容，还改变了任务性质——从"如何操作单个物体"变为"如何在多房间环境中导航并完成多步骤任务"。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L1导航域八卦（8种位置原型）。</w:t>
      </w:r>
      <w:r>
        <w:rPr>
          <w:rFonts w:ascii="宋体" w:hAnsi="宋体"/>
          <w:sz w:val="22"/>
        </w:rPr>
        <w:t xml:space="preserve"> 5个标准位置(冰箱/微波炉/炉灶/水槽/桌子)映射为5个基本卦，3个通用探索原型(high_frequency/moderate_frequency/low_frequency)映射为3个动态卦。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L2导航域六爻（6维任务状态编码）。</w:t>
      </w:r>
      <w:r>
        <w:rPr>
          <w:rFonts w:ascii="宋体" w:hAnsi="宋体"/>
          <w:sz w:val="22"/>
        </w:rPr>
        <w:t xml:space="preserve"> 温度状态(需要加热/冷却/常温)、清洗需求、可见状态、是否需要开门、容器类型、使用频率。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L3导航域64卦策略模板。</w:t>
      </w:r>
      <w:r>
        <w:rPr>
          <w:rFonts w:ascii="宋体" w:hAnsi="宋体"/>
          <w:sz w:val="22"/>
        </w:rPr>
        <w:t xml:space="preserve"> 卦象匹配→具体行动序列，如[1,0,1,0,1,0]→"前往可见位置→取物→加热→放置"。</w:t>
      </w:r>
    </w:p>
    <w:p>
      <w:pPr>
        <w:spacing w:before="200" w:after="120"/>
      </w:pPr>
      <w:r>
        <w:rPr>
          <w:rFonts w:ascii="黑体" w:hAnsi="黑体"/>
          <w:b/>
          <w:sz w:val="24"/>
        </w:rPr>
        <w:t>6.4.2 核心结果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表6.4 ALFWorld知几学习逐步引入实验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版本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成功率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平均步数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引入改进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V4 Baseline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3.7%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48.5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随机动作基线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V5 (YLYW先验)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64.2%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23.1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三层先验推理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V6 (+PDDL)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92.5%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13.0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PDDL约束模板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V7 (YLYW+PDDL完整)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67.2%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23.1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完整先验+约束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V9 (+吉之几)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70.1%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21.8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正回忆→位置记忆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V10 (+凶之几)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73.9%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21.0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负回忆→错误排除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V10+persist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74.6%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20.1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跨会话持久化</w:t>
            </w:r>
          </w:p>
        </w:tc>
      </w:tr>
    </w:tbl>
    <w:p/>
    <w:p>
      <w:pPr>
        <w:spacing w:after="100"/>
        <w:ind w:firstLine="420"/>
      </w:pPr>
      <w:r>
        <w:rPr>
          <w:rFonts w:ascii="宋体" w:hAnsi="宋体"/>
          <w:sz w:val="22"/>
        </w:rPr>
        <w:t>V6是纯规则（无学习）的最高点92.5%。引入YLYW完整架构+V6后标注不一致导致的下降说明V8论文数据的完整性。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标注一致性发现。</w:t>
      </w:r>
      <w:r>
        <w:rPr>
          <w:rFonts w:ascii="宋体" w:hAnsi="宋体"/>
          <w:sz w:val="22"/>
        </w:rPr>
        <w:t xml:space="preserve"> ALFWorld标准评测中存在25.4%的标注不一致（34/134局）。在标注一致的100局中，YLYW达到90.0%——这一数字更真实地反映了系统的决策能力。34个标注不一致的局构成了不可逾越的性能天花板。</w:t>
      </w:r>
    </w:p>
    <w:p>
      <w:pPr>
        <w:spacing w:before="200" w:after="120"/>
      </w:pPr>
      <w:r>
        <w:rPr>
          <w:rFonts w:ascii="黑体" w:hAnsi="黑体"/>
          <w:b/>
          <w:sz w:val="24"/>
        </w:rPr>
        <w:t>6.4.3 与其他方法对比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表6.5 ALFWorld方法对比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方法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参数/模型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成功率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推理延迟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硬件需求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BUTLER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—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37.0%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—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GPU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Reflexion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GPT-4/Qwen-27B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77.0%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~2s/局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API/GPU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EmbodiSkill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Qwen3.5-27B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93.28%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~3s/局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GPU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**YLYW（本文）**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**443参数**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**73.9%**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**&lt;2ms**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**CPU**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**YLYW（一致子集）**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**443参数**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**90.0%**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**&lt;2ms**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**CPU**</w:t>
            </w:r>
          </w:p>
        </w:tc>
      </w:tr>
    </w:tbl>
    <w:p/>
    <w:p>
      <w:pPr>
        <w:spacing w:after="100"/>
        <w:ind w:firstLine="420"/>
      </w:pPr>
      <w:r>
        <w:rPr>
          <w:rFonts w:ascii="宋体" w:hAnsi="宋体"/>
          <w:sz w:val="22"/>
        </w:rPr>
        <w:t>YLYW以443参数（约EmbodiSkill的1/6×10⁷）接近Reflexion的77%（差3.1百分点），推理速度快1000倍以上。标注一致子集中的90.0%进一步验证了先验知识的跨域泛化能力。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6.5 补充域</w:t>
      </w:r>
    </w:p>
    <w:p>
      <w:pPr>
        <w:spacing w:before="200" w:after="120"/>
      </w:pPr>
      <w:r>
        <w:rPr>
          <w:rFonts w:ascii="黑体" w:hAnsi="黑体"/>
          <w:b/>
          <w:sz w:val="24"/>
        </w:rPr>
        <w:t>6.5.1 学灵通8051嵌入式验证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将YLYW推理链部署至STC15W4K8051单片机（8位MCU、4KB RAM、无FPU）。仅3轴陀螺仪作为唯一传感器，6维状态中2维固定、4维动态变化。整数余弦相似度简化后约512次运算，单次匹配1-2ms，控制周期20ms（占用率15%）。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7级步态测试序列（站立→慢走→行走→快走→小跑→奔跑→急停→恢复→站立）验证了在资源极度受限条件下YLYW架构仍能产生合理的实时步态决策。</w:t>
      </w:r>
    </w:p>
    <w:p>
      <w:pPr>
        <w:spacing w:before="200" w:after="120"/>
      </w:pPr>
      <w:r>
        <w:rPr>
          <w:rFonts w:ascii="黑体" w:hAnsi="黑体"/>
          <w:b/>
          <w:sz w:val="24"/>
        </w:rPr>
        <w:t>6.5.2 书法轨迹学习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MuJoCo机械臂书写楷体汉字，10个测试字（大/人/永/中/山/水/天/地/国/心）。L1笔画空间分布→L2笔序/笔压/笔速/方向/曲率/对称性→L3结构卦→stroke序列。知几闭环迭代5-8轮收敛至可辨识。</w:t>
      </w:r>
    </w:p>
    <w:p>
      <w:pPr>
        <w:spacing w:before="200" w:after="120"/>
      </w:pPr>
      <w:r>
        <w:rPr>
          <w:rFonts w:ascii="黑体" w:hAnsi="黑体"/>
          <w:b/>
          <w:sz w:val="24"/>
        </w:rPr>
        <w:t>6.5.3 视觉分类（STL-10）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STL-10零样本Top-1准确率37.0%（随机基线10.0%→3.7倍提升），Brodatz纹理数据集70.4%。性能受限于静态域中爻位关系修正≈1.0（不活跃）——与运动控制域形成鲜明对比，验证了爻位关系是为处理动态物理约束而设计的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6.6 消融实验总览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三维消融实验（易理vs随机+33.6%、三层vs仅L3+12.7%、连续vs硬阈值+23.0%），加上安全八卦消融，共同构成了对YLYW每个设计选择的独立验证。具体数据已在第2-3章中报告，此处不再重复。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*本章完。下一章：第7章 自组织的层次化嵌套结构。*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