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第1-5章完成了YLYW从哲学根基到架构设计到学习机制到安全约束的完整理论体系。但理论的最终验证不是逻辑推导——是实验。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章报告YLYW在三个主要验证域——物理域（YCB物体抓取）、运动控制域（人形机器人步态）、具身导航域（ALFWorld）——以及多个补充域（视觉分类、书法学习、嵌入式部署）上的系统实验。每项实验遵循统一的设计原则：零样本优先、消融验证、对比评估、可解释追溯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6.1 实验设计的整体思路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6.1.1 为什么跨域——验证架构的通用性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YLYW架构的核心主张之一是：八卦隶属度→六爻编码→卦象匹配的三层推理架构是域无关的。这不仅仅是一个理论声明——它必须通过跨域验证来检验。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如果YLYW仅在物理抓取域有效，可以解释为"64卦恰好适合描述物体的物理属性"，但这种巧合解释的效力是有限的。只有当相同架构（仅替换各层的语义内容）在完全不同域——运动和交互、导航和探索、感知和分类——中同样有效时，才能证明架构本身具有通用性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跨域迁移的工程含义是：每次迁移只改变L1原型向量、L2编码公式和L3规则库的语义锚点，</w:t>
      </w:r>
      <w:r>
        <w:rPr>
          <w:rFonts w:ascii="宋体" w:hAnsi="宋体"/>
          <w:b/>
          <w:sz w:val="22"/>
        </w:rPr>
        <w:t>架构骨架、推理流程和参数更新机制保持不变</w:t>
      </w:r>
      <w:r>
        <w:rPr>
          <w:rFonts w:ascii="宋体" w:hAnsi="宋体"/>
          <w:sz w:val="22"/>
        </w:rPr>
        <w:t>。这意味着在物理域开发的所有工具——余弦相似度匹配、爻位关系运算、双八卦仲裁、知几知耻学习——在运动域和导航域中无需修改即可复用。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6.1.2 四原则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每项实验遵循四原则。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零样本优先。</w:t>
      </w:r>
      <w:r>
        <w:rPr>
          <w:rFonts w:ascii="宋体" w:hAnsi="宋体"/>
          <w:sz w:val="22"/>
        </w:rPr>
        <w:t xml:space="preserve"> 不进行任何参数调整或训练数据注入，以完全初始的六十四卦规则进行推理。这是系统的"底线测试"——它回答"先验知识在没有数据的情况下能提供多少决策能力"。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消融验证。</w:t>
      </w:r>
      <w:r>
        <w:rPr>
          <w:rFonts w:ascii="宋体" w:hAnsi="宋体"/>
          <w:sz w:val="22"/>
        </w:rPr>
        <w:t xml:space="preserve"> 每个设计选择（易理 vs 随机映射、三层 vs 仅L3、连续 vs 硬阈值）通过A/B测试量化其独立贡献。第2-3章报告的三维消融实验覆盖物理域；安全八卦消融覆盖安全域。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对比评估。</w:t>
      </w:r>
      <w:r>
        <w:rPr>
          <w:rFonts w:ascii="宋体" w:hAnsi="宋体"/>
          <w:sz w:val="22"/>
        </w:rPr>
        <w:t xml:space="preserve"> 在可能的情况下，与域内的基准方法进行定量比较。在物理域，YLYW的92.0%零样本成功率与Dex-Net（93%）、GraspNet（65-85%）和GG-CNN（83%）进行间接对比。在ALFWorld导航域，YLYW的_73.9%/90.0%（全集/一致子集）与BUTLER（37%）、Reflexion（77%）和EmbodiSkill（93.28%）进行直接对比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可解释评估。</w:t>
      </w:r>
      <w:r>
        <w:rPr>
          <w:rFonts w:ascii="宋体" w:hAnsi="宋体"/>
          <w:sz w:val="22"/>
        </w:rPr>
        <w:t xml:space="preserve"> 不仅报告宏观指标（成功率、平均分），还输出可追溯的推理链案例。推搡恢复实验的完整卦象切换链（5个卦象、4秒恢复）、YCB花瓶100%成功率的物理解释（角度增益使几何锁止补偿低摩擦）——每个案例的推理链都是可读的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6.1.3 评估指标的定义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不同域使用不同的评估指标，但共享一个设计原则——多维度独立评估。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域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指标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物理抓取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成功率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力学模型总分≥0.50为成功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安全维度得分≥0.50为安全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子维度分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力闭合/提升/安全的独立得分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运动控制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姿态稳定性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IMU倾角的归一化值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恢复时间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从扰动到正常步态的用时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卦象切换链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完整的情境过渡序列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ALFWorld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任务成功率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PDDL标注判定成功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平均步数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每局探索步数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标注一致率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环境标注与任务描述的一致性</w:t>
            </w:r>
          </w:p>
        </w:tc>
      </w:tr>
    </w:tbl>
    <w:p/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*本节完。下一节：6.2 物理域——YCB物理力学评估。*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