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pPr>
        <w:spacing w:before="120" w:after="120"/>
        <w:ind w:firstLine="0"/>
      </w:pPr>
      <w:r>
        <w:rPr>
          <w:color w:val="969696"/>
          <w:sz w:val="18"/>
        </w:rPr>
        <w:t>——————————————————————————————</w:t>
      </w:r>
    </w:p>
    <w:p>
      <w:pPr>
        <w:spacing w:before="280" w:after="160"/>
      </w:pPr>
      <w:r>
        <w:rPr>
          <w:rFonts w:ascii="黑体" w:hAnsi="黑体"/>
          <w:b/>
          <w:sz w:val="28"/>
        </w:rPr>
        <w:t>6.2.1 评估方法论：从语义合理到物理验证</w:t>
      </w:r>
    </w:p>
    <w:p>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pPr>
        <w:spacing w:before="200" w:after="120"/>
      </w:pPr>
      <w:r>
        <w:rPr>
          <w:rFonts w:ascii="黑体" w:hAnsi="黑体"/>
          <w:b/>
          <w:sz w:val="24"/>
        </w:rPr>
        <w:t>6.2.1.1 力映射：归一化值到牛顿</w:t>
      </w:r>
    </w:p>
    <w:p>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pPr>
        <w:spacing w:after="100"/>
        <w:ind w:firstLine="420"/>
      </w:pPr>
      <w:r>
        <w:rPr>
          <w:rFonts w:ascii="宋体" w:hAnsi="宋体"/>
          <w:b/>
          <w:sz w:val="22"/>
        </w:rPr>
        <w:t>表6.1 力映射表（归一化值→牛顿）</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归一化F</w:t>
            </w:r>
          </w:p>
        </w:tc>
        <w:tc>
          <w:tcPr>
            <w:tcW w:type="dxa" w:w="2878"/>
          </w:tcPr>
          <w:p>
            <w:pPr>
              <w:spacing w:before="40" w:after="40"/>
            </w:pPr>
            <w:r>
              <w:rPr>
                <w:rFonts w:ascii="宋体" w:hAnsi="宋体"/>
                <w:b/>
                <w:sz w:val="18"/>
              </w:rPr>
              <w:t>牛顿值(N)</w:t>
            </w:r>
          </w:p>
        </w:tc>
        <w:tc>
          <w:tcPr>
            <w:tcW w:type="dxa" w:w="2878"/>
          </w:tcPr>
          <w:p>
            <w:pPr>
              <w:spacing w:before="40" w:after="40"/>
            </w:pPr>
            <w:r>
              <w:rPr>
                <w:rFonts w:ascii="宋体" w:hAnsi="宋体"/>
                <w:b/>
                <w:sz w:val="18"/>
              </w:rPr>
              <w:t>物理示例</w:t>
            </w:r>
          </w:p>
        </w:tc>
      </w:tr>
      <w:tr>
        <w:tc>
          <w:tcPr>
            <w:tcW w:type="dxa" w:w="2878"/>
          </w:tcPr>
          <w:p>
            <w:pPr>
              <w:spacing w:before="40" w:after="40"/>
            </w:pPr>
            <w:r>
              <w:rPr>
                <w:rFonts w:ascii="宋体" w:hAnsi="宋体"/>
                <w:sz w:val="18"/>
              </w:rPr>
              <w:t>0.00</w:t>
            </w:r>
          </w:p>
        </w:tc>
        <w:tc>
          <w:tcPr>
            <w:tcW w:type="dxa" w:w="2878"/>
          </w:tcPr>
          <w:p>
            <w:pPr>
              <w:spacing w:before="40" w:after="40"/>
            </w:pPr>
            <w:r>
              <w:rPr>
                <w:rFonts w:ascii="宋体" w:hAnsi="宋体"/>
                <w:sz w:val="18"/>
              </w:rPr>
              <w:t>0</w:t>
            </w:r>
          </w:p>
        </w:tc>
        <w:tc>
          <w:tcPr>
            <w:tcW w:type="dxa" w:w="2878"/>
          </w:tcPr>
          <w:p>
            <w:pPr>
              <w:spacing w:before="40" w:after="40"/>
            </w:pPr>
            <w:r>
              <w:rPr>
                <w:rFonts w:ascii="宋体" w:hAnsi="宋体"/>
                <w:sz w:val="18"/>
              </w:rPr>
              <w:t>无接触</w:t>
            </w:r>
          </w:p>
        </w:tc>
      </w:tr>
      <w:tr>
        <w:tc>
          <w:tcPr>
            <w:tcW w:type="dxa" w:w="2878"/>
          </w:tcPr>
          <w:p>
            <w:pPr>
              <w:spacing w:before="40" w:after="40"/>
            </w:pPr>
            <w:r>
              <w:rPr>
                <w:rFonts w:ascii="宋体" w:hAnsi="宋体"/>
                <w:sz w:val="18"/>
              </w:rPr>
              <w:t>0.15</w:t>
            </w:r>
          </w:p>
        </w:tc>
        <w:tc>
          <w:tcPr>
            <w:tcW w:type="dxa" w:w="2878"/>
          </w:tcPr>
          <w:p>
            <w:pPr>
              <w:spacing w:before="40" w:after="40"/>
            </w:pPr>
            <w:r>
              <w:rPr>
                <w:rFonts w:ascii="宋体" w:hAnsi="宋体"/>
                <w:sz w:val="18"/>
              </w:rPr>
              <w:t>0.8</w:t>
            </w:r>
          </w:p>
        </w:tc>
        <w:tc>
          <w:tcPr>
            <w:tcW w:type="dxa" w:w="2878"/>
          </w:tcPr>
          <w:p>
            <w:pPr>
              <w:spacing w:before="40" w:after="40"/>
            </w:pPr>
            <w:r>
              <w:rPr>
                <w:rFonts w:ascii="宋体" w:hAnsi="宋体"/>
                <w:sz w:val="18"/>
              </w:rPr>
              <w:t>极轻触（羽毛针）</w:t>
            </w:r>
          </w:p>
        </w:tc>
      </w:tr>
      <w:tr>
        <w:tc>
          <w:tcPr>
            <w:tcW w:type="dxa" w:w="2878"/>
          </w:tcPr>
          <w:p>
            <w:pPr>
              <w:spacing w:before="40" w:after="40"/>
            </w:pPr>
            <w:r>
              <w:rPr>
                <w:rFonts w:ascii="宋体" w:hAnsi="宋体"/>
                <w:sz w:val="18"/>
              </w:rPr>
              <w:t>0.30</w:t>
            </w:r>
          </w:p>
        </w:tc>
        <w:tc>
          <w:tcPr>
            <w:tcW w:type="dxa" w:w="2878"/>
          </w:tcPr>
          <w:p>
            <w:pPr>
              <w:spacing w:before="40" w:after="40"/>
            </w:pPr>
            <w:r>
              <w:rPr>
                <w:rFonts w:ascii="宋体" w:hAnsi="宋体"/>
                <w:sz w:val="18"/>
              </w:rPr>
              <w:t>3.0</w:t>
            </w:r>
          </w:p>
        </w:tc>
        <w:tc>
          <w:tcPr>
            <w:tcW w:type="dxa" w:w="2878"/>
          </w:tcPr>
          <w:p>
            <w:pPr>
              <w:spacing w:before="40" w:after="40"/>
            </w:pPr>
            <w:r>
              <w:rPr>
                <w:rFonts w:ascii="宋体" w:hAnsi="宋体"/>
                <w:sz w:val="18"/>
              </w:rPr>
              <w:t>轻持（易碎物体）</w:t>
            </w:r>
          </w:p>
        </w:tc>
      </w:tr>
      <w:tr>
        <w:tc>
          <w:tcPr>
            <w:tcW w:type="dxa" w:w="2878"/>
          </w:tcPr>
          <w:p>
            <w:pPr>
              <w:spacing w:before="40" w:after="40"/>
            </w:pPr>
            <w:r>
              <w:rPr>
                <w:rFonts w:ascii="宋体" w:hAnsi="宋体"/>
                <w:sz w:val="18"/>
              </w:rPr>
              <w:t>0.45</w:t>
            </w:r>
          </w:p>
        </w:tc>
        <w:tc>
          <w:tcPr>
            <w:tcW w:type="dxa" w:w="2878"/>
          </w:tcPr>
          <w:p>
            <w:pPr>
              <w:spacing w:before="40" w:after="40"/>
            </w:pPr>
            <w:r>
              <w:rPr>
                <w:rFonts w:ascii="宋体" w:hAnsi="宋体"/>
                <w:sz w:val="18"/>
              </w:rPr>
              <w:t>8.0</w:t>
            </w:r>
          </w:p>
        </w:tc>
        <w:tc>
          <w:tcPr>
            <w:tcW w:type="dxa" w:w="2878"/>
          </w:tcPr>
          <w:p>
            <w:pPr>
              <w:spacing w:before="40" w:after="40"/>
            </w:pPr>
            <w:r>
              <w:rPr>
                <w:rFonts w:ascii="宋体" w:hAnsi="宋体"/>
                <w:sz w:val="18"/>
              </w:rPr>
              <w:t>中等力（日常物体）</w:t>
            </w:r>
          </w:p>
        </w:tc>
      </w:tr>
      <w:tr>
        <w:tc>
          <w:tcPr>
            <w:tcW w:type="dxa" w:w="2878"/>
          </w:tcPr>
          <w:p>
            <w:pPr>
              <w:spacing w:before="40" w:after="40"/>
            </w:pPr>
            <w:r>
              <w:rPr>
                <w:rFonts w:ascii="宋体" w:hAnsi="宋体"/>
                <w:sz w:val="18"/>
              </w:rPr>
              <w:t>0.60</w:t>
            </w:r>
          </w:p>
        </w:tc>
        <w:tc>
          <w:tcPr>
            <w:tcW w:type="dxa" w:w="2878"/>
          </w:tcPr>
          <w:p>
            <w:pPr>
              <w:spacing w:before="40" w:after="40"/>
            </w:pPr>
            <w:r>
              <w:rPr>
                <w:rFonts w:ascii="宋体" w:hAnsi="宋体"/>
                <w:sz w:val="18"/>
              </w:rPr>
              <w:t>16.0</w:t>
            </w:r>
          </w:p>
        </w:tc>
        <w:tc>
          <w:tcPr>
            <w:tcW w:type="dxa" w:w="2878"/>
          </w:tcPr>
          <w:p>
            <w:pPr>
              <w:spacing w:before="40" w:after="40"/>
            </w:pPr>
            <w:r>
              <w:rPr>
                <w:rFonts w:ascii="宋体" w:hAnsi="宋体"/>
                <w:sz w:val="18"/>
              </w:rPr>
              <w:t>中等强（重物）</w:t>
            </w:r>
          </w:p>
        </w:tc>
      </w:tr>
      <w:tr>
        <w:tc>
          <w:tcPr>
            <w:tcW w:type="dxa" w:w="2878"/>
          </w:tcPr>
          <w:p>
            <w:pPr>
              <w:spacing w:before="40" w:after="40"/>
            </w:pPr>
            <w:r>
              <w:rPr>
                <w:rFonts w:ascii="宋体" w:hAnsi="宋体"/>
                <w:sz w:val="18"/>
              </w:rPr>
              <w:t>0.75</w:t>
            </w:r>
          </w:p>
        </w:tc>
        <w:tc>
          <w:tcPr>
            <w:tcW w:type="dxa" w:w="2878"/>
          </w:tcPr>
          <w:p>
            <w:pPr>
              <w:spacing w:before="40" w:after="40"/>
            </w:pPr>
            <w:r>
              <w:rPr>
                <w:rFonts w:ascii="宋体" w:hAnsi="宋体"/>
                <w:sz w:val="18"/>
              </w:rPr>
              <w:t>28.0</w:t>
            </w:r>
          </w:p>
        </w:tc>
        <w:tc>
          <w:tcPr>
            <w:tcW w:type="dxa" w:w="2878"/>
          </w:tcPr>
          <w:p>
            <w:pPr>
              <w:spacing w:before="40" w:after="40"/>
            </w:pPr>
            <w:r>
              <w:rPr>
                <w:rFonts w:ascii="宋体" w:hAnsi="宋体"/>
                <w:sz w:val="18"/>
              </w:rPr>
              <w:t>强力（重型）</w:t>
            </w:r>
          </w:p>
        </w:tc>
      </w:tr>
      <w:tr>
        <w:tc>
          <w:tcPr>
            <w:tcW w:type="dxa" w:w="2878"/>
          </w:tcPr>
          <w:p>
            <w:pPr>
              <w:spacing w:before="40" w:after="40"/>
            </w:pPr>
            <w:r>
              <w:rPr>
                <w:rFonts w:ascii="宋体" w:hAnsi="宋体"/>
                <w:sz w:val="18"/>
              </w:rPr>
              <w:t>0.90</w:t>
            </w:r>
          </w:p>
        </w:tc>
        <w:tc>
          <w:tcPr>
            <w:tcW w:type="dxa" w:w="2878"/>
          </w:tcPr>
          <w:p>
            <w:pPr>
              <w:spacing w:before="40" w:after="40"/>
            </w:pPr>
            <w:r>
              <w:rPr>
                <w:rFonts w:ascii="宋体" w:hAnsi="宋体"/>
                <w:sz w:val="18"/>
              </w:rPr>
              <w:t>42.0</w:t>
            </w:r>
          </w:p>
        </w:tc>
        <w:tc>
          <w:tcPr>
            <w:tcW w:type="dxa" w:w="2878"/>
          </w:tcPr>
          <w:p>
            <w:pPr>
              <w:spacing w:before="40" w:after="40"/>
            </w:pPr>
            <w:r>
              <w:rPr>
                <w:rFonts w:ascii="宋体" w:hAnsi="宋体"/>
                <w:sz w:val="18"/>
              </w:rPr>
              <w:t>强持（工业夹持）</w:t>
            </w:r>
          </w:p>
        </w:tc>
      </w:tr>
      <w:tr>
        <w:tc>
          <w:tcPr>
            <w:tcW w:type="dxa" w:w="2878"/>
          </w:tcPr>
          <w:p>
            <w:pPr>
              <w:spacing w:before="40" w:after="40"/>
            </w:pPr>
            <w:r>
              <w:rPr>
                <w:rFonts w:ascii="宋体" w:hAnsi="宋体"/>
                <w:sz w:val="18"/>
              </w:rPr>
              <w:t>1.00</w:t>
            </w:r>
          </w:p>
        </w:tc>
        <w:tc>
          <w:tcPr>
            <w:tcW w:type="dxa" w:w="2878"/>
          </w:tcPr>
          <w:p>
            <w:pPr>
              <w:spacing w:before="40" w:after="40"/>
            </w:pPr>
            <w:r>
              <w:rPr>
                <w:rFonts w:ascii="宋体" w:hAnsi="宋体"/>
                <w:sz w:val="18"/>
              </w:rPr>
              <w:t>50.0</w:t>
            </w:r>
          </w:p>
        </w:tc>
        <w:tc>
          <w:tcPr>
            <w:tcW w:type="dxa" w:w="2878"/>
          </w:tcPr>
          <w:p>
            <w:pPr>
              <w:spacing w:before="40" w:after="40"/>
            </w:pPr>
            <w:r>
              <w:rPr>
                <w:rFonts w:ascii="宋体" w:hAnsi="宋体"/>
                <w:sz w:val="18"/>
              </w:rPr>
              <w:t>最大力（全力夹持）</w:t>
            </w:r>
          </w:p>
        </w:tc>
      </w:tr>
    </w:tbl>
    <w:p/>
    <w:p>
      <w:pPr>
        <w:spacing w:before="200" w:after="120"/>
      </w:pPr>
      <w:r>
        <w:rPr>
          <w:rFonts w:ascii="黑体" w:hAnsi="黑体"/>
          <w:b/>
          <w:sz w:val="24"/>
        </w:rPr>
        <w:t>6.2.1.2 力闭合评估（FC）</w:t>
      </w:r>
    </w:p>
    <w:p>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pPr>
        <w:spacing w:before="200" w:after="120"/>
      </w:pPr>
      <w:r>
        <w:rPr>
          <w:rFonts w:ascii="黑体" w:hAnsi="黑体"/>
          <w:b/>
          <w:sz w:val="24"/>
        </w:rPr>
        <w:t>6.2.1.3 提升可行性评估（Lift）</w:t>
      </w:r>
    </w:p>
    <w:p>
      <w:pPr>
        <w:spacing w:after="100"/>
        <w:ind w:firstLine="420"/>
      </w:pPr>
      <w:r>
        <w:rPr>
          <w:rFonts w:ascii="宋体" w:hAnsi="宋体"/>
          <w:sz w:val="22"/>
        </w:rPr>
        <w:t>抓取不仅要"夹得牢"，还要"提得起"。提升可行性评估检查双指摩擦夹持条件是否满足。</w:t>
      </w:r>
    </w:p>
    <w:p>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pPr>
        <w:spacing w:before="200" w:after="120"/>
      </w:pPr>
      <w:r>
        <w:rPr>
          <w:rFonts w:ascii="黑体" w:hAnsi="黑体"/>
          <w:b/>
          <w:sz w:val="24"/>
        </w:rPr>
        <w:t>6.2.1.4 安全性评估（Safe）</w:t>
      </w:r>
    </w:p>
    <w:p>
      <w:pPr>
        <w:spacing w:after="100"/>
        <w:ind w:firstLine="420"/>
      </w:pPr>
      <w:r>
        <w:rPr>
          <w:rFonts w:ascii="宋体" w:hAnsi="宋体"/>
          <w:sz w:val="22"/>
        </w:rPr>
        <w:t>物体安全性评估检查抓取力是否超过物体可承受的最大夹持力。</w:t>
      </w:r>
    </w:p>
    <w:p>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pPr>
        <w:spacing w:before="200" w:after="120"/>
      </w:pPr>
      <w:r>
        <w:rPr>
          <w:rFonts w:ascii="黑体" w:hAnsi="黑体"/>
          <w:b/>
          <w:sz w:val="24"/>
        </w:rPr>
        <w:t>6.2.1.5 综合判定</w:t>
      </w:r>
    </w:p>
    <w:p>
      <w:pPr>
        <w:spacing w:after="100"/>
        <w:ind w:firstLine="420"/>
      </w:pPr>
      <w:r>
        <w:rPr>
          <w:rFonts w:ascii="宋体" w:hAnsi="宋体"/>
          <w:sz w:val="22"/>
        </w:rPr>
        <w:t>总分T = 0.4 × FC + 0.4 × Lift + 0.2 × Safe。T ≥ 0.5判定为物理可行的抓取。</w:t>
      </w:r>
    </w:p>
    <w:p>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pPr>
        <w:spacing w:before="200" w:after="120"/>
      </w:pPr>
      <w:r>
        <w:rPr>
          <w:rFonts w:ascii="黑体" w:hAnsi="黑体"/>
          <w:b/>
          <w:sz w:val="24"/>
        </w:rPr>
        <w:t>6.2.1.6 角度搜索策略</w:t>
      </w:r>
    </w:p>
    <w:p>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pPr>
        <w:spacing w:before="120" w:after="120"/>
        <w:ind w:firstLine="0"/>
      </w:pPr>
      <w:r>
        <w:rPr>
          <w:color w:val="969696"/>
          <w:sz w:val="18"/>
        </w:rPr>
        <w:t>——————————————————————————————</w:t>
      </w:r>
    </w:p>
    <w:p>
      <w:pPr>
        <w:spacing w:before="280" w:after="160"/>
      </w:pPr>
      <w:r>
        <w:rPr>
          <w:rFonts w:ascii="黑体" w:hAnsi="黑体"/>
          <w:b/>
          <w:sz w:val="28"/>
        </w:rPr>
        <w:t>6.2.2 物体数据集</w:t>
      </w:r>
    </w:p>
    <w:p>
      <w:pPr>
        <w:spacing w:after="100"/>
        <w:ind w:firstLine="420"/>
      </w:pPr>
      <w:r>
        <w:rPr>
          <w:rFonts w:ascii="宋体" w:hAnsi="宋体"/>
          <w:sz w:val="22"/>
        </w:rPr>
        <w:t>测试集由50个物理物体组成，涵盖8种类型。物体物理参数参考YCB标准物体集和材料物理手册一次性标定。</w:t>
      </w:r>
    </w:p>
    <w:p>
      <w:pPr>
        <w:spacing w:after="100"/>
        <w:ind w:firstLine="420"/>
      </w:pPr>
      <w:r>
        <w:rPr>
          <w:rFonts w:ascii="宋体" w:hAnsi="宋体"/>
          <w:b/>
          <w:sz w:val="22"/>
        </w:rPr>
        <w:t>表6.2 YCB测试集物体构成与物理参数</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类型</w:t>
            </w:r>
          </w:p>
        </w:tc>
        <w:tc>
          <w:tcPr>
            <w:tcW w:type="dxa" w:w="1439"/>
          </w:tcPr>
          <w:p>
            <w:pPr>
              <w:spacing w:before="40" w:after="40"/>
            </w:pPr>
            <w:r>
              <w:rPr>
                <w:rFonts w:ascii="宋体" w:hAnsi="宋体"/>
                <w:b/>
                <w:sz w:val="18"/>
              </w:rPr>
              <w:t>实例数</w:t>
            </w:r>
          </w:p>
        </w:tc>
        <w:tc>
          <w:tcPr>
            <w:tcW w:type="dxa" w:w="1439"/>
          </w:tcPr>
          <w:p>
            <w:pPr>
              <w:spacing w:before="40" w:after="40"/>
            </w:pPr>
            <w:r>
              <w:rPr>
                <w:rFonts w:ascii="宋体" w:hAnsi="宋体"/>
                <w:b/>
                <w:sz w:val="18"/>
              </w:rPr>
              <w:t>质量范围(kg)</w:t>
            </w:r>
          </w:p>
        </w:tc>
        <w:tc>
          <w:tcPr>
            <w:tcW w:type="dxa" w:w="1439"/>
          </w:tcPr>
          <w:p>
            <w:pPr>
              <w:spacing w:before="40" w:after="40"/>
            </w:pPr>
            <w:r>
              <w:rPr>
                <w:rFonts w:ascii="宋体" w:hAnsi="宋体"/>
                <w:b/>
                <w:sz w:val="18"/>
              </w:rPr>
              <w:t>摩擦系数范围</w:t>
            </w:r>
          </w:p>
        </w:tc>
        <w:tc>
          <w:tcPr>
            <w:tcW w:type="dxa" w:w="1439"/>
          </w:tcPr>
          <w:p>
            <w:pPr>
              <w:spacing w:before="40" w:after="40"/>
            </w:pPr>
            <w:r>
              <w:rPr>
                <w:rFonts w:ascii="宋体" w:hAnsi="宋体"/>
                <w:b/>
                <w:sz w:val="18"/>
              </w:rPr>
              <w:t>承力上限范围(N)</w:t>
            </w:r>
          </w:p>
        </w:tc>
        <w:tc>
          <w:tcPr>
            <w:tcW w:type="dxa" w:w="1439"/>
          </w:tcPr>
          <w:p>
            <w:pPr>
              <w:spacing w:before="40" w:after="40"/>
            </w:pPr>
            <w:r>
              <w:rPr>
                <w:rFonts w:ascii="宋体" w:hAnsi="宋体"/>
                <w:b/>
                <w:sz w:val="18"/>
              </w:rPr>
              <w:t>包含物体示例</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0.003-0.22</w:t>
            </w:r>
          </w:p>
        </w:tc>
        <w:tc>
          <w:tcPr>
            <w:tcW w:type="dxa" w:w="1439"/>
          </w:tcPr>
          <w:p>
            <w:pPr>
              <w:spacing w:before="40" w:after="40"/>
            </w:pPr>
            <w:r>
              <w:rPr>
                <w:rFonts w:ascii="宋体" w:hAnsi="宋体"/>
                <w:sz w:val="18"/>
              </w:rPr>
              <w:t>0.08-0.65</w:t>
            </w:r>
          </w:p>
        </w:tc>
        <w:tc>
          <w:tcPr>
            <w:tcW w:type="dxa" w:w="1439"/>
          </w:tcPr>
          <w:p>
            <w:pPr>
              <w:spacing w:before="40" w:after="40"/>
            </w:pPr>
            <w:r>
              <w:rPr>
                <w:rFonts w:ascii="宋体" w:hAnsi="宋体"/>
                <w:sz w:val="18"/>
              </w:rPr>
              <w:t>8-500</w:t>
            </w:r>
          </w:p>
        </w:tc>
        <w:tc>
          <w:tcPr>
            <w:tcW w:type="dxa" w:w="1439"/>
          </w:tcPr>
          <w:p>
            <w:pPr>
              <w:spacing w:before="40" w:after="40"/>
            </w:pPr>
            <w:r>
              <w:rPr>
                <w:rFonts w:ascii="宋体" w:hAnsi="宋体"/>
                <w:sz w:val="18"/>
              </w:rPr>
              <w:t>网球、高尔夫球、乒乓球、橡胶球、弹珠、钢球、篮球、台球</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0.05-0.50</w:t>
            </w:r>
          </w:p>
        </w:tc>
        <w:tc>
          <w:tcPr>
            <w:tcW w:type="dxa" w:w="1439"/>
          </w:tcPr>
          <w:p>
            <w:pPr>
              <w:spacing w:before="40" w:after="40"/>
            </w:pPr>
            <w:r>
              <w:rPr>
                <w:rFonts w:ascii="宋体" w:hAnsi="宋体"/>
                <w:sz w:val="18"/>
              </w:rPr>
              <w:t>0.25-0.50</w:t>
            </w:r>
          </w:p>
        </w:tc>
        <w:tc>
          <w:tcPr>
            <w:tcW w:type="dxa" w:w="1439"/>
          </w:tcPr>
          <w:p>
            <w:pPr>
              <w:spacing w:before="40" w:after="40"/>
            </w:pPr>
            <w:r>
              <w:rPr>
                <w:rFonts w:ascii="宋体" w:hAnsi="宋体"/>
                <w:sz w:val="18"/>
              </w:rPr>
              <w:t>50-300</w:t>
            </w:r>
          </w:p>
        </w:tc>
        <w:tc>
          <w:tcPr>
            <w:tcW w:type="dxa" w:w="1439"/>
          </w:tcPr>
          <w:p>
            <w:pPr>
              <w:spacing w:before="40" w:after="40"/>
            </w:pPr>
            <w:r>
              <w:rPr>
                <w:rFonts w:ascii="宋体" w:hAnsi="宋体"/>
                <w:sz w:val="18"/>
              </w:rPr>
              <w:t>木质方块、塑料盒、金属方块、纸箱、橡皮擦、骰子</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0.01-0.45</w:t>
            </w:r>
          </w:p>
        </w:tc>
        <w:tc>
          <w:tcPr>
            <w:tcW w:type="dxa" w:w="1439"/>
          </w:tcPr>
          <w:p>
            <w:pPr>
              <w:spacing w:before="40" w:after="40"/>
            </w:pPr>
            <w:r>
              <w:rPr>
                <w:rFonts w:ascii="宋体" w:hAnsi="宋体"/>
                <w:sz w:val="18"/>
              </w:rPr>
              <w:t>0.20-0.70</w:t>
            </w:r>
          </w:p>
        </w:tc>
        <w:tc>
          <w:tcPr>
            <w:tcW w:type="dxa" w:w="1439"/>
          </w:tcPr>
          <w:p>
            <w:pPr>
              <w:spacing w:before="40" w:after="40"/>
            </w:pPr>
            <w:r>
              <w:rPr>
                <w:rFonts w:ascii="宋体" w:hAnsi="宋体"/>
                <w:sz w:val="18"/>
              </w:rPr>
              <w:t>15-400</w:t>
            </w:r>
          </w:p>
        </w:tc>
        <w:tc>
          <w:tcPr>
            <w:tcW w:type="dxa" w:w="1439"/>
          </w:tcPr>
          <w:p>
            <w:pPr>
              <w:spacing w:before="40" w:after="40"/>
            </w:pPr>
            <w:r>
              <w:rPr>
                <w:rFonts w:ascii="宋体" w:hAnsi="宋体"/>
                <w:sz w:val="18"/>
              </w:rPr>
              <w:t>木棍、纸管、铝管、塑料瓶、马克杯、金属管</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0.15-0.50</w:t>
            </w:r>
          </w:p>
        </w:tc>
        <w:tc>
          <w:tcPr>
            <w:tcW w:type="dxa" w:w="1439"/>
          </w:tcPr>
          <w:p>
            <w:pPr>
              <w:spacing w:before="40" w:after="40"/>
            </w:pPr>
            <w:r>
              <w:rPr>
                <w:rFonts w:ascii="宋体" w:hAnsi="宋体"/>
                <w:sz w:val="18"/>
              </w:rPr>
              <w:t>8-150</w:t>
            </w:r>
          </w:p>
        </w:tc>
        <w:tc>
          <w:tcPr>
            <w:tcW w:type="dxa" w:w="1439"/>
          </w:tcPr>
          <w:p>
            <w:pPr>
              <w:spacing w:before="40" w:after="40"/>
            </w:pPr>
            <w:r>
              <w:rPr>
                <w:rFonts w:ascii="宋体" w:hAnsi="宋体"/>
                <w:sz w:val="18"/>
              </w:rPr>
              <w:t>陶瓷碗、玻璃碗、塑料碗、金属碗、瓷碗、木碗</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0.10-0.75</w:t>
            </w:r>
          </w:p>
        </w:tc>
        <w:tc>
          <w:tcPr>
            <w:tcW w:type="dxa" w:w="1439"/>
          </w:tcPr>
          <w:p>
            <w:pPr>
              <w:spacing w:before="40" w:after="40"/>
            </w:pPr>
            <w:r>
              <w:rPr>
                <w:rFonts w:ascii="宋体" w:hAnsi="宋体"/>
                <w:sz w:val="18"/>
              </w:rPr>
              <w:t>0.18-0.45</w:t>
            </w:r>
          </w:p>
        </w:tc>
        <w:tc>
          <w:tcPr>
            <w:tcW w:type="dxa" w:w="1439"/>
          </w:tcPr>
          <w:p>
            <w:pPr>
              <w:spacing w:before="40" w:after="40"/>
            </w:pPr>
            <w:r>
              <w:rPr>
                <w:rFonts w:ascii="宋体" w:hAnsi="宋体"/>
                <w:sz w:val="18"/>
              </w:rPr>
              <w:t>8-300</w:t>
            </w:r>
          </w:p>
        </w:tc>
        <w:tc>
          <w:tcPr>
            <w:tcW w:type="dxa" w:w="1439"/>
          </w:tcPr>
          <w:p>
            <w:pPr>
              <w:spacing w:before="40" w:after="40"/>
            </w:pPr>
            <w:r>
              <w:rPr>
                <w:rFonts w:ascii="宋体" w:hAnsi="宋体"/>
                <w:sz w:val="18"/>
              </w:rPr>
              <w:t>矿泉水瓶、酒瓶、酱油瓶、玻璃瓶、药瓶、保温瓶</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0.04-0.30</w:t>
            </w:r>
          </w:p>
        </w:tc>
        <w:tc>
          <w:tcPr>
            <w:tcW w:type="dxa" w:w="1439"/>
          </w:tcPr>
          <w:p>
            <w:pPr>
              <w:spacing w:before="40" w:after="40"/>
            </w:pPr>
            <w:r>
              <w:rPr>
                <w:rFonts w:ascii="宋体" w:hAnsi="宋体"/>
                <w:sz w:val="18"/>
              </w:rPr>
              <w:t>0.10-0.45</w:t>
            </w:r>
          </w:p>
        </w:tc>
        <w:tc>
          <w:tcPr>
            <w:tcW w:type="dxa" w:w="1439"/>
          </w:tcPr>
          <w:p>
            <w:pPr>
              <w:spacing w:before="40" w:after="40"/>
            </w:pPr>
            <w:r>
              <w:rPr>
                <w:rFonts w:ascii="宋体" w:hAnsi="宋体"/>
                <w:sz w:val="18"/>
              </w:rPr>
              <w:t>8-100</w:t>
            </w:r>
          </w:p>
        </w:tc>
        <w:tc>
          <w:tcPr>
            <w:tcW w:type="dxa" w:w="1439"/>
          </w:tcPr>
          <w:p>
            <w:pPr>
              <w:spacing w:before="40" w:after="40"/>
            </w:pPr>
            <w:r>
              <w:rPr>
                <w:rFonts w:ascii="宋体" w:hAnsi="宋体"/>
                <w:sz w:val="18"/>
              </w:rPr>
              <w:t>瓷盘、玻璃盘、塑料盘、金属盘、纸盘、木盘</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0.05-0.80</w:t>
            </w:r>
          </w:p>
        </w:tc>
        <w:tc>
          <w:tcPr>
            <w:tcW w:type="dxa" w:w="1439"/>
          </w:tcPr>
          <w:p>
            <w:pPr>
              <w:spacing w:before="40" w:after="40"/>
            </w:pPr>
            <w:r>
              <w:rPr>
                <w:rFonts w:ascii="宋体" w:hAnsi="宋体"/>
                <w:sz w:val="18"/>
              </w:rPr>
              <w:t>0.25-0.60</w:t>
            </w:r>
          </w:p>
        </w:tc>
        <w:tc>
          <w:tcPr>
            <w:tcW w:type="dxa" w:w="1439"/>
          </w:tcPr>
          <w:p>
            <w:pPr>
              <w:spacing w:before="40" w:after="40"/>
            </w:pPr>
            <w:r>
              <w:rPr>
                <w:rFonts w:ascii="宋体" w:hAnsi="宋体"/>
                <w:sz w:val="18"/>
              </w:rPr>
              <w:t>30-500</w:t>
            </w:r>
          </w:p>
        </w:tc>
        <w:tc>
          <w:tcPr>
            <w:tcW w:type="dxa" w:w="1439"/>
          </w:tcPr>
          <w:p>
            <w:pPr>
              <w:spacing w:before="40" w:after="40"/>
            </w:pPr>
            <w:r>
              <w:rPr>
                <w:rFonts w:ascii="宋体" w:hAnsi="宋体"/>
                <w:sz w:val="18"/>
              </w:rPr>
              <w:t>鹅卵石、花岗岩块、大理石、石英块、石灰石、砂岩块</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0.08-0.30</w:t>
            </w:r>
          </w:p>
        </w:tc>
        <w:tc>
          <w:tcPr>
            <w:tcW w:type="dxa" w:w="1439"/>
          </w:tcPr>
          <w:p>
            <w:pPr>
              <w:spacing w:before="40" w:after="40"/>
            </w:pPr>
            <w:r>
              <w:rPr>
                <w:rFonts w:ascii="宋体" w:hAnsi="宋体"/>
                <w:sz w:val="18"/>
              </w:rPr>
              <w:t>8-30</w:t>
            </w:r>
          </w:p>
        </w:tc>
        <w:tc>
          <w:tcPr>
            <w:tcW w:type="dxa" w:w="1439"/>
          </w:tcPr>
          <w:p>
            <w:pPr>
              <w:spacing w:before="40" w:after="40"/>
            </w:pPr>
            <w:r>
              <w:rPr>
                <w:rFonts w:ascii="宋体" w:hAnsi="宋体"/>
                <w:sz w:val="18"/>
              </w:rPr>
              <w:t>陶瓷花瓶、玻璃花瓶、瓷花瓶、金属花瓶、塑料花瓶、水晶花瓶</w:t>
            </w:r>
          </w:p>
        </w:tc>
      </w:tr>
    </w:tbl>
    <w:p/>
    <w:p>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pPr>
        <w:spacing w:before="120" w:after="120"/>
        <w:ind w:firstLine="0"/>
      </w:pPr>
      <w:r>
        <w:rPr>
          <w:color w:val="969696"/>
          <w:sz w:val="18"/>
        </w:rPr>
        <w:t>——————————————————————————————</w:t>
      </w:r>
    </w:p>
    <w:p>
      <w:pPr>
        <w:spacing w:before="280" w:after="160"/>
      </w:pPr>
      <w:r>
        <w:rPr>
          <w:rFonts w:ascii="黑体" w:hAnsi="黑体"/>
          <w:b/>
          <w:sz w:val="28"/>
        </w:rPr>
        <w:t>6.2.3 零样本基线结果</w:t>
      </w:r>
    </w:p>
    <w:p>
      <w:pPr>
        <w:spacing w:before="200" w:after="120"/>
      </w:pPr>
      <w:r>
        <w:rPr>
          <w:rFonts w:ascii="黑体" w:hAnsi="黑体"/>
          <w:b/>
          <w:sz w:val="24"/>
        </w:rPr>
        <w:t>6.2.3.1 全局统计</w:t>
      </w:r>
    </w:p>
    <w:p>
      <w:pPr>
        <w:spacing w:after="100"/>
        <w:ind w:firstLine="420"/>
      </w:pPr>
      <w:r>
        <w:rPr>
          <w:rFonts w:ascii="宋体" w:hAnsi="宋体"/>
          <w:sz w:val="22"/>
        </w:rPr>
        <w:t>在零样本条件下（YLYW使用完全初始的六十四卦规则，未经爻模板优化、未经任何人工调参），对50物体×3次重复=150次试验的性能如下。</w:t>
      </w:r>
    </w:p>
    <w:p>
      <w:pPr>
        <w:spacing w:after="100"/>
        <w:ind w:firstLine="420"/>
      </w:pPr>
      <w:r>
        <w:rPr>
          <w:rFonts w:ascii="宋体" w:hAnsi="宋体"/>
          <w:b/>
          <w:sz w:val="22"/>
        </w:rPr>
        <w:t>表6.3 YCB测试零样本物理评估结果（n=150，含角度增益）</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总成功率</w:t>
            </w:r>
          </w:p>
        </w:tc>
        <w:tc>
          <w:tcPr>
            <w:tcW w:type="dxa" w:w="4317"/>
          </w:tcPr>
          <w:p>
            <w:pPr>
              <w:spacing w:before="40" w:after="40"/>
            </w:pPr>
            <w:r>
              <w:rPr>
                <w:rFonts w:ascii="宋体" w:hAnsi="宋体"/>
                <w:sz w:val="18"/>
              </w:rPr>
              <w:t>**92.0%**</w:t>
            </w:r>
          </w:p>
        </w:tc>
      </w:tr>
      <w:tr>
        <w:tc>
          <w:tcPr>
            <w:tcW w:type="dxa" w:w="4317"/>
          </w:tcPr>
          <w:p>
            <w:pPr>
              <w:spacing w:before="40" w:after="40"/>
            </w:pPr>
            <w:r>
              <w:rPr>
                <w:rFonts w:ascii="宋体" w:hAnsi="宋体"/>
                <w:sz w:val="18"/>
              </w:rPr>
              <w:t>力闭合平均分</w:t>
            </w:r>
          </w:p>
        </w:tc>
        <w:tc>
          <w:tcPr>
            <w:tcW w:type="dxa" w:w="4317"/>
          </w:tcPr>
          <w:p>
            <w:pPr>
              <w:spacing w:before="40" w:after="40"/>
            </w:pPr>
            <w:r>
              <w:rPr>
                <w:rFonts w:ascii="宋体" w:hAnsi="宋体"/>
                <w:sz w:val="18"/>
              </w:rPr>
              <w:t>0.48</w:t>
            </w:r>
          </w:p>
        </w:tc>
      </w:tr>
      <w:tr>
        <w:tc>
          <w:tcPr>
            <w:tcW w:type="dxa" w:w="4317"/>
          </w:tcPr>
          <w:p>
            <w:pPr>
              <w:spacing w:before="40" w:after="40"/>
            </w:pPr>
            <w:r>
              <w:rPr>
                <w:rFonts w:ascii="宋体" w:hAnsi="宋体"/>
                <w:sz w:val="18"/>
              </w:rPr>
              <w:t>提升平均分</w:t>
            </w:r>
          </w:p>
        </w:tc>
        <w:tc>
          <w:tcPr>
            <w:tcW w:type="dxa" w:w="4317"/>
          </w:tcPr>
          <w:p>
            <w:pPr>
              <w:spacing w:before="40" w:after="40"/>
            </w:pPr>
            <w:r>
              <w:rPr>
                <w:rFonts w:ascii="宋体" w:hAnsi="宋体"/>
                <w:sz w:val="18"/>
              </w:rPr>
              <w:t>0.85</w:t>
            </w:r>
          </w:p>
        </w:tc>
      </w:tr>
      <w:tr>
        <w:tc>
          <w:tcPr>
            <w:tcW w:type="dxa" w:w="4317"/>
          </w:tcPr>
          <w:p>
            <w:pPr>
              <w:spacing w:before="40" w:after="40"/>
            </w:pPr>
            <w:r>
              <w:rPr>
                <w:rFonts w:ascii="宋体" w:hAnsi="宋体"/>
                <w:sz w:val="18"/>
              </w:rPr>
              <w:t>安全平均分</w:t>
            </w:r>
          </w:p>
        </w:tc>
        <w:tc>
          <w:tcPr>
            <w:tcW w:type="dxa" w:w="4317"/>
          </w:tcPr>
          <w:p>
            <w:pPr>
              <w:spacing w:before="40" w:after="40"/>
            </w:pPr>
            <w:r>
              <w:rPr>
                <w:rFonts w:ascii="宋体" w:hAnsi="宋体"/>
                <w:sz w:val="18"/>
              </w:rPr>
              <w:t>0.91</w:t>
            </w:r>
          </w:p>
        </w:tc>
      </w:tr>
      <w:tr>
        <w:tc>
          <w:tcPr>
            <w:tcW w:type="dxa" w:w="4317"/>
          </w:tcPr>
          <w:p>
            <w:pPr>
              <w:spacing w:before="40" w:after="40"/>
            </w:pPr>
            <w:r>
              <w:rPr>
                <w:rFonts w:ascii="宋体" w:hAnsi="宋体"/>
                <w:sz w:val="18"/>
              </w:rPr>
              <w:t>总分均值</w:t>
            </w:r>
          </w:p>
        </w:tc>
        <w:tc>
          <w:tcPr>
            <w:tcW w:type="dxa" w:w="4317"/>
          </w:tcPr>
          <w:p>
            <w:pPr>
              <w:spacing w:before="40" w:after="40"/>
            </w:pPr>
            <w:r>
              <w:rPr>
                <w:rFonts w:ascii="宋体" w:hAnsi="宋体"/>
                <w:sz w:val="18"/>
              </w:rPr>
              <w:t>0.69</w:t>
            </w:r>
          </w:p>
        </w:tc>
      </w:tr>
      <w:tr>
        <w:tc>
          <w:tcPr>
            <w:tcW w:type="dxa" w:w="4317"/>
          </w:tcPr>
          <w:p>
            <w:pPr>
              <w:spacing w:before="40" w:after="40"/>
            </w:pPr>
            <w:r>
              <w:rPr>
                <w:rFonts w:ascii="宋体" w:hAnsi="宋体"/>
                <w:sz w:val="18"/>
              </w:rPr>
              <w:t>角度优化率</w:t>
            </w:r>
          </w:p>
        </w:tc>
        <w:tc>
          <w:tcPr>
            <w:tcW w:type="dxa" w:w="4317"/>
          </w:tcPr>
          <w:p>
            <w:pPr>
              <w:spacing w:before="40" w:after="40"/>
            </w:pPr>
            <w:r>
              <w:rPr>
                <w:rFonts w:ascii="宋体" w:hAnsi="宋体"/>
                <w:sz w:val="18"/>
              </w:rPr>
              <w:t>39.3%（50/150次试验需要角度搜索提升至通过）</w:t>
            </w:r>
          </w:p>
        </w:tc>
      </w:tr>
    </w:tbl>
    <w:p/>
    <w:p>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pPr>
        <w:spacing w:before="200" w:after="120"/>
      </w:pPr>
      <w:r>
        <w:rPr>
          <w:rFonts w:ascii="黑体" w:hAnsi="黑体"/>
          <w:b/>
          <w:sz w:val="24"/>
        </w:rPr>
        <w:t>6.2.3.2 按物体类型详细分析</w:t>
      </w:r>
    </w:p>
    <w:p>
      <w:pPr>
        <w:spacing w:after="100"/>
        <w:ind w:firstLine="420"/>
      </w:pPr>
      <w:r>
        <w:rPr>
          <w:rFonts w:ascii="宋体" w:hAnsi="宋体"/>
          <w:b/>
          <w:sz w:val="22"/>
        </w:rPr>
        <w:t>表6.4 按物体类型的零样本性能</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试验数</w:t>
            </w:r>
          </w:p>
        </w:tc>
        <w:tc>
          <w:tcPr>
            <w:tcW w:type="dxa" w:w="1233"/>
          </w:tcPr>
          <w:p>
            <w:pPr>
              <w:spacing w:before="40" w:after="40"/>
            </w:pPr>
            <w:r>
              <w:rPr>
                <w:rFonts w:ascii="宋体" w:hAnsi="宋体"/>
                <w:b/>
                <w:sz w:val="18"/>
              </w:rPr>
              <w:t>成功率</w:t>
            </w:r>
          </w:p>
        </w:tc>
        <w:tc>
          <w:tcPr>
            <w:tcW w:type="dxa" w:w="1233"/>
          </w:tcPr>
          <w:p>
            <w:pPr>
              <w:spacing w:before="40" w:after="40"/>
            </w:pPr>
            <w:r>
              <w:rPr>
                <w:rFonts w:ascii="宋体" w:hAnsi="宋体"/>
                <w:b/>
                <w:sz w:val="18"/>
              </w:rPr>
              <w:t>力闭合均分</w:t>
            </w:r>
          </w:p>
        </w:tc>
        <w:tc>
          <w:tcPr>
            <w:tcW w:type="dxa" w:w="1233"/>
          </w:tcPr>
          <w:p>
            <w:pPr>
              <w:spacing w:before="40" w:after="40"/>
            </w:pPr>
            <w:r>
              <w:rPr>
                <w:rFonts w:ascii="宋体" w:hAnsi="宋体"/>
                <w:b/>
                <w:sz w:val="18"/>
              </w:rPr>
              <w:t>提升均分</w:t>
            </w:r>
          </w:p>
        </w:tc>
        <w:tc>
          <w:tcPr>
            <w:tcW w:type="dxa" w:w="1233"/>
          </w:tcPr>
          <w:p>
            <w:pPr>
              <w:spacing w:before="40" w:after="40"/>
            </w:pPr>
            <w:r>
              <w:rPr>
                <w:rFonts w:ascii="宋体" w:hAnsi="宋体"/>
                <w:b/>
                <w:sz w:val="18"/>
              </w:rPr>
              <w:t>安全均分</w:t>
            </w:r>
          </w:p>
        </w:tc>
        <w:tc>
          <w:tcPr>
            <w:tcW w:type="dxa" w:w="1233"/>
          </w:tcPr>
          <w:p>
            <w:pPr>
              <w:spacing w:before="40" w:after="40"/>
            </w:pPr>
            <w:r>
              <w:rPr>
                <w:rFonts w:ascii="宋体" w:hAnsi="宋体"/>
                <w:b/>
                <w:sz w:val="18"/>
              </w:rPr>
              <w:t>总分均值</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0.82</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0.71</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24</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0.78</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0.82</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0.70</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0.49</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0.42</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0.48</w:t>
            </w:r>
          </w:p>
        </w:tc>
      </w:tr>
      <w:tr>
        <w:tc>
          <w:tcPr>
            <w:tcW w:type="dxa" w:w="1233"/>
          </w:tcPr>
          <w:p>
            <w:pPr>
              <w:spacing w:before="40" w:after="40"/>
            </w:pPr>
            <w:r>
              <w:rPr>
                <w:rFonts w:ascii="宋体" w:hAnsi="宋体"/>
                <w:sz w:val="18"/>
              </w:rPr>
              <w:t>**总计**</w:t>
            </w:r>
          </w:p>
        </w:tc>
        <w:tc>
          <w:tcPr>
            <w:tcW w:type="dxa" w:w="1233"/>
          </w:tcPr>
          <w:p>
            <w:pPr>
              <w:spacing w:before="40" w:after="40"/>
            </w:pPr>
            <w:r>
              <w:rPr>
                <w:rFonts w:ascii="宋体" w:hAnsi="宋体"/>
                <w:sz w:val="18"/>
              </w:rPr>
              <w:t>**150**</w:t>
            </w:r>
          </w:p>
        </w:tc>
        <w:tc>
          <w:tcPr>
            <w:tcW w:type="dxa" w:w="1233"/>
          </w:tcPr>
          <w:p>
            <w:pPr>
              <w:spacing w:before="40" w:after="40"/>
            </w:pPr>
            <w:r>
              <w:rPr>
                <w:rFonts w:ascii="宋体" w:hAnsi="宋体"/>
                <w:sz w:val="18"/>
              </w:rPr>
              <w:t>**92.0%**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**0.91**</w:t>
            </w:r>
          </w:p>
        </w:tc>
        <w:tc>
          <w:tcPr>
            <w:tcW w:type="dxa" w:w="1233"/>
          </w:tcPr>
          <w:p>
            <w:pPr>
              <w:spacing w:before="40" w:after="40"/>
            </w:pPr>
            <w:r>
              <w:rPr>
                <w:rFonts w:ascii="宋体" w:hAnsi="宋体"/>
                <w:sz w:val="18"/>
              </w:rPr>
              <w:t>**0.69**</w:t>
            </w:r>
          </w:p>
        </w:tc>
      </w:tr>
    </w:tbl>
    <w:p/>
    <w:p>
      <w:pPr>
        <w:spacing w:after="100"/>
        <w:ind w:firstLine="420"/>
      </w:pPr>
      <w:r>
        <w:rPr>
          <w:rFonts w:ascii="宋体" w:hAnsi="宋体"/>
          <w:sz w:val="22"/>
        </w:rPr>
        <w:t>六类物体实现100.0%成功率。两个类型——瓶子和圆柱体——达到66.7%。故障分析揭示了两个失败因素的叠加效应。</w:t>
      </w:r>
    </w:p>
    <w:p>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pPr>
        <w:spacing w:before="200" w:after="120"/>
      </w:pPr>
      <w:r>
        <w:rPr>
          <w:rFonts w:ascii="黑体" w:hAnsi="黑体"/>
          <w:b/>
          <w:sz w:val="24"/>
        </w:rPr>
        <w:t>6.2.3.3 角度增益的效果分析</w:t>
      </w:r>
    </w:p>
    <w:p>
      <w:pPr>
        <w:spacing w:after="100"/>
        <w:ind w:firstLine="420"/>
      </w:pPr>
      <w:r>
        <w:rPr>
          <w:rFonts w:ascii="宋体" w:hAnsi="宋体"/>
          <w:sz w:val="22"/>
        </w:rPr>
        <w:t>角度增益是本评估中最重要的物理机制之一。在50个物体的零样本推理中，约39.3%的试验受益于角度优化。</w:t>
      </w:r>
    </w:p>
    <w:p>
      <w:pPr>
        <w:spacing w:after="100"/>
        <w:ind w:firstLine="420"/>
      </w:pPr>
      <w:r>
        <w:rPr>
          <w:rFonts w:ascii="宋体" w:hAnsi="宋体"/>
          <w:b/>
          <w:sz w:val="22"/>
        </w:rPr>
        <w:t>表6.5 角度增益提升显著的物体类型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0°通过率</w:t>
            </w:r>
          </w:p>
        </w:tc>
        <w:tc>
          <w:tcPr>
            <w:tcW w:type="dxa" w:w="1727"/>
          </w:tcPr>
          <w:p>
            <w:pPr>
              <w:spacing w:before="40" w:after="40"/>
            </w:pPr>
            <w:r>
              <w:rPr>
                <w:rFonts w:ascii="宋体" w:hAnsi="宋体"/>
                <w:b/>
                <w:sz w:val="18"/>
              </w:rPr>
              <w:t>角度优化后</w:t>
            </w:r>
          </w:p>
        </w:tc>
        <w:tc>
          <w:tcPr>
            <w:tcW w:type="dxa" w:w="1727"/>
          </w:tcPr>
          <w:p>
            <w:pPr>
              <w:spacing w:before="40" w:after="40"/>
            </w:pPr>
            <w:r>
              <w:rPr>
                <w:rFonts w:ascii="宋体" w:hAnsi="宋体"/>
                <w:b/>
                <w:sz w:val="18"/>
              </w:rPr>
              <w:t>增益</w:t>
            </w:r>
          </w:p>
        </w:tc>
        <w:tc>
          <w:tcPr>
            <w:tcW w:type="dxa" w:w="1727"/>
          </w:tcPr>
          <w:p>
            <w:pPr>
              <w:spacing w:before="40" w:after="40"/>
            </w:pPr>
            <w:r>
              <w:rPr>
                <w:rFonts w:ascii="宋体" w:hAnsi="宋体"/>
                <w:b/>
                <w:sz w:val="18"/>
              </w:rPr>
              <w:t>典型最优角度</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87.5%</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+12.5%</w:t>
            </w:r>
          </w:p>
        </w:tc>
        <w:tc>
          <w:tcPr>
            <w:tcW w:type="dxa" w:w="1727"/>
          </w:tcPr>
          <w:p>
            <w:pPr>
              <w:spacing w:before="40" w:after="40"/>
            </w:pPr>
            <w:r>
              <w:rPr>
                <w:rFonts w:ascii="宋体" w:hAnsi="宋体"/>
                <w:sz w:val="18"/>
              </w:rPr>
              <w:t>30-40°</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25-40°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20-40°</w:t>
            </w:r>
          </w:p>
        </w:tc>
      </w:tr>
    </w:tbl>
    <w:p/>
    <w:p>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pPr>
        <w:spacing w:before="200" w:after="120"/>
      </w:pPr>
      <w:r>
        <w:rPr>
          <w:rFonts w:ascii="黑体" w:hAnsi="黑体"/>
          <w:b/>
          <w:sz w:val="24"/>
        </w:rPr>
        <w:t>6.2.3.4 0°固定角度对比实验</w:t>
      </w:r>
    </w:p>
    <w:p>
      <w:pPr>
        <w:spacing w:after="100"/>
        <w:ind w:firstLine="420"/>
      </w:pPr>
      <w:r>
        <w:rPr>
          <w:rFonts w:ascii="宋体" w:hAnsi="宋体"/>
          <w:sz w:val="22"/>
        </w:rPr>
        <w:t>为隔离角度增益的效果，在相同的50物体×3次配置下运行固定0°角度（不进行任何角度搜索）的对比实验。</w:t>
      </w:r>
    </w:p>
    <w:p>
      <w:pPr>
        <w:spacing w:after="100"/>
        <w:ind w:firstLine="420"/>
      </w:pPr>
      <w:r>
        <w:rPr>
          <w:rFonts w:ascii="宋体" w:hAnsi="宋体"/>
          <w:b/>
          <w:sz w:val="22"/>
        </w:rPr>
        <w:t>表6.6 角度增益消融实验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配置</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力闭合均分</w:t>
            </w:r>
          </w:p>
        </w:tc>
        <w:tc>
          <w:tcPr>
            <w:tcW w:type="dxa" w:w="1727"/>
          </w:tcPr>
          <w:p>
            <w:pPr>
              <w:spacing w:before="40" w:after="40"/>
            </w:pPr>
            <w:r>
              <w:rPr>
                <w:rFonts w:ascii="宋体" w:hAnsi="宋体"/>
                <w:b/>
                <w:sz w:val="18"/>
              </w:rPr>
              <w:t>提升均分</w:t>
            </w:r>
          </w:p>
        </w:tc>
        <w:tc>
          <w:tcPr>
            <w:tcW w:type="dxa" w:w="1727"/>
          </w:tcPr>
          <w:p>
            <w:pPr>
              <w:spacing w:before="40" w:after="40"/>
            </w:pPr>
            <w:r>
              <w:rPr>
                <w:rFonts w:ascii="宋体" w:hAnsi="宋体"/>
                <w:b/>
                <w:sz w:val="18"/>
              </w:rPr>
              <w:t>安全均分</w:t>
            </w:r>
          </w:p>
        </w:tc>
      </w:tr>
      <w:tr>
        <w:tc>
          <w:tcPr>
            <w:tcW w:type="dxa" w:w="1727"/>
          </w:tcPr>
          <w:p>
            <w:pPr>
              <w:spacing w:before="40" w:after="40"/>
            </w:pPr>
            <w:r>
              <w:rPr>
                <w:rFonts w:ascii="宋体" w:hAnsi="宋体"/>
                <w:sz w:val="18"/>
              </w:rPr>
              <w:t>固定0°</w:t>
            </w:r>
          </w:p>
        </w:tc>
        <w:tc>
          <w:tcPr>
            <w:tcW w:type="dxa" w:w="1727"/>
          </w:tcPr>
          <w:p>
            <w:pPr>
              <w:spacing w:before="40" w:after="40"/>
            </w:pPr>
            <w:r>
              <w:rPr>
                <w:rFonts w:ascii="宋体" w:hAnsi="宋体"/>
                <w:sz w:val="18"/>
              </w:rPr>
              <w:t>66.0%</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0.72</w:t>
            </w:r>
          </w:p>
        </w:tc>
        <w:tc>
          <w:tcPr>
            <w:tcW w:type="dxa" w:w="1727"/>
          </w:tcPr>
          <w:p>
            <w:pPr>
              <w:spacing w:before="40" w:after="40"/>
            </w:pPr>
            <w:r>
              <w:rPr>
                <w:rFonts w:ascii="宋体" w:hAnsi="宋体"/>
                <w:sz w:val="18"/>
              </w:rPr>
              <w:t>0.91</w:t>
            </w:r>
          </w:p>
        </w:tc>
      </w:tr>
      <w:tr>
        <w:tc>
          <w:tcPr>
            <w:tcW w:type="dxa" w:w="1727"/>
          </w:tcPr>
          <w:p>
            <w:pPr>
              <w:spacing w:before="40" w:after="40"/>
            </w:pPr>
            <w:r>
              <w:rPr>
                <w:rFonts w:ascii="宋体" w:hAnsi="宋体"/>
                <w:sz w:val="18"/>
              </w:rPr>
              <w:t>主动角度搜索(0-40°)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**0.48**</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**0.91**</w:t>
            </w:r>
          </w:p>
        </w:tc>
      </w:tr>
    </w:tbl>
    <w:p/>
    <w:p>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pPr>
        <w:spacing w:before="120" w:after="120"/>
        <w:ind w:firstLine="0"/>
      </w:pPr>
      <w:r>
        <w:rPr>
          <w:color w:val="969696"/>
          <w:sz w:val="18"/>
        </w:rPr>
        <w:t>——————————————————————————————</w:t>
      </w:r>
    </w:p>
    <w:p>
      <w:pPr>
        <w:spacing w:before="280" w:after="160"/>
      </w:pPr>
      <w:r>
        <w:rPr>
          <w:rFonts w:ascii="黑体" w:hAnsi="黑体"/>
          <w:b/>
          <w:sz w:val="28"/>
        </w:rPr>
        <w:t>6.2.4 知己学习实验</w:t>
      </w:r>
    </w:p>
    <w:p>
      <w:pPr>
        <w:spacing w:after="100"/>
        <w:ind w:firstLine="420"/>
      </w:pPr>
      <w:r>
        <w:rPr>
          <w:rFonts w:ascii="宋体" w:hAnsi="宋体"/>
          <w:sz w:val="22"/>
        </w:rPr>
        <w:t>在零样本基线实验（92.0%）的基础上，进一步评估知几学习（知耻修正机制）能否进一步提升成功率。</w:t>
      </w:r>
    </w:p>
    <w:p>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pPr>
        <w:spacing w:after="100"/>
        <w:ind w:firstLine="420"/>
      </w:pPr>
      <w:r>
        <w:rPr>
          <w:rFonts w:ascii="宋体" w:hAnsi="宋体"/>
          <w:b/>
          <w:sz w:val="22"/>
        </w:rPr>
        <w:t>表6.7 知己实验逐轮性能（每轮150次试验）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Round</w:t>
            </w:r>
          </w:p>
        </w:tc>
        <w:tc>
          <w:tcPr>
            <w:tcW w:type="dxa" w:w="1727"/>
          </w:tcPr>
          <w:p>
            <w:pPr>
              <w:spacing w:before="40" w:after="40"/>
            </w:pPr>
            <w:r>
              <w:rPr>
                <w:rFonts w:ascii="宋体" w:hAnsi="宋体"/>
                <w:b/>
                <w:sz w:val="18"/>
              </w:rPr>
              <w:t>force_scale</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安全率</w:t>
            </w:r>
          </w:p>
        </w:tc>
        <w:tc>
          <w:tcPr>
            <w:tcW w:type="dxa" w:w="1727"/>
          </w:tcPr>
          <w:p>
            <w:pPr>
              <w:spacing w:before="40" w:after="40"/>
            </w:pPr>
            <w:r>
              <w:rPr>
                <w:rFonts w:ascii="宋体" w:hAnsi="宋体"/>
                <w:b/>
                <w:sz w:val="18"/>
              </w:rPr>
              <w:t>主要调整</w:t>
            </w:r>
          </w:p>
        </w:tc>
      </w:tr>
      <w:tr>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零样本起点（已接近物理上限）</w:t>
            </w:r>
          </w:p>
        </w:tc>
      </w:tr>
      <w:tr>
        <w:tc>
          <w:tcPr>
            <w:tcW w:type="dxa" w:w="1727"/>
          </w:tcPr>
          <w:p>
            <w:pPr>
              <w:spacing w:before="40" w:after="40"/>
            </w:pPr>
            <w:r>
              <w:rPr>
                <w:rFonts w:ascii="宋体" w:hAnsi="宋体"/>
                <w:sz w:val="18"/>
              </w:rPr>
              <w:t>1</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bl>
    <w:p/>
    <w:p>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pPr>
        <w:spacing w:after="100"/>
        <w:ind w:firstLine="420"/>
      </w:pPr>
      <w:r>
        <w:rPr>
          <w:rFonts w:ascii="宋体" w:hAnsi="宋体"/>
          <w:sz w:val="22"/>
        </w:rPr>
        <w:t>仅去掉角度增益时成功率降为66.0%，在知己学习中的收敛过程如下：</w:t>
      </w:r>
    </w:p>
    <w:p>
      <w:pPr>
        <w:spacing w:after="100"/>
        <w:ind w:firstLine="420"/>
      </w:pPr>
      <w:r>
        <w:rPr>
          <w:rFonts w:ascii="宋体" w:hAnsi="宋体"/>
          <w:b/>
          <w:sz w:val="22"/>
        </w:rPr>
        <w:t>表6.8 无角度增益时的知己收敛（另设实验）</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Round</w:t>
            </w:r>
          </w:p>
        </w:tc>
        <w:tc>
          <w:tcPr>
            <w:tcW w:type="dxa" w:w="2158"/>
          </w:tcPr>
          <w:p>
            <w:pPr>
              <w:spacing w:before="40" w:after="40"/>
            </w:pPr>
            <w:r>
              <w:rPr>
                <w:rFonts w:ascii="宋体" w:hAnsi="宋体"/>
                <w:b/>
                <w:sz w:val="18"/>
              </w:rPr>
              <w:t>force_scale</w:t>
            </w:r>
          </w:p>
        </w:tc>
        <w:tc>
          <w:tcPr>
            <w:tcW w:type="dxa" w:w="2158"/>
          </w:tcPr>
          <w:p>
            <w:pPr>
              <w:spacing w:before="40" w:after="40"/>
            </w:pPr>
            <w:r>
              <w:rPr>
                <w:rFonts w:ascii="宋体" w:hAnsi="宋体"/>
                <w:b/>
                <w:sz w:val="18"/>
              </w:rPr>
              <w:t>成功率</w:t>
            </w:r>
          </w:p>
        </w:tc>
        <w:tc>
          <w:tcPr>
            <w:tcW w:type="dxa" w:w="2158"/>
          </w:tcPr>
          <w:p>
            <w:pPr>
              <w:spacing w:before="40" w:after="40"/>
            </w:pPr>
            <w:r>
              <w:rPr>
                <w:rFonts w:ascii="宋体" w:hAnsi="宋体"/>
                <w:b/>
                <w:sz w:val="18"/>
              </w:rPr>
              <w:t>主要调整</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1.00</w:t>
            </w:r>
          </w:p>
        </w:tc>
        <w:tc>
          <w:tcPr>
            <w:tcW w:type="dxa" w:w="2158"/>
          </w:tcPr>
          <w:p>
            <w:pPr>
              <w:spacing w:before="40" w:after="40"/>
            </w:pPr>
            <w:r>
              <w:rPr>
                <w:rFonts w:ascii="宋体" w:hAnsi="宋体"/>
                <w:sz w:val="18"/>
              </w:rPr>
              <w:t>58.0%</w:t>
            </w:r>
          </w:p>
        </w:tc>
        <w:tc>
          <w:tcPr>
            <w:tcW w:type="dxa" w:w="2158"/>
          </w:tcPr>
          <w:p>
            <w:pPr>
              <w:spacing w:before="40" w:after="40"/>
            </w:pPr>
            <w:r>
              <w:rPr>
                <w:rFonts w:ascii="宋体" w:hAnsi="宋体"/>
                <w:sz w:val="18"/>
              </w:rPr>
              <w:t>零样本起点（无角度增益）</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1.08</w:t>
            </w:r>
          </w:p>
        </w:tc>
        <w:tc>
          <w:tcPr>
            <w:tcW w:type="dxa" w:w="2158"/>
          </w:tcPr>
          <w:p>
            <w:pPr>
              <w:spacing w:before="40" w:after="40"/>
            </w:pPr>
            <w:r>
              <w:rPr>
                <w:rFonts w:ascii="宋体" w:hAnsi="宋体"/>
                <w:sz w:val="18"/>
              </w:rPr>
              <w:t>62.0%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1.16</w:t>
            </w:r>
          </w:p>
        </w:tc>
        <w:tc>
          <w:tcPr>
            <w:tcW w:type="dxa" w:w="2158"/>
          </w:tcPr>
          <w:p>
            <w:pPr>
              <w:spacing w:before="40" w:after="40"/>
            </w:pPr>
            <w:r>
              <w:rPr>
                <w:rFonts w:ascii="宋体" w:hAnsi="宋体"/>
                <w:sz w:val="18"/>
              </w:rPr>
              <w:t>60.0%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3</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**66.0%**</w:t>
            </w:r>
          </w:p>
        </w:tc>
        <w:tc>
          <w:tcPr>
            <w:tcW w:type="dxa" w:w="2158"/>
          </w:tcPr>
          <w:p>
            <w:pPr>
              <w:spacing w:before="40" w:after="40"/>
            </w:pPr>
            <w:r>
              <w:rPr>
                <w:rFonts w:ascii="宋体" w:hAnsi="宋体"/>
                <w:sz w:val="18"/>
              </w:rPr>
              <w:t>全局scale +0.08 + 卦级微调</w:t>
            </w:r>
          </w:p>
        </w:tc>
      </w:tr>
      <w:tr>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卦级微调（花瓶/圆柱体）</w:t>
            </w:r>
          </w:p>
        </w:tc>
      </w:tr>
      <w:tr>
        <w:tc>
          <w:tcPr>
            <w:tcW w:type="dxa" w:w="2158"/>
          </w:tcPr>
          <w:p>
            <w:pPr>
              <w:spacing w:before="40" w:after="40"/>
            </w:pPr>
            <w:r>
              <w:rPr>
                <w:rFonts w:ascii="宋体" w:hAnsi="宋体"/>
                <w:sz w:val="18"/>
              </w:rPr>
              <w:t>9</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卦级微调（瓶子）</w:t>
            </w:r>
          </w:p>
        </w:tc>
      </w:tr>
    </w:tbl>
    <w:p/>
    <w:p>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pPr>
        <w:spacing w:before="120" w:after="120"/>
        <w:ind w:firstLine="0"/>
      </w:pPr>
      <w:r>
        <w:rPr>
          <w:color w:val="969696"/>
          <w:sz w:val="18"/>
        </w:rPr>
        <w:t>——————————————————————————————</w:t>
      </w:r>
    </w:p>
    <w:p>
      <w:pPr>
        <w:spacing w:before="280" w:after="160"/>
      </w:pPr>
      <w:r>
        <w:rPr>
          <w:rFonts w:ascii="黑体" w:hAnsi="黑体"/>
          <w:b/>
          <w:sz w:val="28"/>
        </w:rPr>
        <w:t>6.2.5 与国际同行的间接对比</w:t>
      </w:r>
    </w:p>
    <w:p>
      <w:pPr>
        <w:spacing w:after="100"/>
        <w:ind w:firstLine="420"/>
      </w:pPr>
      <w:r>
        <w:rPr>
          <w:rFonts w:ascii="宋体" w:hAnsi="宋体"/>
          <w:b/>
          <w:sz w:val="22"/>
        </w:rPr>
        <w:t>表6.9 抓取策略方法对比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零样本</w:t>
            </w:r>
          </w:p>
        </w:tc>
        <w:tc>
          <w:tcPr>
            <w:tcW w:type="dxa" w:w="1439"/>
          </w:tcPr>
          <w:p>
            <w:pPr>
              <w:spacing w:before="40" w:after="40"/>
            </w:pPr>
            <w:r>
              <w:rPr>
                <w:rFonts w:ascii="宋体" w:hAnsi="宋体"/>
                <w:b/>
                <w:sz w:val="18"/>
              </w:rPr>
              <w:t>无需训练</w:t>
            </w:r>
          </w:p>
        </w:tc>
        <w:tc>
          <w:tcPr>
            <w:tcW w:type="dxa" w:w="1439"/>
          </w:tcPr>
          <w:p>
            <w:pPr>
              <w:spacing w:before="40" w:after="40"/>
            </w:pPr>
            <w:r>
              <w:rPr>
                <w:rFonts w:ascii="宋体" w:hAnsi="宋体"/>
                <w:b/>
                <w:sz w:val="18"/>
              </w:rPr>
              <w:t>物体数</w:t>
            </w:r>
          </w:p>
        </w:tc>
        <w:tc>
          <w:tcPr>
            <w:tcW w:type="dxa" w:w="1439"/>
          </w:tcPr>
          <w:p>
            <w:pPr>
              <w:spacing w:before="40" w:after="40"/>
            </w:pPr>
            <w:r>
              <w:rPr>
                <w:rFonts w:ascii="宋体" w:hAnsi="宋体"/>
                <w:b/>
                <w:sz w:val="18"/>
              </w:rPr>
              <w:t>评估方式</w:t>
            </w:r>
          </w:p>
        </w:tc>
        <w:tc>
          <w:tcPr>
            <w:tcW w:type="dxa" w:w="1439"/>
          </w:tcPr>
          <w:p>
            <w:pPr>
              <w:spacing w:before="40" w:after="40"/>
            </w:pPr>
            <w:r>
              <w:rPr>
                <w:rFonts w:ascii="宋体" w:hAnsi="宋体"/>
                <w:b/>
                <w:sz w:val="18"/>
              </w:rPr>
              <w:t>成功率</w:t>
            </w:r>
          </w:p>
        </w:tc>
      </w:tr>
      <w:tr>
        <w:tc>
          <w:tcPr>
            <w:tcW w:type="dxa" w:w="1439"/>
          </w:tcPr>
          <w:p>
            <w:pPr>
              <w:spacing w:before="40" w:after="40"/>
            </w:pPr>
            <w:r>
              <w:rPr>
                <w:rFonts w:ascii="宋体" w:hAnsi="宋体"/>
                <w:sz w:val="18"/>
              </w:rPr>
              <w:t>Dex-Net 2.0</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合成仿真力闭合</w:t>
            </w:r>
          </w:p>
        </w:tc>
        <w:tc>
          <w:tcPr>
            <w:tcW w:type="dxa" w:w="1439"/>
          </w:tcPr>
          <w:p>
            <w:pPr>
              <w:spacing w:before="40" w:after="40"/>
            </w:pPr>
            <w:r>
              <w:rPr>
                <w:rFonts w:ascii="宋体" w:hAnsi="宋体"/>
                <w:sz w:val="18"/>
              </w:rPr>
              <w:t>93.0%</w:t>
            </w:r>
          </w:p>
        </w:tc>
      </w:tr>
      <w:tr>
        <w:tc>
          <w:tcPr>
            <w:tcW w:type="dxa" w:w="1439"/>
          </w:tcPr>
          <w:p>
            <w:pPr>
              <w:spacing w:before="40" w:after="40"/>
            </w:pPr>
            <w:r>
              <w:rPr>
                <w:rFonts w:ascii="宋体" w:hAnsi="宋体"/>
                <w:sz w:val="18"/>
              </w:rPr>
              <w:t>GraspNet-1B</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88</w:t>
            </w:r>
          </w:p>
        </w:tc>
        <w:tc>
          <w:tcPr>
            <w:tcW w:type="dxa" w:w="1439"/>
          </w:tcPr>
          <w:p>
            <w:pPr>
              <w:spacing w:before="40" w:after="40"/>
            </w:pPr>
            <w:r>
              <w:rPr>
                <w:rFonts w:ascii="宋体" w:hAnsi="宋体"/>
                <w:sz w:val="18"/>
              </w:rPr>
              <w:t>合成仿真</w:t>
            </w:r>
          </w:p>
        </w:tc>
        <w:tc>
          <w:tcPr>
            <w:tcW w:type="dxa" w:w="1439"/>
          </w:tcPr>
          <w:p>
            <w:pPr>
              <w:spacing w:before="40" w:after="40"/>
            </w:pPr>
            <w:r>
              <w:rPr>
                <w:rFonts w:ascii="宋体" w:hAnsi="宋体"/>
                <w:sz w:val="18"/>
              </w:rPr>
              <w:t>65.0-85.0%</w:t>
            </w:r>
          </w:p>
        </w:tc>
      </w:tr>
      <w:tr>
        <w:tc>
          <w:tcPr>
            <w:tcW w:type="dxa" w:w="1439"/>
          </w:tcPr>
          <w:p>
            <w:pPr>
              <w:spacing w:before="40" w:after="40"/>
            </w:pPr>
            <w:r>
              <w:rPr>
                <w:rFonts w:ascii="宋体" w:hAnsi="宋体"/>
                <w:sz w:val="18"/>
              </w:rPr>
              <w:t>GG-CNN</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83.0%</w:t>
            </w:r>
          </w:p>
        </w:tc>
      </w:tr>
      <w:tr>
        <w:tc>
          <w:tcPr>
            <w:tcW w:type="dxa" w:w="1439"/>
          </w:tcPr>
          <w:p>
            <w:pPr>
              <w:spacing w:before="40" w:after="40"/>
            </w:pPr>
            <w:r>
              <w:rPr>
                <w:rFonts w:ascii="宋体" w:hAnsi="宋体"/>
                <w:sz w:val="18"/>
              </w:rPr>
              <w:t>**YLYW（本文）**</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**50**</w:t>
            </w:r>
          </w:p>
        </w:tc>
        <w:tc>
          <w:tcPr>
            <w:tcW w:type="dxa" w:w="1439"/>
          </w:tcPr>
          <w:p>
            <w:pPr>
              <w:spacing w:before="40" w:after="40"/>
            </w:pPr>
            <w:r>
              <w:rPr>
                <w:rFonts w:ascii="宋体" w:hAnsi="宋体"/>
                <w:sz w:val="18"/>
              </w:rPr>
              <w:t>**标准力学解析**</w:t>
            </w:r>
          </w:p>
        </w:tc>
        <w:tc>
          <w:tcPr>
            <w:tcW w:type="dxa" w:w="1439"/>
          </w:tcPr>
          <w:p>
            <w:pPr>
              <w:spacing w:before="40" w:after="40"/>
            </w:pPr>
            <w:r>
              <w:rPr>
                <w:rFonts w:ascii="宋体" w:hAnsi="宋体"/>
                <w:sz w:val="18"/>
              </w:rPr>
              <w:t>**92.0%**</w:t>
            </w:r>
          </w:p>
        </w:tc>
      </w:tr>
    </w:tbl>
    <w:p/>
    <w:p>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pPr>
        <w:spacing w:before="120" w:after="120"/>
        <w:ind w:firstLine="0"/>
      </w:pPr>
      <w:r>
        <w:rPr>
          <w:color w:val="969696"/>
          <w:sz w:val="18"/>
        </w:rPr>
        <w:t>——————————————————————————————</w:t>
      </w:r>
    </w:p>
    <w:p>
      <w:pPr>
        <w:spacing w:before="280" w:after="160"/>
      </w:pPr>
      <w:r>
        <w:rPr>
          <w:rFonts w:ascii="黑体" w:hAnsi="黑体"/>
          <w:b/>
          <w:sz w:val="28"/>
        </w:rPr>
        <w:t>6.2.6 物理域实验总结</w:t>
      </w:r>
    </w:p>
    <w:p>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pPr>
        <w:spacing w:after="100"/>
        <w:ind w:firstLine="420"/>
      </w:pPr>
      <w:r>
        <w:rPr>
          <w:rFonts w:ascii="宋体" w:hAnsi="宋体"/>
          <w:sz w:val="22"/>
        </w:rPr>
        <w:t>本节完。下一节：6.3 运动控制域——从抓取到步态的跨域迁移。</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