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pPr>
        <w:spacing w:before="120" w:after="120"/>
        <w:ind w:firstLine="0"/>
      </w:pPr>
      <w:r>
        <w:rPr>
          <w:color w:val="969696"/>
          <w:sz w:val="18"/>
        </w:rPr>
        <w:t>——————————————————————————————</w:t>
      </w:r>
    </w:p>
    <w:p>
      <w:pPr>
        <w:spacing w:before="280" w:after="160"/>
      </w:pPr>
      <w:r>
        <w:rPr>
          <w:rFonts w:ascii="黑体" w:hAnsi="黑体"/>
          <w:b/>
          <w:sz w:val="28"/>
        </w:rPr>
        <w:t>7.3.1 传统跨层通讯方式的缺陷</w:t>
      </w:r>
    </w:p>
    <w:p>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pPr>
        <w:spacing w:before="120" w:after="120"/>
        <w:ind w:firstLine="0"/>
      </w:pPr>
      <w:r>
        <w:rPr>
          <w:color w:val="969696"/>
          <w:sz w:val="18"/>
        </w:rPr>
        <w:t>——————————————————————————————</w:t>
      </w:r>
    </w:p>
    <w:p>
      <w:pPr>
        <w:spacing w:before="280" w:after="160"/>
      </w:pPr>
      <w:r>
        <w:rPr>
          <w:rFonts w:ascii="黑体" w:hAnsi="黑体"/>
          <w:b/>
          <w:sz w:val="28"/>
        </w:rPr>
        <w:t>7.3.2 卦象意图消息格式</w:t>
      </w:r>
    </w:p>
    <w:p>
      <w:pPr>
        <w:spacing w:after="100"/>
        <w:ind w:firstLine="420"/>
      </w:pPr>
      <w:r>
        <w:rPr>
          <w:rFonts w:ascii="宋体" w:hAnsi="宋体"/>
          <w:sz w:val="22"/>
        </w:rPr>
        <w:t>卦象意图是一个结构化的消息帧，由四个字段组成。</w:t>
      </w:r>
    </w:p>
    <w:p>
      <w:pPr>
        <w:spacing w:after="100"/>
        <w:ind w:firstLine="420"/>
      </w:pPr>
      <w:r>
        <w:rPr>
          <w:rFonts w:ascii="宋体" w:hAnsi="宋体"/>
          <w:b/>
          <w:sz w:val="22"/>
        </w:rPr>
        <w:t>卦象意图消息格式：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"hexagram": &lt;卦名/卦序&gt;,      // 必选。核心语义</w:t>
      </w:r>
    </w:p>
    <w:p>
      <w:pPr>
        <w:spacing w:after="100"/>
        <w:ind w:firstLine="420"/>
      </w:pPr>
      <w:r>
        <w:rPr>
          <w:rFonts w:ascii="宋体" w:hAnsi="宋体"/>
          <w:sz w:val="22"/>
        </w:rPr>
        <w:t>"trigram_sequence": &lt;6爻序列&gt;, // 必选。六爻值向量</w:t>
      </w:r>
    </w:p>
    <w:p>
      <w:pPr>
        <w:spacing w:after="100"/>
        <w:ind w:firstLine="420"/>
      </w:pPr>
      <w:r>
        <w:rPr>
          <w:rFonts w:ascii="宋体" w:hAnsi="宋体"/>
          <w:sz w:val="22"/>
        </w:rPr>
        <w:t>"urgency": &lt;0-5&gt;,            // 可选。紧急程度，默认0</w:t>
      </w:r>
    </w:p>
    <w:p>
      <w:pPr>
        <w:spacing w:after="100"/>
        <w:ind w:firstLine="420"/>
      </w:pPr>
      <w:r>
        <w:rPr>
          <w:rFonts w:ascii="宋体" w:hAnsi="宋体"/>
          <w:sz w:val="22"/>
        </w:rPr>
        <w:t>"constraint": &lt;约束数组&gt;      // 可选。额外的约束条件</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pPr>
        <w:spacing w:before="120" w:after="120"/>
        <w:ind w:firstLine="0"/>
      </w:pPr>
      <w:r>
        <w:rPr>
          <w:color w:val="969696"/>
          <w:sz w:val="18"/>
        </w:rPr>
        <w:t>——————————————————————————————</w:t>
      </w:r>
    </w:p>
    <w:p>
      <w:pPr>
        <w:spacing w:before="280" w:after="160"/>
      </w:pPr>
      <w:r>
        <w:rPr>
          <w:rFonts w:ascii="黑体" w:hAnsi="黑体"/>
          <w:b/>
          <w:sz w:val="28"/>
        </w:rPr>
        <w:t>7.3.3 卦象意图的三个核心特性</w:t>
      </w:r>
    </w:p>
    <w:p>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pPr>
        <w:spacing w:before="120" w:after="120"/>
        <w:ind w:firstLine="0"/>
      </w:pPr>
      <w:r>
        <w:rPr>
          <w:color w:val="969696"/>
          <w:sz w:val="18"/>
        </w:rPr>
        <w:t>——————————————————————————————</w:t>
      </w:r>
    </w:p>
    <w:p>
      <w:pPr>
        <w:spacing w:before="280" w:after="160"/>
      </w:pPr>
      <w:r>
        <w:rPr>
          <w:rFonts w:ascii="黑体" w:hAnsi="黑体"/>
          <w:b/>
          <w:sz w:val="28"/>
        </w:rPr>
        <w:t>7.3.4 上行反馈：变卦预警</w:t>
      </w:r>
    </w:p>
    <w:p>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pPr>
        <w:spacing w:after="100"/>
        <w:ind w:firstLine="420"/>
      </w:pPr>
      <w:r>
        <w:rPr>
          <w:rFonts w:ascii="宋体" w:hAnsi="宋体"/>
          <w:b/>
          <w:sz w:val="22"/>
        </w:rPr>
        <w:t>变卦预警消息格式：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"from_hexagram": &lt;当前卦象&gt;,</w:t>
      </w:r>
    </w:p>
    <w:p>
      <w:pPr>
        <w:spacing w:after="100"/>
        <w:ind w:firstLine="420"/>
      </w:pPr>
      <w:r>
        <w:rPr>
          <w:rFonts w:ascii="宋体" w:hAnsi="宋体"/>
          <w:sz w:val="22"/>
        </w:rPr>
        <w:t>"to_hexagram": &lt;目标卦象&gt;,      // 正在漂移到的卦象</w:t>
      </w:r>
    </w:p>
    <w:p>
      <w:pPr>
        <w:spacing w:after="100"/>
        <w:ind w:firstLine="420"/>
      </w:pPr>
      <w:r>
        <w:rPr>
          <w:rFonts w:ascii="宋体" w:hAnsi="宋体"/>
          <w:sz w:val="22"/>
        </w:rPr>
        <w:t>"trigger_yao": &lt;触发爻位&gt;,       // 哪条爻的变化触发了预警</w:t>
      </w:r>
    </w:p>
    <w:p>
      <w:pPr>
        <w:spacing w:after="100"/>
        <w:ind w:firstLine="420"/>
      </w:pPr>
      <w:r>
        <w:rPr>
          <w:rFonts w:ascii="宋体" w:hAnsi="宋体"/>
          <w:sz w:val="22"/>
        </w:rPr>
        <w:t>"values": &lt;当前六爻值向量&gt;,</w:t>
      </w:r>
    </w:p>
    <w:p>
      <w:pPr>
        <w:spacing w:after="100"/>
        <w:ind w:firstLine="420"/>
      </w:pPr>
      <w:r>
        <w:rPr>
          <w:rFonts w:ascii="宋体" w:hAnsi="宋体"/>
          <w:sz w:val="22"/>
        </w:rPr>
        <w:t>"trend": &lt;变化趋势描述&gt;          // 如"三爻1.5s内从0.65升至0.88(老阳逼近)"</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pPr>
        <w:spacing w:before="120" w:after="120"/>
        <w:ind w:firstLine="0"/>
      </w:pPr>
      <w:r>
        <w:rPr>
          <w:color w:val="969696"/>
          <w:sz w:val="18"/>
        </w:rPr>
        <w:t>——————————————————————————————</w:t>
      </w:r>
    </w:p>
    <w:p>
      <w:pPr>
        <w:spacing w:before="280" w:after="160"/>
      </w:pPr>
      <w:r>
        <w:rPr>
          <w:rFonts w:ascii="黑体" w:hAnsi="黑体"/>
          <w:b/>
          <w:sz w:val="28"/>
        </w:rPr>
        <w:t>7.3.5 与蚁群智能的系统类比</w:t>
      </w:r>
    </w:p>
    <w:p>
      <w:pPr>
        <w:spacing w:after="100"/>
        <w:ind w:firstLine="420"/>
      </w:pPr>
      <w:r>
        <w:rPr>
          <w:rFonts w:ascii="宋体" w:hAnsi="宋体"/>
          <w:sz w:val="22"/>
        </w:rPr>
        <w:t>卦象意图通讯协议在机制上与蚁群智能之间具有显著的结构相似性。</w:t>
      </w:r>
    </w:p>
    <w:p>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pPr>
        <w:spacing w:after="100"/>
        <w:ind w:firstLine="420"/>
      </w:pPr>
      <w:r>
        <w:rPr>
          <w:rFonts w:ascii="宋体" w:hAnsi="宋体"/>
          <w:b/>
          <w:sz w:val="22"/>
        </w:rPr>
        <w:t>表7.4 蚁群智能与YLYW卦象意图对比</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蚁群机制</w:t>
            </w:r>
          </w:p>
        </w:tc>
        <w:tc>
          <w:tcPr>
            <w:tcW w:type="dxa" w:w="2878"/>
          </w:tcPr>
          <w:p>
            <w:pPr>
              <w:spacing w:before="40" w:after="40"/>
            </w:pPr>
            <w:r>
              <w:rPr>
                <w:rFonts w:ascii="宋体" w:hAnsi="宋体"/>
                <w:b/>
                <w:sz w:val="18"/>
              </w:rPr>
              <w:t>YLYW对应</w:t>
            </w:r>
          </w:p>
        </w:tc>
        <w:tc>
          <w:tcPr>
            <w:tcW w:type="dxa" w:w="2878"/>
          </w:tcPr>
          <w:p>
            <w:pPr>
              <w:spacing w:before="40" w:after="40"/>
            </w:pPr>
            <w:r>
              <w:rPr>
                <w:rFonts w:ascii="宋体" w:hAnsi="宋体"/>
                <w:b/>
                <w:sz w:val="18"/>
              </w:rPr>
              <w:t>功能</w:t>
            </w:r>
          </w:p>
        </w:tc>
      </w:tr>
      <w:tr>
        <w:tc>
          <w:tcPr>
            <w:tcW w:type="dxa" w:w="2878"/>
          </w:tcPr>
          <w:p>
            <w:pPr>
              <w:spacing w:before="40" w:after="40"/>
            </w:pPr>
            <w:r>
              <w:rPr>
                <w:rFonts w:ascii="宋体" w:hAnsi="宋体"/>
                <w:sz w:val="18"/>
              </w:rPr>
              <w:t>信息素标记</w:t>
            </w:r>
          </w:p>
        </w:tc>
        <w:tc>
          <w:tcPr>
            <w:tcW w:type="dxa" w:w="2878"/>
          </w:tcPr>
          <w:p>
            <w:pPr>
              <w:spacing w:before="40" w:after="40"/>
            </w:pPr>
            <w:r>
              <w:rPr>
                <w:rFonts w:ascii="宋体" w:hAnsi="宋体"/>
                <w:sz w:val="18"/>
              </w:rPr>
              <w:t>卦象意图广播</w:t>
            </w:r>
          </w:p>
        </w:tc>
        <w:tc>
          <w:tcPr>
            <w:tcW w:type="dxa" w:w="2878"/>
          </w:tcPr>
          <w:p>
            <w:pPr>
              <w:spacing w:before="40" w:after="40"/>
            </w:pPr>
            <w:r>
              <w:rPr>
                <w:rFonts w:ascii="宋体" w:hAnsi="宋体"/>
                <w:sz w:val="18"/>
              </w:rPr>
              <w:t>向群体传递环境状态信息</w:t>
            </w:r>
          </w:p>
        </w:tc>
      </w:tr>
      <w:tr>
        <w:tc>
          <w:tcPr>
            <w:tcW w:type="dxa" w:w="2878"/>
          </w:tcPr>
          <w:p>
            <w:pPr>
              <w:spacing w:before="40" w:after="40"/>
            </w:pPr>
            <w:r>
              <w:rPr>
                <w:rFonts w:ascii="宋体" w:hAnsi="宋体"/>
                <w:sz w:val="18"/>
              </w:rPr>
              <w:t>个体独立解读信息素</w:t>
            </w:r>
          </w:p>
        </w:tc>
        <w:tc>
          <w:tcPr>
            <w:tcW w:type="dxa" w:w="2878"/>
          </w:tcPr>
          <w:p>
            <w:pPr>
              <w:spacing w:before="40" w:after="40"/>
            </w:pPr>
            <w:r>
              <w:rPr>
                <w:rFonts w:ascii="宋体" w:hAnsi="宋体"/>
                <w:sz w:val="18"/>
              </w:rPr>
              <w:t>子系统独立解码卦象</w:t>
            </w:r>
          </w:p>
        </w:tc>
        <w:tc>
          <w:tcPr>
            <w:tcW w:type="dxa" w:w="2878"/>
          </w:tcPr>
          <w:p>
            <w:pPr>
              <w:spacing w:before="40" w:after="40"/>
            </w:pPr>
            <w:r>
              <w:rPr>
                <w:rFonts w:ascii="宋体" w:hAnsi="宋体"/>
                <w:sz w:val="18"/>
              </w:rPr>
              <w:t>个体根据自身状态调整行为</w:t>
            </w:r>
          </w:p>
        </w:tc>
      </w:tr>
      <w:tr>
        <w:tc>
          <w:tcPr>
            <w:tcW w:type="dxa" w:w="2878"/>
          </w:tcPr>
          <w:p>
            <w:pPr>
              <w:spacing w:before="40" w:after="40"/>
            </w:pPr>
            <w:r>
              <w:rPr>
                <w:rFonts w:ascii="宋体" w:hAnsi="宋体"/>
                <w:sz w:val="18"/>
              </w:rPr>
              <w:t>间接协调</w:t>
            </w:r>
          </w:p>
        </w:tc>
        <w:tc>
          <w:tcPr>
            <w:tcW w:type="dxa" w:w="2878"/>
          </w:tcPr>
          <w:p>
            <w:pPr>
              <w:spacing w:before="40" w:after="40"/>
            </w:pPr>
            <w:r>
              <w:rPr>
                <w:rFonts w:ascii="宋体" w:hAnsi="宋体"/>
                <w:sz w:val="18"/>
              </w:rPr>
              <w:t>零显式子系统通讯</w:t>
            </w:r>
          </w:p>
        </w:tc>
        <w:tc>
          <w:tcPr>
            <w:tcW w:type="dxa" w:w="2878"/>
          </w:tcPr>
          <w:p>
            <w:pPr>
              <w:spacing w:before="40" w:after="40"/>
            </w:pPr>
            <w:r>
              <w:rPr>
                <w:rFonts w:ascii="宋体" w:hAnsi="宋体"/>
                <w:sz w:val="18"/>
              </w:rPr>
              <w:t>全局协调通过共享状态而非直接协商</w:t>
            </w:r>
          </w:p>
        </w:tc>
      </w:tr>
      <w:tr>
        <w:tc>
          <w:tcPr>
            <w:tcW w:type="dxa" w:w="2878"/>
          </w:tcPr>
          <w:p>
            <w:pPr>
              <w:spacing w:before="40" w:after="40"/>
            </w:pPr>
            <w:r>
              <w:rPr>
                <w:rFonts w:ascii="宋体" w:hAnsi="宋体"/>
                <w:sz w:val="18"/>
              </w:rPr>
              <w:t>信息素浓度→行为强度</w:t>
            </w:r>
          </w:p>
        </w:tc>
        <w:tc>
          <w:tcPr>
            <w:tcW w:type="dxa" w:w="2878"/>
          </w:tcPr>
          <w:p>
            <w:pPr>
              <w:spacing w:before="40" w:after="40"/>
            </w:pPr>
            <w:r>
              <w:rPr>
                <w:rFonts w:ascii="宋体" w:hAnsi="宋体"/>
                <w:sz w:val="18"/>
              </w:rPr>
              <w:t>卦象紧急度→执行优先级</w:t>
            </w:r>
          </w:p>
        </w:tc>
        <w:tc>
          <w:tcPr>
            <w:tcW w:type="dxa" w:w="2878"/>
          </w:tcPr>
          <w:p>
            <w:pPr>
              <w:spacing w:before="40" w:after="40"/>
            </w:pPr>
            <w:r>
              <w:rPr>
                <w:rFonts w:ascii="宋体" w:hAnsi="宋体"/>
                <w:sz w:val="18"/>
              </w:rPr>
              <w:t>紧急状态对应高优响应</w:t>
            </w:r>
          </w:p>
        </w:tc>
      </w:tr>
      <w:tr>
        <w:tc>
          <w:tcPr>
            <w:tcW w:type="dxa" w:w="2878"/>
          </w:tcPr>
          <w:p>
            <w:pPr>
              <w:spacing w:before="40" w:after="40"/>
            </w:pPr>
            <w:r>
              <w:rPr>
                <w:rFonts w:ascii="宋体" w:hAnsi="宋体"/>
                <w:sz w:val="18"/>
              </w:rPr>
              <w:t>无中心协调者</w:t>
            </w:r>
          </w:p>
        </w:tc>
        <w:tc>
          <w:tcPr>
            <w:tcW w:type="dxa" w:w="2878"/>
          </w:tcPr>
          <w:p>
            <w:pPr>
              <w:spacing w:before="40" w:after="40"/>
            </w:pPr>
            <w:r>
              <w:rPr>
                <w:rFonts w:ascii="宋体" w:hAnsi="宋体"/>
                <w:sz w:val="18"/>
              </w:rPr>
              <w:t>宏观层是发送者，不是控制器</w:t>
            </w:r>
          </w:p>
        </w:tc>
        <w:tc>
          <w:tcPr>
            <w:tcW w:type="dxa" w:w="2878"/>
          </w:tcPr>
          <w:p>
            <w:pPr>
              <w:spacing w:before="40" w:after="40"/>
            </w:pPr>
            <w:r>
              <w:rPr>
                <w:rFonts w:ascii="宋体" w:hAnsi="宋体"/>
                <w:sz w:val="18"/>
              </w:rPr>
              <w:t>不存在单点故障</w:t>
            </w:r>
          </w:p>
        </w:tc>
      </w:tr>
    </w:tbl>
    <w:p/>
    <w:p>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pPr>
        <w:spacing w:after="100"/>
        <w:ind w:firstLine="420"/>
      </w:pPr>
      <w:r>
        <w:rPr>
          <w:rFonts w:ascii="宋体" w:hAnsi="宋体"/>
          <w:sz w:val="22"/>
        </w:rPr>
        <w:t>*本节完。下一节：7.4 双模型并行博弈（每层内部的安全八卦）。*</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