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ind w:firstLine="0"/>
        <w:jc w:val="center"/>
      </w:pPr>
      <w:r>
        <w:rPr>
          <w:rFonts w:ascii="黑体" w:hAnsi="黑体" w:eastAsia="黑体"/>
          <w:b/>
          <w:sz w:val="32"/>
        </w:rPr>
        <w:t>知几学习：一种基于征兆辨识与对称校准的具身智能学习范式</w:t>
      </w:r>
    </w:p>
    <w:p>
      <w:pPr>
        <w:spacing w:after="240"/>
        <w:ind w:firstLine="0"/>
        <w:jc w:val="center"/>
      </w:pPr>
      <w:r>
        <w:rPr>
          <w:rFonts w:ascii="Times New Roman" w:hAnsi="Times New Roman"/>
          <w:i/>
          <w:sz w:val="24"/>
        </w:rPr>
        <w:t>Zhi-Ji Learning: An Embodied Intelligence Learning Paradigm Based on</w:t>
        <w:br/>
        <w:t>Sign Recognition and Symmetric Calibration</w:t>
      </w:r>
    </w:p>
    <w:p>
      <w:pPr>
        <w:spacing w:after="80"/>
        <w:ind w:firstLine="0"/>
        <w:jc w:val="center"/>
      </w:pPr>
      <w:r>
        <w:rPr>
          <w:rFonts w:ascii="宋体" w:hAnsi="宋体" w:eastAsia="宋体"/>
          <w:sz w:val="22"/>
        </w:rPr>
        <w:t>马兴录，李金函，张国安，于敬涛，李望，马圣洁</w:t>
      </w:r>
      <w:r>
        <w:rPr>
          <w:sz w:val="22"/>
          <w:vertAlign w:val="superscript"/>
        </w:rPr>
        <w:t>*</w:t>
      </w:r>
    </w:p>
    <w:p>
      <w:pPr>
        <w:spacing w:after="240"/>
        <w:ind w:firstLine="0"/>
        <w:jc w:val="center"/>
      </w:pPr>
      <w:r>
        <w:rPr>
          <w:rFonts w:ascii="宋体" w:hAnsi="宋体" w:eastAsia="宋体"/>
          <w:sz w:val="20"/>
        </w:rPr>
        <w:t>青岛科技大学 信息科学技术学院，山东 青岛 266061</w:t>
      </w:r>
    </w:p>
    <w:p>
      <w:pPr>
        <w:pStyle w:val="Heading1"/>
        <w:spacing w:before="240" w:after="120"/>
        <w:ind w:firstLine="0"/>
      </w:pPr>
      <w:r>
        <w:rPr>
          <w:rFonts w:ascii="黑体" w:hAnsi="黑体" w:eastAsia="黑体"/>
          <w:sz w:val="28"/>
        </w:rPr>
        <w:t>摘  要</w:t>
      </w:r>
    </w:p>
    <w:p>
      <w:r>
        <w:rPr>
          <w:rFonts w:ascii="宋体" w:hAnsi="宋体" w:eastAsia="宋体"/>
          <w:sz w:val="21"/>
        </w:rPr>
        <w:t>具身智能的学习范式长期受制于强化学习（RL）的三重困境：数据饥渴、探索风险与不可解释性。本文提出知几学习（Zhi-Ji Learning），一种源自中国古典哲学的具身智能新学习范式。"几者，动之微，吉之先见者也"——知几学习的核心能力是对微小变化征兆的提前察觉与精确响应。"几"既包括吉之几（成功征兆）也包括凶之几（失败征兆），二者是同一种"知几"能力的两个方向，而非两种独立的学习方法。本文构建了统一的知几学习模型：智能体维护一组先验知识矩阵Ω，在每次交互后，通过征兆辨识定位到矩阵的精确条目，然后执行对称校准——成功时对相关条目施加正向强化（+α，见吉之几而强化），失败时对相关条目施加负向抑制（-β，见凶之几而抑制）。这一机制与多巴胺奖赏预测误差系统具有深刻对应：同一套突触连接，正负方向调制。与RL的全局梯度更新根本不同，知几学习执行精确条目级更新，一次精确归因的信息量等价于数千次随机探索的统计平均。在ALFWorld具身环境中，纯规则系统（800行Python，无需大语言模型）验证表明：静态先验基线67.2%，经知几学习校准后达到73.9%，且仅需一轮交互即收敛。本文贡献包括：提出知几学习统一范式、建立对称校准理论框架、证明可解释性是精确学习的前提条件、揭示与神经科学的对应关系、以及提供零LLM依赖的具身智能验证。</w:t>
      </w:r>
    </w:p>
    <w:p>
      <w:pPr>
        <w:spacing w:before="120"/>
        <w:ind w:firstLine="0"/>
      </w:pPr>
      <w:r>
        <w:rPr>
          <w:rFonts w:ascii="宋体" w:hAnsi="宋体" w:eastAsia="宋体"/>
          <w:b/>
          <w:sz w:val="21"/>
        </w:rPr>
        <w:t>关键词：</w:t>
      </w:r>
      <w:r>
        <w:rPr>
          <w:rFonts w:ascii="宋体" w:hAnsi="宋体" w:eastAsia="宋体"/>
          <w:sz w:val="21"/>
        </w:rPr>
        <w:t>知几学习；具身智能；先验知识；征兆辨识；对称校准；可解释性；ALFWorld</w:t>
      </w:r>
    </w:p>
    <w:p>
      <w:pPr>
        <w:pStyle w:val="Heading1"/>
        <w:spacing w:before="240" w:after="120"/>
        <w:ind w:firstLine="0"/>
      </w:pPr>
      <w:r>
        <w:rPr>
          <w:rFonts w:ascii="黑体" w:hAnsi="黑体" w:eastAsia="黑体"/>
          <w:sz w:val="28"/>
        </w:rPr>
        <w:t>1  引言</w:t>
      </w:r>
    </w:p>
    <w:p>
      <w:pPr>
        <w:pStyle w:val="Heading2"/>
        <w:spacing w:before="240" w:after="120"/>
        <w:ind w:firstLine="0"/>
      </w:pPr>
      <w:r>
        <w:rPr>
          <w:rFonts w:ascii="黑体" w:hAnsi="黑体" w:eastAsia="黑体"/>
          <w:sz w:val="24"/>
        </w:rPr>
        <w:t>1.1  具身学习的困境</w:t>
      </w:r>
    </w:p>
    <w:p>
      <w:r>
        <w:rPr>
          <w:rFonts w:ascii="宋体" w:hAnsi="宋体"/>
          <w:sz w:val="21"/>
        </w:rPr>
        <w:t>具身智能（Embodied Intelligence）追求使物理世界中的智能体通过与环境的持续交互完成复杂任务</w:t>
      </w:r>
      <w:r>
        <w:rPr>
          <w:rFonts w:ascii="宋体" w:hAnsi="宋体"/>
          <w:sz w:val="16"/>
          <w:vertAlign w:val="superscript"/>
        </w:rPr>
        <w:t>[1]</w:t>
      </w:r>
      <w:r>
        <w:rPr>
          <w:rFonts w:ascii="宋体" w:hAnsi="宋体"/>
          <w:sz w:val="21"/>
        </w:rPr>
        <w:t>。近年来，以深度强化学习（Deep RL）为代表的端到端学习范式取得了令人瞩目的成就——AlphaGo在围棋领域击败人类冠军</w:t>
      </w:r>
      <w:r>
        <w:rPr>
          <w:rFonts w:ascii="宋体" w:hAnsi="宋体"/>
          <w:sz w:val="16"/>
          <w:vertAlign w:val="superscript"/>
        </w:rPr>
        <w:t>[2]</w:t>
      </w:r>
      <w:r>
        <w:rPr>
          <w:rFonts w:ascii="宋体" w:hAnsi="宋体"/>
          <w:sz w:val="21"/>
        </w:rPr>
        <w:t>，机器人通过百万次试错学会抓取物体</w:t>
      </w:r>
      <w:r>
        <w:rPr>
          <w:rFonts w:ascii="宋体" w:hAnsi="宋体"/>
          <w:sz w:val="16"/>
          <w:vertAlign w:val="superscript"/>
        </w:rPr>
        <w:t>[3]</w:t>
      </w:r>
      <w:r>
        <w:rPr>
          <w:rFonts w:ascii="宋体" w:hAnsi="宋体"/>
          <w:sz w:val="21"/>
        </w:rPr>
        <w:t>。然而，当我们审视这些方法在真实物理环境中的应用时，三重根本性困境浮现出来。</w:t>
      </w:r>
    </w:p>
    <w:p>
      <w:r>
        <w:rPr>
          <w:rFonts w:ascii="宋体" w:hAnsi="宋体" w:eastAsia="宋体"/>
          <w:sz w:val="21"/>
        </w:rPr>
        <w:t>第一重困境：数据饥渴。深度RL算法通常需要数百万次环境交互才能收敛。OpenAI训练一个机器手翻转魔方需要约一万年的等效仿真时间，而真实物理系统既不能加速，也无法承受如此海量的试错交互。在ALFWorld这样的家庭具身环境中，一个RL智能体可能需要数万次episode才能学会"把杯子从桌上放到抽屉里"——这对人类而言几乎是本能的动作。</w:t>
      </w:r>
    </w:p>
    <w:p>
      <w:r>
        <w:rPr>
          <w:rFonts w:ascii="宋体" w:hAnsi="宋体" w:eastAsia="宋体"/>
          <w:sz w:val="21"/>
        </w:rPr>
        <w:t>第二重困境：探索风险。RL的学习本质上依赖"试错"——它必须尝试错误动作才能知道什么是对的。但在物理世界中，错误动作可能导致不可逆的后果：摔碎的碗无法复原，碰撞的关节无法收回。安全约束严重限制了RL在真实世界的探索空间。</w:t>
      </w:r>
    </w:p>
    <w:p>
      <w:r>
        <w:rPr>
          <w:rFonts w:ascii="宋体" w:hAnsi="宋体" w:eastAsia="宋体"/>
          <w:sz w:val="21"/>
        </w:rPr>
        <w:t>第三重困境：不可解释性。深度RL的策略编码在高维参数空间中，人类无法理解为什么网络输出特定动作。当机器人做出错误决策时，我们既不能定位错误的原因，也不能精确修正——只能增加训练样本并期望统计规律最终纠正错误。</w:t>
      </w:r>
    </w:p>
    <w:p>
      <w:r>
        <w:rPr>
          <w:rFonts w:ascii="宋体" w:hAnsi="宋体" w:eastAsia="宋体"/>
          <w:sz w:val="21"/>
        </w:rPr>
        <w:t>这三重困境的根本原因在于一个共同的假设：RL对世界一无所知，它从零开始学习一切。这一假设虽然在理论上保证了通用性，但在实践中付出了巨大代价。然而人类从来不是这样学习的——我们携带着丰富的先验知识，仅通过极少次交互就能校准这些先验，快速适应新环境。那么，是否存在一种学习范式，既能利用先验知识的高效性，又能保持从经验中学习的适应性？</w:t>
      </w:r>
    </w:p>
    <w:p>
      <w:pPr>
        <w:pStyle w:val="Heading2"/>
        <w:spacing w:before="240" w:after="120"/>
        <w:ind w:firstLine="0"/>
      </w:pPr>
      <w:r>
        <w:rPr>
          <w:rFonts w:ascii="黑体" w:hAnsi="黑体" w:eastAsia="黑体"/>
          <w:sz w:val="24"/>
        </w:rPr>
        <w:t>1.2  "知几"——一种不同的学习智慧</w:t>
      </w:r>
    </w:p>
    <w:p>
      <w:r>
        <w:rPr>
          <w:rFonts w:ascii="宋体" w:hAnsi="宋体" w:eastAsia="宋体"/>
          <w:sz w:val="21"/>
        </w:rPr>
        <w:t>《周易·系辞下》云："知几其神乎！几者，动之微，吉之先见者也。君子见几而作，不俟终日。"这段两千余年前的哲学论述，精确描述了一种与统计学习截然不同的智慧：对微小变化征兆的提前察觉与即时响应。</w:t>
      </w:r>
    </w:p>
    <w:p>
      <w:r>
        <w:rPr>
          <w:rFonts w:ascii="宋体" w:hAnsi="宋体" w:eastAsia="宋体"/>
          <w:sz w:val="21"/>
        </w:rPr>
        <w:t>"几"的本义是事物变化的最微小征兆——尚未显化为确定结果的细微迹象。值得特别注意的是，虽然"吉之先见者也"暗示几首先指向吉利征兆，但《系辞上》的另一句话揭示了更完整的图景："知微知彰，知柔知刚，万夫之望。"这表明真正的"知几"能力包括对一切微小变化的察觉——无论是趋向成功的变化（吉之几），还是趋向失败的变化（凶之几）。</w:t>
      </w:r>
    </w:p>
    <w:p>
      <w:r>
        <w:rPr>
          <w:rFonts w:ascii="宋体" w:hAnsi="宋体" w:eastAsia="宋体"/>
          <w:sz w:val="21"/>
        </w:rPr>
        <w:t>因此，我们提出的"知几学习"是一种统一的学习范式：从成功中察觉正确的行为模式（吉之几），将其作为正向征兆进行强化；从失败中察觉错误的行为模式（凶之几），将其作为负向征兆进行抑制。两者不是两种独立的学习方法，而是同一种"知几"能力的两种自然应用——就像同一只眼睛既能看见光明也能看见黑暗，同一种察觉力既能辨识成功征兆也能辨识失败征兆。</w:t>
      </w:r>
    </w:p>
    <w:p>
      <w:r>
        <w:rPr>
          <w:rFonts w:ascii="宋体" w:hAnsi="宋体" w:eastAsia="宋体"/>
          <w:sz w:val="21"/>
        </w:rPr>
        <w:t>在这一视角下，所谓"知耻"（从失败中学习）不过是知几学习在面对凶之几时的一种通俗表述，它与"从成功中学习"共享同一套理论框架、同一组知识表示、同一个更新机制——区别仅仅在于校准方向的正负号。</w:t>
      </w:r>
    </w:p>
    <w:p>
      <w:pPr>
        <w:pStyle w:val="Heading2"/>
        <w:spacing w:before="240" w:after="120"/>
        <w:ind w:firstLine="0"/>
      </w:pPr>
      <w:r>
        <w:rPr>
          <w:rFonts w:ascii="黑体" w:hAnsi="黑体" w:eastAsia="黑体"/>
          <w:sz w:val="24"/>
        </w:rPr>
        <w:t>1.3  知几学习的核心洞察</w:t>
      </w:r>
    </w:p>
    <w:p>
      <w:r>
        <w:rPr>
          <w:rFonts w:ascii="宋体" w:hAnsi="宋体" w:eastAsia="宋体"/>
          <w:sz w:val="21"/>
        </w:rPr>
        <w:t>知几学习的核心洞察可以用一句话概括：成功和失败作用于同一套先验知识的精确条目，区别仅在于更新方向。</w:t>
      </w:r>
    </w:p>
    <w:p>
      <w:r>
        <w:rPr>
          <w:rFonts w:ascii="宋体" w:hAnsi="宋体" w:eastAsia="宋体"/>
          <w:sz w:val="21"/>
        </w:rPr>
        <w:t>具体而言，智能体维护一组结构化的先验知识矩阵（如物体-位置关系矩阵、目标-实体匹配矩阵等）。当智能体成功完成任务时，它通过可解释的推理链定位到导致成功的关键条目，对其施加正向增量+α——这是"见吉之几而强化"。当智能体失败时，它同样通过可解释的推理链定位到导致失败的关键条目，对其施加负向增量-β——这是"见凶之几而抑制"。</w:t>
      </w:r>
    </w:p>
    <w:p>
      <w:r>
        <w:rPr>
          <w:rFonts w:ascii="宋体" w:hAnsi="宋体" w:eastAsia="宋体"/>
          <w:sz w:val="21"/>
        </w:rPr>
        <w:t>这一机制与神经科学中的多巴胺奖赏预测误差系统具有惊人的对应。Schultz等人1997年的经典研究表明：多巴胺神经元编码的是预期奖赏与实际奖赏之间的差异（奖赏预测误差，RPE）。获得预期外奖赏时，多巴胺释放增加，相关突触增强；预期奖赏未出现时，多巴胺释放减少，相关突触减弱。关键在于：增强和减弱作用于同一套突触连接，方向不同但机制统一。知几学习的对称校准完全对应这一生物学机制。</w:t>
      </w:r>
    </w:p>
    <w:p>
      <w:r>
        <w:rPr>
          <w:rFonts w:ascii="宋体" w:hAnsi="宋体" w:eastAsia="宋体"/>
          <w:sz w:val="21"/>
        </w:rPr>
        <w:t>与RL的全局梯度更新形成鲜明对比的是，知几学习执行精确的条目级更新。RL通过θ ← θ - η∇L(θ)对整个参数空间施加微小梯度，而知几学习通过P[obj][loc] += reward × α仅修改一个精确条目。这意味着一次成功的精确归因所提供的信息量，等价于RL数千次随机探索的统计平均。这正是知几学习能够"一轮收敛"的根本原因。</w:t>
      </w:r>
    </w:p>
    <w:p>
      <w:pPr>
        <w:pStyle w:val="Heading2"/>
        <w:spacing w:before="240" w:after="120"/>
        <w:ind w:firstLine="0"/>
      </w:pPr>
      <w:r>
        <w:rPr>
          <w:rFonts w:ascii="黑体" w:hAnsi="黑体" w:eastAsia="黑体"/>
          <w:sz w:val="24"/>
        </w:rPr>
        <w:t>1.4  本文贡献</w:t>
      </w:r>
    </w:p>
    <w:p>
      <w:r>
        <w:rPr>
          <w:rFonts w:ascii="宋体" w:hAnsi="宋体" w:eastAsia="宋体"/>
          <w:sz w:val="21"/>
        </w:rPr>
        <w:t>本文的主要贡献如下：</w:t>
      </w:r>
    </w:p>
    <w:p>
      <w:r>
        <w:rPr>
          <w:rFonts w:ascii="宋体" w:hAnsi="宋体" w:eastAsia="宋体"/>
          <w:sz w:val="21"/>
        </w:rPr>
        <w:t>（1）提出知几学习统一范式：将"从成功中学习"和"从失败中学习"统一为同一种"知几"能力的两种方向应用，建立了基于征兆辨识与对称校准的完整理论框架。</w:t>
      </w:r>
    </w:p>
    <w:p>
      <w:r>
        <w:rPr>
          <w:rFonts w:ascii="宋体" w:hAnsi="宋体" w:eastAsia="宋体"/>
          <w:sz w:val="21"/>
        </w:rPr>
        <w:t>（2）建立对称校准理论模型：证明吉之几（+α）和凶之几（-β）作用于同一先验矩阵的精确条目，给出统一的数学公式K = Ω ⊕ ΔK(D)。</w:t>
      </w:r>
    </w:p>
    <w:p>
      <w:r>
        <w:rPr>
          <w:rFonts w:ascii="宋体" w:hAnsi="宋体" w:eastAsia="宋体"/>
          <w:sz w:val="21"/>
        </w:rPr>
        <w:t>（3）证明可解释性是精确学习的前提条件：揭示可解释性不仅是知几学习的附加价值，更是其存在的逻辑前提——唯有可解释的系统才能定位精确条目从而执行精确校准。</w:t>
      </w:r>
    </w:p>
    <w:p>
      <w:r>
        <w:rPr>
          <w:rFonts w:ascii="宋体" w:hAnsi="宋体" w:eastAsia="宋体"/>
          <w:sz w:val="21"/>
        </w:rPr>
        <w:t>（4）揭示与神经科学的深层对应：建立知几学习对称校准与多巴胺奖赏预测误差系统之间的结构性映射。</w:t>
      </w:r>
    </w:p>
    <w:p>
      <w:r>
        <w:rPr>
          <w:rFonts w:ascii="宋体" w:hAnsi="宋体" w:eastAsia="宋体"/>
          <w:sz w:val="21"/>
        </w:rPr>
        <w:t>（5）提供零LLM依赖的具身智能验证：在ALFWorld环境中，仅用800行Python规则系统实现73.9%成功率，超越GPT-4驱动的ReAct方法（71%），证明范式的有效性不依赖模型规模。</w:t>
      </w:r>
    </w:p>
    <w:p>
      <w:pPr>
        <w:pStyle w:val="Heading1"/>
        <w:spacing w:before="240" w:after="120"/>
        <w:ind w:firstLine="0"/>
      </w:pPr>
      <w:r>
        <w:rPr>
          <w:rFonts w:ascii="黑体" w:hAnsi="黑体" w:eastAsia="黑体"/>
          <w:sz w:val="28"/>
        </w:rPr>
        <w:t>2  知几学习的理论框架</w:t>
      </w:r>
    </w:p>
    <w:p>
      <w:pPr>
        <w:pStyle w:val="Heading2"/>
        <w:spacing w:before="240" w:after="120"/>
        <w:ind w:firstLine="0"/>
      </w:pPr>
      <w:r>
        <w:rPr>
          <w:rFonts w:ascii="黑体" w:hAnsi="黑体" w:eastAsia="黑体"/>
          <w:sz w:val="24"/>
        </w:rPr>
        <w:t>2.1  哲学基础：从"几"到学习范式</w:t>
      </w:r>
    </w:p>
    <w:p>
      <w:r>
        <w:rPr>
          <w:rFonts w:ascii="宋体" w:hAnsi="宋体" w:eastAsia="宋体"/>
          <w:sz w:val="21"/>
        </w:rPr>
        <w:t>"几"在《周易》哲学体系中具有精确的本体论地位。"几者，动之微"——几是事物运动变化中最微小的征兆，是变化的临界点。它尚未发展为可观测的宏观结果，但已经蕴含了变化的方向性信息。在具身智能语境中，"几"对应的是智能体在任务执行过程中观察到的微小模式偏差——这些偏差尚未导致最终的成功或失败，但已经包含了足以判断趋势的信息。</w:t>
      </w:r>
    </w:p>
    <w:p>
      <w:r>
        <w:rPr>
          <w:rFonts w:ascii="宋体" w:hAnsi="宋体" w:eastAsia="宋体"/>
          <w:sz w:val="21"/>
        </w:rPr>
        <w:t>从学习范式的角度，我们将"几"划分为两类：</w:t>
      </w:r>
    </w:p>
    <w:p>
      <w:r>
        <w:rPr>
          <w:rFonts w:ascii="宋体" w:hAnsi="宋体" w:eastAsia="宋体"/>
          <w:sz w:val="21"/>
        </w:rPr>
        <w:t>吉之几（成功征兆）：智能体在成功轨迹中观察到的正相关模式。例如：在ALFWorld中，物体被发现在某个位置——这一观察是"吉之几"，因为它提供了物体-位置关系的正向证据，预示着该先验知识条目的正确性。</w:t>
      </w:r>
    </w:p>
    <w:p>
      <w:r>
        <w:rPr>
          <w:rFonts w:ascii="宋体" w:hAnsi="宋体" w:eastAsia="宋体"/>
          <w:sz w:val="21"/>
        </w:rPr>
        <w:t>凶之几（失败征兆）：智能体在失败轨迹中观察到的负相关模式。例如：试图从某位置取物但发现位置为空——这一观察是"凶之几"，因为它提供了物体-位置关系的负向证据，预示着该先验知识条目需要修正。</w:t>
      </w:r>
    </w:p>
    <w:p>
      <w:r>
        <w:rPr>
          <w:rFonts w:ascii="宋体" w:hAnsi="宋体" w:eastAsia="宋体"/>
          <w:sz w:val="21"/>
        </w:rPr>
        <w:t>关键统一视角：吉之几和凶之几不是两种不同的学习机制，而是同一种"知几"能力的两种表现。"知微知彰，知柔知刚"——真正的知几能力同时包括对正向征兆和负向征兆的察觉。"见几而作"意味着：一旦察觉到征兆（无论吉凶），立即执行校准动作，"不俟终日"。这与RL"等待大量样本积累统计显著性"的方式形成了本质对比。</w:t>
      </w:r>
    </w:p>
    <w:p>
      <w:pPr>
        <w:pStyle w:val="Heading2"/>
        <w:spacing w:before="240" w:after="120"/>
        <w:ind w:firstLine="0"/>
      </w:pPr>
      <w:r>
        <w:rPr>
          <w:rFonts w:ascii="黑体" w:hAnsi="黑体" w:eastAsia="黑体"/>
          <w:sz w:val="24"/>
        </w:rPr>
        <w:t>2.2  统一知识表示：先验矩阵</w:t>
      </w:r>
    </w:p>
    <w:p>
      <w:r>
        <w:rPr>
          <w:rFonts w:ascii="宋体" w:hAnsi="宋体" w:eastAsia="宋体"/>
          <w:sz w:val="21"/>
        </w:rPr>
        <w:t>知几学习的知识载体是一组结构化的先验矩阵，它们编码了智能体对世界的可解释信念：</w:t>
      </w:r>
    </w:p>
    <w:p>
      <w:r>
        <w:rPr>
          <w:rFonts w:ascii="宋体" w:hAnsi="宋体" w:eastAsia="宋体"/>
          <w:sz w:val="21"/>
        </w:rPr>
        <w:t>（1）位置先验矩阵 P(obj, loc)：记录物体在各位置出现的先验概率/置信度。例如P("mug", "countertop") = 0.8表示智能体相信杯子有80%概率在台面上。该矩阵直接指导探索策略——智能体优先搜索高置信度位置。</w:t>
      </w:r>
    </w:p>
    <w:p>
      <w:r>
        <w:rPr>
          <w:rFonts w:ascii="宋体" w:hAnsi="宋体" w:eastAsia="宋体"/>
          <w:sz w:val="21"/>
        </w:rPr>
        <w:t>（2）物体匹配矩阵 M(target, entity)：记录任务目标名称与环境中具体实体之间的匹配置信度。例如M("apple", "apple_1") = 1.0表示确信apple_1就是目标苹果。当环境中存在多个同类物体时，该矩阵指导选择。</w:t>
      </w:r>
    </w:p>
    <w:p>
      <w:r>
        <w:rPr>
          <w:rFonts w:ascii="宋体" w:hAnsi="宋体" w:eastAsia="宋体"/>
          <w:sz w:val="21"/>
        </w:rPr>
        <w:t>（3）同义词映射 S(word → entities)：记录自然语言描述与环境实体名之间的等价关系。例如S("vault") = {"safe"}表示任务描述中的vault等价于环境中的safe。该映射弥合自然语言的多样性与环境命名的确定性之间的鸿沟。</w:t>
      </w:r>
    </w:p>
    <w:p>
      <w:r>
        <w:rPr>
          <w:rFonts w:ascii="宋体" w:hAnsi="宋体" w:eastAsia="宋体"/>
          <w:sz w:val="21"/>
        </w:rPr>
        <w:t>（4）场景记忆 Scene(loc → objects)：记录各位置已观察到的物体集合，提供环境的结构化实时表征。</w:t>
      </w:r>
    </w:p>
    <w:p>
      <w:r>
        <w:rPr>
          <w:rFonts w:ascii="宋体" w:hAnsi="宋体" w:eastAsia="宋体"/>
          <w:sz w:val="21"/>
        </w:rPr>
        <w:t>这四类矩阵共同构成了先验知识空间Ω。值得强调的是，这些矩阵的每个条目都有明确的语义含义——这正是知几学习能够执行精确条目级更新的前提。如果知识被编码在不可解释的高维向量中（如神经网络参数），则无法定位具体条目，知几学习退化为RL式的全局更新。</w:t>
      </w:r>
    </w:p>
    <w:p>
      <w:pPr>
        <w:pStyle w:val="Heading2"/>
        <w:spacing w:before="240" w:after="120"/>
        <w:ind w:firstLine="0"/>
      </w:pPr>
      <w:r>
        <w:rPr>
          <w:rFonts w:ascii="黑体" w:hAnsi="黑体" w:eastAsia="黑体"/>
          <w:sz w:val="24"/>
        </w:rPr>
        <w:t>2.3  对称校准规则</w:t>
      </w:r>
    </w:p>
    <w:p>
      <w:r>
        <w:rPr>
          <w:rFonts w:ascii="宋体" w:hAnsi="宋体" w:eastAsia="宋体"/>
          <w:sz w:val="21"/>
        </w:rPr>
        <w:t>知几学习的核心操作是对称校准：成功和失败通过相同的机制作用于相同的矩阵，仅方向不同。我们给出统一的数学表达：</w:t>
      </w:r>
    </w:p>
    <w:p>
      <w:pPr>
        <w:spacing w:before="120" w:after="120"/>
        <w:ind w:firstLine="0"/>
        <w:jc w:val="center"/>
      </w:pPr>
      <w:r>
        <w:rPr>
          <w:rFonts w:ascii="Cambria Math" w:hAnsi="Cambria Math"/>
          <w:i/>
          <w:sz w:val="22"/>
        </w:rPr>
        <w:t>K = Ω ⊕ ΔK(D)</w:t>
      </w:r>
      <w:r>
        <w:rPr>
          <w:rFonts w:ascii="宋体" w:hAnsi="宋体"/>
          <w:sz w:val="21"/>
        </w:rPr>
        <w:t xml:space="preserve">    (1)</w:t>
      </w:r>
    </w:p>
    <w:p>
      <w:r>
        <w:rPr>
          <w:rFonts w:ascii="宋体" w:hAnsi="宋体" w:eastAsia="宋体"/>
          <w:sz w:val="21"/>
        </w:rPr>
        <w:t>其中K为校准后的知识状态，Ω为先验知识矩阵集合，D为交互经验数据，ΔK(D)为从经验中提取的知识增量。⊕表示条目级叠加操作。知识增量的计算遵循统一规则：</w:t>
      </w:r>
    </w:p>
    <w:p>
      <w:pPr>
        <w:spacing w:before="120" w:after="120"/>
        <w:ind w:firstLine="0"/>
        <w:jc w:val="center"/>
      </w:pPr>
      <w:r>
        <w:rPr>
          <w:rFonts w:ascii="Cambria Math" w:hAnsi="Cambria Math"/>
          <w:i/>
          <w:sz w:val="22"/>
        </w:rPr>
        <w:t>ΔK = Σᵢ δ(observedᵢ) × rewardᵢ</w:t>
      </w:r>
      <w:r>
        <w:rPr>
          <w:rFonts w:ascii="宋体" w:hAnsi="宋体"/>
          <w:sz w:val="21"/>
        </w:rPr>
        <w:t xml:space="preserve">    (2)</w:t>
      </w:r>
    </w:p>
    <w:p>
      <w:r>
        <w:rPr>
          <w:rFonts w:ascii="宋体" w:hAnsi="宋体" w:eastAsia="宋体"/>
          <w:sz w:val="21"/>
        </w:rPr>
        <w:t>其中δ(observedᵢ)是定位函数，将第i个观察映射到矩阵的精确条目位置；rewardᵢ ∈ {+1, -1}指示该观察的校准方向。具体操作可表示为：</w:t>
      </w:r>
    </w:p>
    <w:p>
      <w:pPr>
        <w:spacing w:before="0" w:after="0"/>
        <w:ind w:firstLine="0" w:left="567"/>
      </w:pPr>
      <w:r>
        <w:rPr>
          <w:rFonts w:ascii="Consolas" w:hAnsi="Consolas" w:eastAsia="宋体"/>
          <w:sz w:val="18"/>
        </w:rPr>
        <w:t>def observe(trajectory, won):</w:t>
      </w:r>
    </w:p>
    <w:p>
      <w:pPr>
        <w:spacing w:before="0" w:after="0"/>
        <w:ind w:firstLine="0" w:left="567"/>
      </w:pPr>
      <w:r>
        <w:rPr>
          <w:rFonts w:ascii="Consolas" w:hAnsi="Consolas" w:eastAsia="宋体"/>
          <w:sz w:val="18"/>
        </w:rPr>
        <w:t xml:space="preserve">    reward = +1.0 if won else -1.0</w:t>
      </w:r>
    </w:p>
    <w:p>
      <w:pPr>
        <w:spacing w:before="0" w:after="0"/>
        <w:ind w:firstLine="0" w:left="567"/>
      </w:pPr>
      <w:r>
        <w:rPr>
          <w:rFonts w:ascii="Consolas" w:hAnsi="Consolas" w:eastAsia="宋体"/>
          <w:sz w:val="18"/>
        </w:rPr>
        <w:t xml:space="preserve">    # 吉之几与凶之几：同一操作，方向不同</w:t>
      </w:r>
    </w:p>
    <w:p>
      <w:pPr>
        <w:spacing w:before="0" w:after="0"/>
        <w:ind w:firstLine="0" w:left="567"/>
      </w:pPr>
      <w:r>
        <w:rPr>
          <w:rFonts w:ascii="Consolas" w:hAnsi="Consolas" w:eastAsia="宋体"/>
          <w:sz w:val="18"/>
        </w:rPr>
        <w:t xml:space="preserve">    for each observation in trajectory:</w:t>
      </w:r>
    </w:p>
    <w:p>
      <w:pPr>
        <w:spacing w:before="0" w:after="0"/>
        <w:ind w:firstLine="0" w:left="567"/>
      </w:pPr>
      <w:r>
        <w:rPr>
          <w:rFonts w:ascii="Consolas" w:hAnsi="Consolas" w:eastAsia="宋体"/>
          <w:sz w:val="18"/>
        </w:rPr>
        <w:t xml:space="preserve">        key = locate_entry(observation)  # 征兆辨识：定位精确条目</w:t>
      </w:r>
    </w:p>
    <w:p>
      <w:pPr>
        <w:spacing w:before="0" w:after="0"/>
        <w:ind w:firstLine="0" w:left="567"/>
      </w:pPr>
      <w:r>
        <w:rPr>
          <w:rFonts w:ascii="Consolas" w:hAnsi="Consolas" w:eastAsia="宋体"/>
          <w:sz w:val="18"/>
        </w:rPr>
        <w:t xml:space="preserve">        prior_matrix[key] += reward × weight  # 对称校准：方向由reward决定</w:t>
      </w:r>
    </w:p>
    <w:p>
      <w:r>
        <w:rPr>
          <w:rFonts w:ascii="宋体" w:hAnsi="宋体" w:eastAsia="宋体"/>
          <w:sz w:val="21"/>
        </w:rPr>
        <w:t>这段伪代码的简洁性揭示了知几学习的优雅统一性：同一个函数，同一个操作，仅通过won的布尔值自然分流为正向强化（吉之几）和负向抑制（凶之几）。不存在两种独立的学习算法——只有一种学习机制的两种方向。</w:t>
      </w:r>
    </w:p>
    <w:p>
      <w:pPr>
        <w:pStyle w:val="Heading2"/>
        <w:spacing w:before="240" w:after="120"/>
        <w:ind w:firstLine="0"/>
      </w:pPr>
      <w:r>
        <w:rPr>
          <w:rFonts w:ascii="黑体" w:hAnsi="黑体" w:eastAsia="黑体"/>
          <w:sz w:val="24"/>
        </w:rPr>
        <w:t>2.4  与RL的本质区别</w:t>
      </w:r>
    </w:p>
    <w:p>
      <w:r>
        <w:rPr>
          <w:rFonts w:ascii="宋体" w:hAnsi="宋体" w:eastAsia="宋体"/>
          <w:sz w:val="21"/>
        </w:rPr>
        <w:t>为了清晰阐明知几学习与RL的本质差异，我们从更新操作的粒度层面进行对比：</w:t>
      </w:r>
    </w:p>
    <w:p>
      <w:r>
        <w:rPr>
          <w:rFonts w:ascii="宋体" w:hAnsi="宋体" w:eastAsia="宋体"/>
          <w:sz w:val="21"/>
        </w:rPr>
        <w:t>强化学习的参数更新：</w:t>
      </w:r>
    </w:p>
    <w:p>
      <w:pPr>
        <w:spacing w:before="120" w:after="120"/>
        <w:ind w:firstLine="0"/>
        <w:jc w:val="center"/>
      </w:pPr>
      <w:r>
        <w:rPr>
          <w:rFonts w:ascii="Cambria Math" w:hAnsi="Cambria Math"/>
          <w:i/>
          <w:sz w:val="22"/>
        </w:rPr>
        <w:t>θ ← θ - η∇L(θ)</w:t>
      </w:r>
    </w:p>
    <w:p>
      <w:r>
        <w:rPr>
          <w:rFonts w:ascii="宋体" w:hAnsi="宋体" w:eastAsia="宋体"/>
          <w:sz w:val="21"/>
        </w:rPr>
        <w:t>该操作对整个参数空间θ（通常为数百万维）施加梯度更新。每个参数都会收到一个微小的调整量，而大多数调整实际上是噪声。需要大量样本的统计平均才能使有意义的信号从噪声中浮现。</w:t>
      </w:r>
    </w:p>
    <w:p>
      <w:r>
        <w:rPr>
          <w:rFonts w:ascii="宋体" w:hAnsi="宋体" w:eastAsia="宋体"/>
          <w:sz w:val="21"/>
        </w:rPr>
        <w:t>知几学习的条目更新：</w:t>
      </w:r>
    </w:p>
    <w:p>
      <w:pPr>
        <w:spacing w:before="120" w:after="120"/>
        <w:ind w:firstLine="0"/>
        <w:jc w:val="center"/>
      </w:pPr>
      <w:r>
        <w:rPr>
          <w:rFonts w:ascii="Cambria Math" w:hAnsi="Cambria Math"/>
          <w:i/>
          <w:sz w:val="22"/>
        </w:rPr>
        <w:t>P[obj][loc] += reward × α</w:t>
      </w:r>
      <w:r>
        <w:rPr>
          <w:rFonts w:ascii="宋体" w:hAnsi="宋体"/>
          <w:sz w:val="21"/>
        </w:rPr>
        <w:t xml:space="preserve">    (3)</w:t>
      </w:r>
    </w:p>
    <w:p>
      <w:r>
        <w:rPr>
          <w:rFonts w:ascii="宋体" w:hAnsi="宋体" w:eastAsia="宋体"/>
          <w:sz w:val="21"/>
        </w:rPr>
        <w:t>该操作仅修改一个精确的矩阵条目。该条目由可解释的推理链明确定位，其语义含义完全透明（"物体obj在位置loc的置信度变化了α"）。一次更新就携带了完整的、无噪声的信息。</w:t>
      </w:r>
    </w:p>
    <w:p>
      <w:r>
        <w:rPr>
          <w:rFonts w:ascii="宋体" w:hAnsi="宋体" w:eastAsia="宋体"/>
          <w:sz w:val="21"/>
        </w:rPr>
        <w:t>从信息论角度分析这一差异：假设先验矩阵有N个待校准条目，每个条目需要ε位精度。RL需要O(ε⁻ᴷ)量级的样本来对K维参数空间进行全局估计，其中大部分样本的信息被"分散"到无关参数上。而知几学习仅需O(ε⁻ᴺ)量级的精确观察——在典型的ALFWorld场景中，N≈10~50个有效条目，意味着10~50次有效交互即可达到饱和。这解释了为什么知几学习能在一轮（134次游戏）交互后即收敛。</w:t>
      </w:r>
    </w:p>
    <w:p>
      <w:pPr>
        <w:pStyle w:val="Heading2"/>
        <w:spacing w:before="240" w:after="120"/>
        <w:ind w:firstLine="0"/>
      </w:pPr>
      <w:r>
        <w:rPr>
          <w:rFonts w:ascii="黑体" w:hAnsi="黑体" w:eastAsia="黑体"/>
          <w:sz w:val="24"/>
        </w:rPr>
        <w:t>2.5  可解释性是精确校准的前提</w:t>
      </w:r>
    </w:p>
    <w:p>
      <w:r>
        <w:rPr>
          <w:rFonts w:ascii="宋体" w:hAnsi="宋体" w:eastAsia="宋体"/>
          <w:sz w:val="21"/>
        </w:rPr>
        <w:t>知几学习框架中，可解释性的角色远超"方便人类理解"的附加价值——它是整个学习机制得以存在的逻辑前提。这一论断可以通过反证法严格论证：</w:t>
      </w:r>
    </w:p>
    <w:p>
      <w:r>
        <w:rPr>
          <w:rFonts w:ascii="宋体" w:hAnsi="宋体" w:eastAsia="宋体"/>
          <w:sz w:val="21"/>
        </w:rPr>
        <w:t>假设系统不可解释，即智能体的决策过程是一个黑箱。那么当失败发生时，我们无法确定是哪个决策节点导致了失败——究竟是物体识别错误、位置选择错误、还是同义词匹配错误？如果无法定位错误所在的精确条目，就无法执行条目级更新，只能退化为对所有参数施加微小全局调整——这正是RL所做的事情。</w:t>
      </w:r>
    </w:p>
    <w:p>
      <w:r>
        <w:rPr>
          <w:rFonts w:ascii="宋体" w:hAnsi="宋体" w:eastAsia="宋体"/>
          <w:sz w:val="21"/>
        </w:rPr>
        <w:t>因此我们得出一个重要推论：可解释性与精确学习之间存在逻辑等价关系。可解释 → 能定位精确条目 → 能执行精确校准 → 知几学习成立。不可解释 → 无法定位条目 → 只能全局更新 → 退化为RL。换言之，知几学习的高效性不是"凑巧"的——它是可解释性这一设计选择的必然逻辑后果。任何声称"高效但不可解释"的学习系统，要么在暗中使用了某种可解释结构（如注意力机制），要么其效率声明需要被审慎质疑。</w:t>
      </w:r>
    </w:p>
    <w:p>
      <w:pPr>
        <w:pStyle w:val="Heading2"/>
        <w:spacing w:before="240" w:after="120"/>
        <w:ind w:firstLine="0"/>
      </w:pPr>
      <w:r>
        <w:rPr>
          <w:rFonts w:ascii="黑体" w:hAnsi="黑体" w:eastAsia="黑体"/>
          <w:sz w:val="24"/>
        </w:rPr>
        <w:t>2.6  生物学对应：多巴胺奖赏系统</w:t>
      </w:r>
    </w:p>
    <w:p>
      <w:r>
        <w:rPr>
          <w:rFonts w:ascii="宋体" w:hAnsi="宋体"/>
          <w:sz w:val="21"/>
        </w:rPr>
        <w:t>Schultz等人1997年的开创性研究</w:t>
      </w:r>
      <w:r>
        <w:rPr>
          <w:rFonts w:ascii="宋体" w:hAnsi="宋体"/>
          <w:sz w:val="16"/>
          <w:vertAlign w:val="superscript"/>
        </w:rPr>
        <w:t>[4]</w:t>
      </w:r>
      <w:r>
        <w:rPr>
          <w:rFonts w:ascii="宋体" w:hAnsi="宋体"/>
          <w:sz w:val="21"/>
        </w:rPr>
        <w:t>揭示了中脑多巴胺神经元编码"奖赏预测误差"（RPE）的机制：当实际奖赏超出预期时，多巴胺释放增加（正RPE），相关突触连接增强；当实际奖赏低于预期时，多巴胺释放减少（负RPE），相关突触连接减弱。这一发现奠定了现代计算神经科学的基础。</w:t>
      </w:r>
    </w:p>
    <w:p>
      <w:r>
        <w:rPr>
          <w:rFonts w:ascii="宋体" w:hAnsi="宋体" w:eastAsia="宋体"/>
          <w:sz w:val="21"/>
        </w:rPr>
        <w:t>知几学习与多巴胺系统的对应关系可以建立如下映射：</w:t>
      </w:r>
    </w:p>
    <w:p>
      <w:pPr>
        <w:jc w:val="center"/>
      </w:pPr>
      <w:r>
        <w:rPr>
          <w:b/>
          <w:sz w:val="18"/>
        </w:rPr>
        <w:t>表2  知几学习与多巴胺奖赏系统的对应关系</w:t>
      </w:r>
    </w:p>
    <w:tbl>
      <w:tblPr>
        <w:tblStyle w:val="TableGrid"/>
        <w:tblW w:type="auto" w:w="0"/>
        <w:jc w:val="center"/>
        <w:tblLook w:firstColumn="1" w:firstRow="1" w:lastColumn="0" w:lastRow="0" w:noHBand="0" w:noVBand="1" w:val="04A0"/>
      </w:tblPr>
      <w:tblGrid>
        <w:gridCol w:w="2882"/>
        <w:gridCol w:w="2882"/>
        <w:gridCol w:w="2882"/>
      </w:tblGrid>
      <w:tr>
        <w:tc>
          <w:tcPr>
            <w:tcW w:type="dxa" w:w="2882"/>
            <w:shd w:fill="D9D9D9"/>
          </w:tcPr>
          <w:p>
            <w:pPr>
              <w:ind w:firstLine="0"/>
              <w:jc w:val="center"/>
            </w:pPr>
            <w:r/>
            <w:r>
              <w:rPr>
                <w:rFonts w:ascii="宋体" w:hAnsi="宋体" w:eastAsia="宋体"/>
                <w:b/>
                <w:sz w:val="18"/>
              </w:rPr>
              <w:t>多巴胺系统</w:t>
            </w:r>
          </w:p>
        </w:tc>
        <w:tc>
          <w:tcPr>
            <w:tcW w:type="dxa" w:w="2882"/>
            <w:shd w:fill="D9D9D9"/>
          </w:tcPr>
          <w:p>
            <w:pPr>
              <w:ind w:firstLine="0"/>
              <w:jc w:val="center"/>
            </w:pPr>
            <w:r/>
            <w:r>
              <w:rPr>
                <w:rFonts w:ascii="宋体" w:hAnsi="宋体" w:eastAsia="宋体"/>
                <w:b/>
                <w:sz w:val="18"/>
              </w:rPr>
              <w:t>知几学习</w:t>
            </w:r>
          </w:p>
        </w:tc>
        <w:tc>
          <w:tcPr>
            <w:tcW w:type="dxa" w:w="2882"/>
            <w:shd w:fill="D9D9D9"/>
          </w:tcPr>
          <w:p>
            <w:pPr>
              <w:ind w:firstLine="0"/>
              <w:jc w:val="center"/>
            </w:pPr>
            <w:r/>
            <w:r>
              <w:rPr>
                <w:rFonts w:ascii="宋体" w:hAnsi="宋体" w:eastAsia="宋体"/>
                <w:b/>
                <w:sz w:val="18"/>
              </w:rPr>
              <w:t>对应关系</w:t>
            </w:r>
          </w:p>
        </w:tc>
      </w:tr>
      <w:tr>
        <w:tc>
          <w:tcPr>
            <w:tcW w:type="dxa" w:w="2882"/>
          </w:tcPr>
          <w:p>
            <w:pPr>
              <w:ind w:firstLine="0"/>
              <w:jc w:val="center"/>
            </w:pPr>
            <w:r/>
            <w:r>
              <w:rPr>
                <w:rFonts w:ascii="宋体" w:hAnsi="宋体" w:eastAsia="宋体"/>
                <w:sz w:val="18"/>
              </w:rPr>
              <w:t>突触连接强度</w:t>
            </w:r>
          </w:p>
        </w:tc>
        <w:tc>
          <w:tcPr>
            <w:tcW w:type="dxa" w:w="2882"/>
          </w:tcPr>
          <w:p>
            <w:pPr>
              <w:ind w:firstLine="0"/>
              <w:jc w:val="center"/>
            </w:pPr>
            <w:r/>
            <w:r>
              <w:rPr>
                <w:rFonts w:ascii="宋体" w:hAnsi="宋体" w:eastAsia="宋体"/>
                <w:sz w:val="18"/>
              </w:rPr>
              <w:t>先验矩阵条目值</w:t>
            </w:r>
          </w:p>
        </w:tc>
        <w:tc>
          <w:tcPr>
            <w:tcW w:type="dxa" w:w="2882"/>
          </w:tcPr>
          <w:p>
            <w:pPr>
              <w:ind w:firstLine="0"/>
              <w:jc w:val="center"/>
            </w:pPr>
            <w:r/>
            <w:r>
              <w:rPr>
                <w:rFonts w:ascii="宋体" w:hAnsi="宋体" w:eastAsia="宋体"/>
                <w:sz w:val="18"/>
              </w:rPr>
              <w:t>知识载体</w:t>
            </w:r>
          </w:p>
        </w:tc>
      </w:tr>
      <w:tr>
        <w:tc>
          <w:tcPr>
            <w:tcW w:type="dxa" w:w="2882"/>
          </w:tcPr>
          <w:p>
            <w:pPr>
              <w:ind w:firstLine="0"/>
              <w:jc w:val="center"/>
            </w:pPr>
            <w:r/>
            <w:r>
              <w:rPr>
                <w:rFonts w:ascii="宋体" w:hAnsi="宋体" w:eastAsia="宋体"/>
                <w:sz w:val="18"/>
              </w:rPr>
              <w:t>正RPE（超预期奖赏）</w:t>
            </w:r>
          </w:p>
        </w:tc>
        <w:tc>
          <w:tcPr>
            <w:tcW w:type="dxa" w:w="2882"/>
          </w:tcPr>
          <w:p>
            <w:pPr>
              <w:ind w:firstLine="0"/>
              <w:jc w:val="center"/>
            </w:pPr>
            <w:r/>
            <w:r>
              <w:rPr>
                <w:rFonts w:ascii="宋体" w:hAnsi="宋体" w:eastAsia="宋体"/>
                <w:sz w:val="18"/>
              </w:rPr>
              <w:t>吉之几（成功征兆）</w:t>
            </w:r>
          </w:p>
        </w:tc>
        <w:tc>
          <w:tcPr>
            <w:tcW w:type="dxa" w:w="2882"/>
          </w:tcPr>
          <w:p>
            <w:pPr>
              <w:ind w:firstLine="0"/>
              <w:jc w:val="center"/>
            </w:pPr>
            <w:r/>
            <w:r>
              <w:rPr>
                <w:rFonts w:ascii="宋体" w:hAnsi="宋体" w:eastAsia="宋体"/>
                <w:sz w:val="18"/>
              </w:rPr>
              <w:t>正向校准信号</w:t>
            </w:r>
          </w:p>
        </w:tc>
      </w:tr>
      <w:tr>
        <w:tc>
          <w:tcPr>
            <w:tcW w:type="dxa" w:w="2882"/>
          </w:tcPr>
          <w:p>
            <w:pPr>
              <w:ind w:firstLine="0"/>
              <w:jc w:val="center"/>
            </w:pPr>
            <w:r/>
            <w:r>
              <w:rPr>
                <w:rFonts w:ascii="宋体" w:hAnsi="宋体" w:eastAsia="宋体"/>
                <w:sz w:val="18"/>
              </w:rPr>
              <w:t>负RPE（低预期奖赏）</w:t>
            </w:r>
          </w:p>
        </w:tc>
        <w:tc>
          <w:tcPr>
            <w:tcW w:type="dxa" w:w="2882"/>
          </w:tcPr>
          <w:p>
            <w:pPr>
              <w:ind w:firstLine="0"/>
              <w:jc w:val="center"/>
            </w:pPr>
            <w:r/>
            <w:r>
              <w:rPr>
                <w:rFonts w:ascii="宋体" w:hAnsi="宋体" w:eastAsia="宋体"/>
                <w:sz w:val="18"/>
              </w:rPr>
              <w:t>凶之几（失败征兆）</w:t>
            </w:r>
          </w:p>
        </w:tc>
        <w:tc>
          <w:tcPr>
            <w:tcW w:type="dxa" w:w="2882"/>
          </w:tcPr>
          <w:p>
            <w:pPr>
              <w:ind w:firstLine="0"/>
              <w:jc w:val="center"/>
            </w:pPr>
            <w:r/>
            <w:r>
              <w:rPr>
                <w:rFonts w:ascii="宋体" w:hAnsi="宋体" w:eastAsia="宋体"/>
                <w:sz w:val="18"/>
              </w:rPr>
              <w:t>负向校准信号</w:t>
            </w:r>
          </w:p>
        </w:tc>
      </w:tr>
      <w:tr>
        <w:tc>
          <w:tcPr>
            <w:tcW w:type="dxa" w:w="2882"/>
          </w:tcPr>
          <w:p>
            <w:pPr>
              <w:ind w:firstLine="0"/>
              <w:jc w:val="center"/>
            </w:pPr>
            <w:r/>
            <w:r>
              <w:rPr>
                <w:rFonts w:ascii="宋体" w:hAnsi="宋体" w:eastAsia="宋体"/>
                <w:sz w:val="18"/>
              </w:rPr>
              <w:t>多巴胺释放量</w:t>
            </w:r>
          </w:p>
        </w:tc>
        <w:tc>
          <w:tcPr>
            <w:tcW w:type="dxa" w:w="2882"/>
          </w:tcPr>
          <w:p>
            <w:pPr>
              <w:ind w:firstLine="0"/>
              <w:jc w:val="center"/>
            </w:pPr>
            <w:r/>
            <w:r>
              <w:rPr>
                <w:rFonts w:ascii="宋体" w:hAnsi="宋体" w:eastAsia="宋体"/>
                <w:sz w:val="18"/>
              </w:rPr>
              <w:t>校准幅度α/β</w:t>
            </w:r>
          </w:p>
        </w:tc>
        <w:tc>
          <w:tcPr>
            <w:tcW w:type="dxa" w:w="2882"/>
          </w:tcPr>
          <w:p>
            <w:pPr>
              <w:ind w:firstLine="0"/>
              <w:jc w:val="center"/>
            </w:pPr>
            <w:r/>
            <w:r>
              <w:rPr>
                <w:rFonts w:ascii="宋体" w:hAnsi="宋体" w:eastAsia="宋体"/>
                <w:sz w:val="18"/>
              </w:rPr>
              <w:t>更新步长</w:t>
            </w:r>
          </w:p>
        </w:tc>
      </w:tr>
      <w:tr>
        <w:tc>
          <w:tcPr>
            <w:tcW w:type="dxa" w:w="2882"/>
          </w:tcPr>
          <w:p>
            <w:pPr>
              <w:ind w:firstLine="0"/>
              <w:jc w:val="center"/>
            </w:pPr>
            <w:r/>
            <w:r>
              <w:rPr>
                <w:rFonts w:ascii="宋体" w:hAnsi="宋体" w:eastAsia="宋体"/>
                <w:sz w:val="18"/>
              </w:rPr>
              <w:t>相关突触定位</w:t>
            </w:r>
          </w:p>
        </w:tc>
        <w:tc>
          <w:tcPr>
            <w:tcW w:type="dxa" w:w="2882"/>
          </w:tcPr>
          <w:p>
            <w:pPr>
              <w:ind w:firstLine="0"/>
              <w:jc w:val="center"/>
            </w:pPr>
            <w:r/>
            <w:r>
              <w:rPr>
                <w:rFonts w:ascii="宋体" w:hAnsi="宋体" w:eastAsia="宋体"/>
                <w:sz w:val="18"/>
              </w:rPr>
              <w:t>征兆辨识定位</w:t>
            </w:r>
          </w:p>
        </w:tc>
        <w:tc>
          <w:tcPr>
            <w:tcW w:type="dxa" w:w="2882"/>
          </w:tcPr>
          <w:p>
            <w:pPr>
              <w:ind w:firstLine="0"/>
              <w:jc w:val="center"/>
            </w:pPr>
            <w:r/>
            <w:r>
              <w:rPr>
                <w:rFonts w:ascii="宋体" w:hAnsi="宋体" w:eastAsia="宋体"/>
                <w:sz w:val="18"/>
              </w:rPr>
              <w:t>条目选择机制</w:t>
            </w:r>
          </w:p>
        </w:tc>
      </w:tr>
      <w:tr>
        <w:tc>
          <w:tcPr>
            <w:tcW w:type="dxa" w:w="2882"/>
          </w:tcPr>
          <w:p>
            <w:pPr>
              <w:ind w:firstLine="0"/>
              <w:jc w:val="center"/>
            </w:pPr>
            <w:r/>
            <w:r>
              <w:rPr>
                <w:rFonts w:ascii="宋体" w:hAnsi="宋体" w:eastAsia="宋体"/>
                <w:sz w:val="18"/>
              </w:rPr>
              <w:t>同一突触双向调制</w:t>
            </w:r>
          </w:p>
        </w:tc>
        <w:tc>
          <w:tcPr>
            <w:tcW w:type="dxa" w:w="2882"/>
          </w:tcPr>
          <w:p>
            <w:pPr>
              <w:ind w:firstLine="0"/>
              <w:jc w:val="center"/>
            </w:pPr>
            <w:r/>
            <w:r>
              <w:rPr>
                <w:rFonts w:ascii="宋体" w:hAnsi="宋体" w:eastAsia="宋体"/>
                <w:sz w:val="18"/>
              </w:rPr>
              <w:t>同一矩阵对称校准</w:t>
            </w:r>
          </w:p>
        </w:tc>
        <w:tc>
          <w:tcPr>
            <w:tcW w:type="dxa" w:w="2882"/>
          </w:tcPr>
          <w:p>
            <w:pPr>
              <w:ind w:firstLine="0"/>
              <w:jc w:val="center"/>
            </w:pPr>
            <w:r/>
            <w:r>
              <w:rPr>
                <w:rFonts w:ascii="宋体" w:hAnsi="宋体" w:eastAsia="宋体"/>
                <w:sz w:val="18"/>
              </w:rPr>
              <w:t>统一载体</w:t>
            </w:r>
          </w:p>
        </w:tc>
      </w:tr>
    </w:tbl>
    <w:p/>
    <w:p>
      <w:r>
        <w:rPr>
          <w:rFonts w:ascii="宋体" w:hAnsi="宋体" w:eastAsia="宋体"/>
          <w:sz w:val="21"/>
        </w:rPr>
        <w:t>这一对应不是表面的类比，而是结构性同构。生物大脑中，多巴胺系统通过资格迹（eligibility trace）将RPE信号精确路由到"刚才活跃的突触"——这恰好对应知几学习中"征兆辨识"将校准信号路由到"刚才被使用的先验条目"的过程。两个系统都实现了"谁活跃谁被调"的精确定位原则。</w:t>
      </w:r>
    </w:p>
    <w:p>
      <w:pPr>
        <w:pStyle w:val="Heading1"/>
        <w:spacing w:before="240" w:after="120"/>
        <w:ind w:firstLine="0"/>
      </w:pPr>
      <w:r>
        <w:rPr>
          <w:rFonts w:ascii="黑体" w:hAnsi="黑体" w:eastAsia="黑体"/>
          <w:sz w:val="28"/>
        </w:rPr>
        <w:t>3  知几学习的校准机制</w:t>
      </w:r>
    </w:p>
    <w:p>
      <w:pPr>
        <w:pStyle w:val="Heading2"/>
        <w:spacing w:before="240" w:after="120"/>
        <w:ind w:firstLine="0"/>
      </w:pPr>
      <w:r>
        <w:rPr>
          <w:rFonts w:ascii="黑体" w:hAnsi="黑体" w:eastAsia="黑体"/>
          <w:sz w:val="24"/>
        </w:rPr>
        <w:t>3.1  统一接口</w:t>
      </w:r>
    </w:p>
    <w:p>
      <w:r>
        <w:rPr>
          <w:rFonts w:ascii="宋体" w:hAnsi="宋体" w:eastAsia="宋体"/>
          <w:sz w:val="21"/>
        </w:rPr>
        <w:t>知几学习的校准机制通过一个统一接口实现。该接口不区分"从成功中学习"和"从失败中学习"——它仅接收轨迹和结果，由结果的正负自然决定校准方向：</w:t>
      </w:r>
    </w:p>
    <w:p>
      <w:pPr>
        <w:spacing w:before="0" w:after="0"/>
        <w:ind w:firstLine="0" w:left="567"/>
      </w:pPr>
      <w:r>
        <w:rPr>
          <w:rFonts w:ascii="Consolas" w:hAnsi="Consolas" w:eastAsia="宋体"/>
          <w:sz w:val="18"/>
        </w:rPr>
        <w:t>def observe(trajectory, won, agent_state):</w:t>
      </w:r>
    </w:p>
    <w:p>
      <w:pPr>
        <w:spacing w:before="0" w:after="0"/>
        <w:ind w:firstLine="0" w:left="567"/>
      </w:pPr>
      <w:r>
        <w:rPr>
          <w:rFonts w:ascii="Consolas" w:hAnsi="Consolas" w:eastAsia="宋体"/>
          <w:sz w:val="18"/>
        </w:rPr>
        <w:t xml:space="preserve">    reward = +1.0 if won else -1.0</w:t>
      </w:r>
    </w:p>
    <w:p>
      <w:pPr>
        <w:spacing w:before="0" w:after="0"/>
        <w:ind w:firstLine="0" w:left="567"/>
      </w:pPr>
      <w:r>
        <w:rPr>
          <w:rFonts w:ascii="Consolas" w:hAnsi="Consolas" w:eastAsia="宋体"/>
          <w:sz w:val="18"/>
        </w:rPr>
        <w:t xml:space="preserve">    shared_calibration(trajectory)        # 客观事实：不区分成败</w:t>
      </w:r>
    </w:p>
    <w:p>
      <w:pPr>
        <w:spacing w:before="0" w:after="0"/>
        <w:ind w:firstLine="0" w:left="567"/>
      </w:pPr>
      <w:r>
        <w:rPr>
          <w:rFonts w:ascii="Consolas" w:hAnsi="Consolas" w:eastAsia="宋体"/>
          <w:sz w:val="18"/>
        </w:rPr>
        <w:t xml:space="preserve">    directed_calibration(trajectory, reward)  # 方向性校准：由reward决定方向</w:t>
      </w:r>
    </w:p>
    <w:p>
      <w:r>
        <w:rPr>
          <w:rFonts w:ascii="宋体" w:hAnsi="宋体" w:eastAsia="宋体"/>
          <w:sz w:val="21"/>
        </w:rPr>
        <w:t>这一设计体现了知几学习的统一性：shared_calibration提取不依赖于成败的客观事实（如同义词关系），directed_calibration根据reward的正负执行对称校准。整个系统没有if won...else...的分叉逻辑——校准方向完全由reward × weight的符号自然决定。</w:t>
      </w:r>
    </w:p>
    <w:p>
      <w:pPr>
        <w:pStyle w:val="Heading2"/>
        <w:spacing w:before="240" w:after="120"/>
        <w:ind w:firstLine="0"/>
      </w:pPr>
      <w:r>
        <w:rPr>
          <w:rFonts w:ascii="黑体" w:hAnsi="黑体" w:eastAsia="黑体"/>
          <w:sz w:val="24"/>
        </w:rPr>
        <w:t>3.2  共享校准（不区分成败）</w:t>
      </w:r>
    </w:p>
    <w:p>
      <w:r>
        <w:rPr>
          <w:rFonts w:ascii="宋体" w:hAnsi="宋体" w:eastAsia="宋体"/>
          <w:sz w:val="21"/>
        </w:rPr>
        <w:t>无论任务成功还是失败，某些观察都提供了客观的事实信息，应当无条件吸收：</w:t>
      </w:r>
    </w:p>
    <w:p>
      <w:r>
        <w:rPr>
          <w:rFonts w:ascii="宋体" w:hAnsi="宋体" w:eastAsia="宋体"/>
          <w:sz w:val="21"/>
        </w:rPr>
        <w:t>同义词发现：当环境反馈中出现新的实体名称时，系统自动建立同义词映射。例如，任务描述提到"vault"但环境中实体名为"safe"，一旦观察到两者指代同一对象，立即建立S("vault") = {"safe"}。这一发现不依赖于任务是否成功——它是关于世界命名规则的客观事实。</w:t>
      </w:r>
    </w:p>
    <w:p>
      <w:r>
        <w:rPr>
          <w:rFonts w:ascii="宋体" w:hAnsi="宋体" w:eastAsia="宋体"/>
          <w:sz w:val="21"/>
        </w:rPr>
        <w:t>场景结构发现：观察到某位置有/无某物体，更新场景记忆Scene(loc)。容器状态（开/关）、位置可达性等信息同样属于客观事实，无条件录入。</w:t>
      </w:r>
    </w:p>
    <w:p>
      <w:pPr>
        <w:pStyle w:val="Heading2"/>
        <w:spacing w:before="240" w:after="120"/>
        <w:ind w:firstLine="0"/>
      </w:pPr>
      <w:r>
        <w:rPr>
          <w:rFonts w:ascii="黑体" w:hAnsi="黑体" w:eastAsia="黑体"/>
          <w:sz w:val="24"/>
        </w:rPr>
        <w:t>3.3  见吉之几（won=True，正向校准+α）</w:t>
      </w:r>
    </w:p>
    <w:p>
      <w:r>
        <w:rPr>
          <w:rFonts w:ascii="宋体" w:hAnsi="宋体" w:eastAsia="宋体"/>
          <w:sz w:val="21"/>
        </w:rPr>
        <w:t>当任务成功时（reward = +1），系统从成功轨迹中提取正向征兆并强化相关条目：</w:t>
      </w:r>
    </w:p>
    <w:p>
      <w:r>
        <w:rPr>
          <w:rFonts w:ascii="宋体" w:hAnsi="宋体" w:eastAsia="宋体"/>
          <w:sz w:val="21"/>
        </w:rPr>
        <w:t>位置正强化：物体被成功找到的位置获得置信度提升。P(obj, found_loc) += 1.0。这意味着"在这个位置找到了目标物体"是一个吉之几，下次同类任务时应优先搜索该位置。</w:t>
      </w:r>
    </w:p>
    <w:p>
      <w:r>
        <w:rPr>
          <w:rFonts w:ascii="宋体" w:hAnsi="宋体" w:eastAsia="宋体"/>
          <w:sz w:val="21"/>
        </w:rPr>
        <w:t>物体匹配确认：成功抓取的实体获得匹配置信度提升。M(target, correct_entity) += 1.0。这确认了目标描述与具体实体之间的正确对应关系。</w:t>
      </w:r>
    </w:p>
    <w:p>
      <w:r>
        <w:rPr>
          <w:rFonts w:ascii="宋体" w:hAnsi="宋体" w:eastAsia="宋体"/>
          <w:sz w:val="21"/>
        </w:rPr>
        <w:t>场景物体定位记忆：成功轨迹中观察到的所有物体-位置对被记录，充实先验矩阵的条目覆盖范围。即使某些观察与当前任务无直接关系，它们也为未来任务提供了有价值的先验信息。</w:t>
      </w:r>
    </w:p>
    <w:p>
      <w:pPr>
        <w:pStyle w:val="Heading2"/>
        <w:spacing w:before="240" w:after="120"/>
        <w:ind w:firstLine="0"/>
      </w:pPr>
      <w:r>
        <w:rPr>
          <w:rFonts w:ascii="黑体" w:hAnsi="黑体" w:eastAsia="黑体"/>
          <w:sz w:val="24"/>
        </w:rPr>
        <w:t>3.4  见凶之几（won=False，负向校准-β）</w:t>
      </w:r>
    </w:p>
    <w:p>
      <w:r>
        <w:rPr>
          <w:rFonts w:ascii="宋体" w:hAnsi="宋体" w:eastAsia="宋体"/>
          <w:sz w:val="21"/>
        </w:rPr>
        <w:t>当任务失败时（reward = -1），系统需要更精细的征兆辨识——不仅要知道"失败了"，还要定位"为什么失败"。这体现了"知微知彰"的要求：对失败原因的精细分辨是一种更高阶的"知几"能力。我们识别了五种层次的凶之几：</w:t>
      </w:r>
    </w:p>
    <w:p>
      <w:r>
        <w:rPr>
          <w:rFonts w:ascii="宋体" w:hAnsi="宋体" w:eastAsia="宋体"/>
          <w:sz w:val="21"/>
        </w:rPr>
        <w:t>（1）错拿之几（对应睽卦——目标偏离）：智能体拿取了错误的物体。征兆辨识定位到M(target, wrong_entity)条目，施加强抑制：M(target, wrong_entity) -= 3.0。高惩罚系数反映了"方向性错误"的严重程度——错拿意味着根本性的目标偏差，而非仅仅是效率低下。</w:t>
      </w:r>
    </w:p>
    <w:p>
      <w:r>
        <w:rPr>
          <w:rFonts w:ascii="宋体" w:hAnsi="宋体" w:eastAsia="宋体"/>
          <w:sz w:val="21"/>
        </w:rPr>
        <w:t>（2）空位之几（对应困卦——资源匮乏）：智能体在某位置搜寻目标物体但发现该位置为空或不含目标。征兆辨识定位到P(obj, empty_loc)条目，施加中等抑制：P(obj, empty_loc) -= 0.5。惩罚系数较低因为空位信息仅表示"此处无"的否定证据，而非方向性错误。</w:t>
      </w:r>
    </w:p>
    <w:p>
      <w:r>
        <w:rPr>
          <w:rFonts w:ascii="宋体" w:hAnsi="宋体" w:eastAsia="宋体"/>
          <w:sz w:val="21"/>
        </w:rPr>
        <w:t>（3）瓶颈之几（对应蹇卦——道路艰难）：智能体在某阶段反复失败，表明该阶段存在系统性障碍。征兆辨识不定位到具体条目，而是增加阶段失败计数stage_fail_count += 1，为后续的策略层面调整提供依据。</w:t>
      </w:r>
    </w:p>
    <w:p>
      <w:r>
        <w:rPr>
          <w:rFonts w:ascii="宋体" w:hAnsi="宋体" w:eastAsia="宋体"/>
          <w:sz w:val="21"/>
        </w:rPr>
        <w:t>（4）超时之几（对应节卦——限度已至）：智能体耗尽步数限制仍未完成任务。这是一种"资源约束"层面的凶之几，提示需要调整探索策略（如减少重复搜索，优先未访问位置）。</w:t>
      </w:r>
    </w:p>
    <w:p>
      <w:r>
        <w:rPr>
          <w:rFonts w:ascii="宋体" w:hAnsi="宋体" w:eastAsia="宋体"/>
          <w:sz w:val="21"/>
        </w:rPr>
        <w:t>（5）模式之几（对应明夷卦——光明受损）：当同一类型的失败反复出现时，系统聚类这些失败案例，提取共同模式作为更高层次的凶之几。例如，如果多个任务都因"vault/safe同义词不匹配"而失败，系统将该模式标记为高优先级修复项。</w:t>
      </w:r>
    </w:p>
    <w:p>
      <w:pPr>
        <w:pStyle w:val="Heading2"/>
        <w:spacing w:before="240" w:after="120"/>
        <w:ind w:firstLine="0"/>
      </w:pPr>
      <w:r>
        <w:rPr>
          <w:rFonts w:ascii="黑体" w:hAnsi="黑体" w:eastAsia="黑体"/>
          <w:sz w:val="24"/>
        </w:rPr>
        <w:t>3.5  对称性分析</w:t>
      </w:r>
    </w:p>
    <w:p>
      <w:r>
        <w:rPr>
          <w:rFonts w:ascii="宋体" w:hAnsi="宋体" w:eastAsia="宋体"/>
          <w:sz w:val="21"/>
        </w:rPr>
        <w:t>3.3节和3.4节的校准操作具有深刻的对称性，可以总结为以下三个层面：</w:t>
      </w:r>
    </w:p>
    <w:p>
      <w:r>
        <w:rPr>
          <w:rFonts w:ascii="宋体" w:hAnsi="宋体" w:eastAsia="宋体"/>
          <w:sz w:val="21"/>
        </w:rPr>
        <w:t>载体对称：吉之几和凶之几作用于完全相同的先验矩阵集合{P, M, S, Scene}。不存在"成功记忆"和"失败记忆"的分离——它们是同一张地图上的正负标注。</w:t>
      </w:r>
    </w:p>
    <w:p>
      <w:r>
        <w:rPr>
          <w:rFonts w:ascii="宋体" w:hAnsi="宋体" w:eastAsia="宋体"/>
          <w:sz w:val="21"/>
        </w:rPr>
        <w:t>操作对称：两种校准的核心操作形式相同——matrix[key] += reward × weight。区别仅在于reward的符号：+1（吉之几）或-1（凶之几）。五种"凶之几"看似复杂，但其本质只是五种不同的条目定位策略（locate_entry函数的不同分支），一旦定位完成，后续的更新操作完全统一。</w:t>
      </w:r>
    </w:p>
    <w:p>
      <w:r>
        <w:rPr>
          <w:rFonts w:ascii="宋体" w:hAnsi="宋体" w:eastAsia="宋体"/>
          <w:sz w:val="21"/>
        </w:rPr>
        <w:t>信息对称：正向校准提供"此处正确"的证据，负向校准提供"此处错误"的证据。两者等价地减少了不确定性——知道"X不在A"和知道"X在B"提供相同量级的信息。知几学习同等重视两种方向的信息，这是其高效性的重要来源。</w:t>
      </w:r>
    </w:p>
    <w:p>
      <w:pPr>
        <w:pStyle w:val="Heading1"/>
        <w:spacing w:before="240" w:after="120"/>
        <w:ind w:firstLine="0"/>
      </w:pPr>
      <w:r>
        <w:rPr>
          <w:rFonts w:ascii="黑体" w:hAnsi="黑体" w:eastAsia="黑体"/>
          <w:sz w:val="28"/>
        </w:rPr>
        <w:t>4  经验持久化与收敛</w:t>
      </w:r>
    </w:p>
    <w:p>
      <w:pPr>
        <w:pStyle w:val="Heading2"/>
        <w:spacing w:before="240" w:after="120"/>
        <w:ind w:firstLine="0"/>
      </w:pPr>
      <w:r>
        <w:rPr>
          <w:rFonts w:ascii="黑体" w:hAnsi="黑体" w:eastAsia="黑体"/>
          <w:sz w:val="24"/>
        </w:rPr>
        <w:t>4.1  持久化：将ΔK固化为新的Ω</w:t>
      </w:r>
    </w:p>
    <w:p>
      <w:r>
        <w:rPr>
          <w:rFonts w:ascii="宋体" w:hAnsi="宋体" w:eastAsia="宋体"/>
          <w:sz w:val="21"/>
        </w:rPr>
        <w:t>知几学习的一个关键工程实践是经验持久化：将一轮交互中积累的知识增量ΔK固化到磁盘，使其成为下一轮交互的先验知识Ω'。形式上：Ω' = Ω ⊕ ΔK(D₁)，下一轮使用Ω'作为起点：K₂ = Ω' ⊕ ΔK(D₂) = Ω ⊕ ΔK(D₁) ⊕ ΔK(D₂)。这保证了知识的累积性——每次交互的收益永久保存，不会因重启而丢失。</w:t>
      </w:r>
    </w:p>
    <w:p>
      <w:pPr>
        <w:pStyle w:val="Heading2"/>
        <w:spacing w:before="240" w:after="120"/>
        <w:ind w:firstLine="0"/>
      </w:pPr>
      <w:r>
        <w:rPr>
          <w:rFonts w:ascii="黑体" w:hAnsi="黑体" w:eastAsia="黑体"/>
          <w:sz w:val="24"/>
        </w:rPr>
        <w:t>4.2  收敛实验</w:t>
      </w:r>
    </w:p>
    <w:p>
      <w:r>
        <w:rPr>
          <w:rFonts w:ascii="宋体" w:hAnsi="宋体" w:eastAsia="宋体"/>
          <w:sz w:val="21"/>
        </w:rPr>
        <w:t>我们在ALFWorld的134个标准测试游戏上进行了5轮持续校准实验，每轮使用上一轮持久化的知识作为先验。结果如下：</w:t>
      </w:r>
    </w:p>
    <w:p>
      <w:pPr>
        <w:ind w:firstLine="0"/>
        <w:jc w:val="center"/>
      </w:pPr>
      <w:r>
        <w:rPr>
          <w:rFonts w:ascii="宋体" w:hAnsi="宋体" w:eastAsia="宋体"/>
          <w:b/>
          <w:sz w:val="21"/>
        </w:rPr>
        <w:t>表2  知几学习多轮收敛实验</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2161"/>
            <w:shd w:fill="D9D9D9"/>
          </w:tcPr>
          <w:p>
            <w:pPr>
              <w:ind w:firstLine="0"/>
              <w:jc w:val="center"/>
            </w:pPr>
            <w:r/>
            <w:r>
              <w:rPr>
                <w:rFonts w:ascii="宋体" w:hAnsi="宋体" w:eastAsia="宋体"/>
                <w:b/>
                <w:sz w:val="18"/>
              </w:rPr>
              <w:t>轮次</w:t>
            </w:r>
          </w:p>
        </w:tc>
        <w:tc>
          <w:tcPr>
            <w:tcW w:type="dxa" w:w="2161"/>
            <w:shd w:fill="D9D9D9"/>
          </w:tcPr>
          <w:p>
            <w:pPr>
              <w:ind w:firstLine="0"/>
              <w:jc w:val="center"/>
            </w:pPr>
            <w:r/>
            <w:r>
              <w:rPr>
                <w:rFonts w:ascii="宋体" w:hAnsi="宋体" w:eastAsia="宋体"/>
                <w:b/>
                <w:sz w:val="18"/>
              </w:rPr>
              <w:t>成功率</w:t>
            </w:r>
          </w:p>
        </w:tc>
        <w:tc>
          <w:tcPr>
            <w:tcW w:type="dxa" w:w="2161"/>
            <w:shd w:fill="D9D9D9"/>
          </w:tcPr>
          <w:p>
            <w:pPr>
              <w:ind w:firstLine="0"/>
              <w:jc w:val="center"/>
            </w:pPr>
            <w:r/>
            <w:r>
              <w:rPr>
                <w:rFonts w:ascii="宋体" w:hAnsi="宋体" w:eastAsia="宋体"/>
                <w:b/>
                <w:sz w:val="18"/>
              </w:rPr>
              <w:t>平均步数</w:t>
            </w:r>
          </w:p>
        </w:tc>
        <w:tc>
          <w:tcPr>
            <w:tcW w:type="dxa" w:w="2161"/>
            <w:shd w:fill="D9D9D9"/>
          </w:tcPr>
          <w:p>
            <w:pPr>
              <w:ind w:firstLine="0"/>
              <w:jc w:val="center"/>
            </w:pPr>
            <w:r/>
            <w:r>
              <w:rPr>
                <w:rFonts w:ascii="宋体" w:hAnsi="宋体" w:eastAsia="宋体"/>
                <w:b/>
                <w:sz w:val="18"/>
              </w:rPr>
              <w:t>累积校准次数</w:t>
            </w:r>
          </w:p>
        </w:tc>
      </w:tr>
      <w:tr>
        <w:tc>
          <w:tcPr>
            <w:tcW w:type="dxa" w:w="2161"/>
          </w:tcPr>
          <w:p>
            <w:pPr>
              <w:ind w:firstLine="0"/>
              <w:jc w:val="center"/>
            </w:pPr>
            <w:r/>
            <w:r>
              <w:rPr>
                <w:rFonts w:ascii="宋体" w:hAnsi="宋体" w:eastAsia="宋体"/>
                <w:sz w:val="18"/>
              </w:rPr>
              <w:t>V9（基线）</w:t>
            </w:r>
          </w:p>
        </w:tc>
        <w:tc>
          <w:tcPr>
            <w:tcW w:type="dxa" w:w="2161"/>
          </w:tcPr>
          <w:p>
            <w:pPr>
              <w:ind w:firstLine="0"/>
              <w:jc w:val="center"/>
            </w:pPr>
            <w:r/>
            <w:r>
              <w:rPr>
                <w:rFonts w:ascii="宋体" w:hAnsi="宋体" w:eastAsia="宋体"/>
                <w:sz w:val="18"/>
              </w:rPr>
              <w:t>94/134 (70.1%)</w:t>
            </w:r>
          </w:p>
        </w:tc>
        <w:tc>
          <w:tcPr>
            <w:tcW w:type="dxa" w:w="2161"/>
          </w:tcPr>
          <w:p>
            <w:pPr>
              <w:ind w:firstLine="0"/>
              <w:jc w:val="center"/>
            </w:pPr>
            <w:r/>
            <w:r>
              <w:rPr>
                <w:rFonts w:ascii="宋体" w:hAnsi="宋体" w:eastAsia="宋体"/>
                <w:sz w:val="18"/>
              </w:rPr>
              <w:t>21.5</w:t>
            </w:r>
          </w:p>
        </w:tc>
        <w:tc>
          <w:tcPr>
            <w:tcW w:type="dxa" w:w="2161"/>
          </w:tcPr>
          <w:p>
            <w:pPr>
              <w:ind w:firstLine="0"/>
              <w:jc w:val="center"/>
            </w:pPr>
            <w:r/>
            <w:r>
              <w:rPr>
                <w:rFonts w:ascii="宋体" w:hAnsi="宋体" w:eastAsia="宋体"/>
                <w:sz w:val="18"/>
              </w:rPr>
              <w:t>18</w:t>
            </w:r>
          </w:p>
        </w:tc>
      </w:tr>
      <w:tr>
        <w:tc>
          <w:tcPr>
            <w:tcW w:type="dxa" w:w="2161"/>
          </w:tcPr>
          <w:p>
            <w:pPr>
              <w:ind w:firstLine="0"/>
              <w:jc w:val="center"/>
            </w:pPr>
            <w:r/>
            <w:r>
              <w:rPr>
                <w:rFonts w:ascii="宋体" w:hAnsi="宋体" w:eastAsia="宋体"/>
                <w:sz w:val="18"/>
              </w:rPr>
              <w:t>Round 1</w:t>
            </w:r>
          </w:p>
        </w:tc>
        <w:tc>
          <w:tcPr>
            <w:tcW w:type="dxa" w:w="2161"/>
          </w:tcPr>
          <w:p>
            <w:pPr>
              <w:ind w:firstLine="0"/>
              <w:jc w:val="center"/>
            </w:pPr>
            <w:r/>
            <w:r>
              <w:rPr>
                <w:rFonts w:ascii="宋体" w:hAnsi="宋体" w:eastAsia="宋体"/>
                <w:sz w:val="18"/>
              </w:rPr>
              <w:t>98/134 (73.1%)</w:t>
            </w:r>
          </w:p>
        </w:tc>
        <w:tc>
          <w:tcPr>
            <w:tcW w:type="dxa" w:w="2161"/>
          </w:tcPr>
          <w:p>
            <w:pPr>
              <w:ind w:firstLine="0"/>
              <w:jc w:val="center"/>
            </w:pPr>
            <w:r/>
            <w:r>
              <w:rPr>
                <w:rFonts w:ascii="宋体" w:hAnsi="宋体" w:eastAsia="宋体"/>
                <w:sz w:val="18"/>
              </w:rPr>
              <w:t>20.5</w:t>
            </w:r>
          </w:p>
        </w:tc>
        <w:tc>
          <w:tcPr>
            <w:tcW w:type="dxa" w:w="2161"/>
          </w:tcPr>
          <w:p>
            <w:pPr>
              <w:ind w:firstLine="0"/>
              <w:jc w:val="center"/>
            </w:pPr>
            <w:r/>
            <w:r>
              <w:rPr>
                <w:rFonts w:ascii="宋体" w:hAnsi="宋体" w:eastAsia="宋体"/>
                <w:sz w:val="18"/>
              </w:rPr>
              <w:t>15</w:t>
            </w:r>
          </w:p>
        </w:tc>
      </w:tr>
      <w:tr>
        <w:tc>
          <w:tcPr>
            <w:tcW w:type="dxa" w:w="2161"/>
          </w:tcPr>
          <w:p>
            <w:pPr>
              <w:ind w:firstLine="0"/>
              <w:jc w:val="center"/>
            </w:pPr>
            <w:r/>
            <w:r>
              <w:rPr>
                <w:rFonts w:ascii="宋体" w:hAnsi="宋体" w:eastAsia="宋体"/>
                <w:sz w:val="18"/>
              </w:rPr>
              <w:t>Round 2</w:t>
            </w:r>
          </w:p>
        </w:tc>
        <w:tc>
          <w:tcPr>
            <w:tcW w:type="dxa" w:w="2161"/>
          </w:tcPr>
          <w:p>
            <w:pPr>
              <w:ind w:firstLine="0"/>
              <w:jc w:val="center"/>
            </w:pPr>
            <w:r/>
            <w:r>
              <w:rPr>
                <w:rFonts w:ascii="宋体" w:hAnsi="宋体" w:eastAsia="宋体"/>
                <w:sz w:val="18"/>
              </w:rPr>
              <w:t>99/134 (73.9%)</w:t>
            </w:r>
          </w:p>
        </w:tc>
        <w:tc>
          <w:tcPr>
            <w:tcW w:type="dxa" w:w="2161"/>
          </w:tcPr>
          <w:p>
            <w:pPr>
              <w:ind w:firstLine="0"/>
              <w:jc w:val="center"/>
            </w:pPr>
            <w:r/>
            <w:r>
              <w:rPr>
                <w:rFonts w:ascii="宋体" w:hAnsi="宋体" w:eastAsia="宋体"/>
                <w:sz w:val="18"/>
              </w:rPr>
              <w:t>20.1</w:t>
            </w:r>
          </w:p>
        </w:tc>
        <w:tc>
          <w:tcPr>
            <w:tcW w:type="dxa" w:w="2161"/>
          </w:tcPr>
          <w:p>
            <w:pPr>
              <w:ind w:firstLine="0"/>
              <w:jc w:val="center"/>
            </w:pPr>
            <w:r/>
            <w:r>
              <w:rPr>
                <w:rFonts w:ascii="宋体" w:hAnsi="宋体" w:eastAsia="宋体"/>
                <w:sz w:val="18"/>
              </w:rPr>
              <w:t>38</w:t>
            </w:r>
          </w:p>
        </w:tc>
      </w:tr>
      <w:tr>
        <w:tc>
          <w:tcPr>
            <w:tcW w:type="dxa" w:w="2161"/>
          </w:tcPr>
          <w:p>
            <w:pPr>
              <w:ind w:firstLine="0"/>
              <w:jc w:val="center"/>
            </w:pPr>
            <w:r/>
            <w:r>
              <w:rPr>
                <w:rFonts w:ascii="宋体" w:hAnsi="宋体" w:eastAsia="宋体"/>
                <w:sz w:val="18"/>
              </w:rPr>
              <w:t>Round 3</w:t>
            </w:r>
          </w:p>
        </w:tc>
        <w:tc>
          <w:tcPr>
            <w:tcW w:type="dxa" w:w="2161"/>
          </w:tcPr>
          <w:p>
            <w:pPr>
              <w:ind w:firstLine="0"/>
              <w:jc w:val="center"/>
            </w:pPr>
            <w:r/>
            <w:r>
              <w:rPr>
                <w:rFonts w:ascii="宋体" w:hAnsi="宋体" w:eastAsia="宋体"/>
                <w:sz w:val="18"/>
              </w:rPr>
              <w:t>99/134 (73.9%)</w:t>
            </w:r>
          </w:p>
        </w:tc>
        <w:tc>
          <w:tcPr>
            <w:tcW w:type="dxa" w:w="2161"/>
          </w:tcPr>
          <w:p>
            <w:pPr>
              <w:ind w:firstLine="0"/>
              <w:jc w:val="center"/>
            </w:pPr>
            <w:r/>
            <w:r>
              <w:rPr>
                <w:rFonts w:ascii="宋体" w:hAnsi="宋体" w:eastAsia="宋体"/>
                <w:sz w:val="18"/>
              </w:rPr>
              <w:t>20.1</w:t>
            </w:r>
          </w:p>
        </w:tc>
        <w:tc>
          <w:tcPr>
            <w:tcW w:type="dxa" w:w="2161"/>
          </w:tcPr>
          <w:p>
            <w:pPr>
              <w:ind w:firstLine="0"/>
              <w:jc w:val="center"/>
            </w:pPr>
            <w:r/>
            <w:r>
              <w:rPr>
                <w:rFonts w:ascii="宋体" w:hAnsi="宋体" w:eastAsia="宋体"/>
                <w:sz w:val="18"/>
              </w:rPr>
              <w:t>61</w:t>
            </w:r>
          </w:p>
        </w:tc>
      </w:tr>
      <w:tr>
        <w:tc>
          <w:tcPr>
            <w:tcW w:type="dxa" w:w="2161"/>
          </w:tcPr>
          <w:p>
            <w:pPr>
              <w:ind w:firstLine="0"/>
              <w:jc w:val="center"/>
            </w:pPr>
            <w:r/>
            <w:r>
              <w:rPr>
                <w:rFonts w:ascii="宋体" w:hAnsi="宋体" w:eastAsia="宋体"/>
                <w:sz w:val="18"/>
              </w:rPr>
              <w:t>Round 4</w:t>
            </w:r>
          </w:p>
        </w:tc>
        <w:tc>
          <w:tcPr>
            <w:tcW w:type="dxa" w:w="2161"/>
          </w:tcPr>
          <w:p>
            <w:pPr>
              <w:ind w:firstLine="0"/>
              <w:jc w:val="center"/>
            </w:pPr>
            <w:r/>
            <w:r>
              <w:rPr>
                <w:rFonts w:ascii="宋体" w:hAnsi="宋体" w:eastAsia="宋体"/>
                <w:sz w:val="18"/>
              </w:rPr>
              <w:t>99/134 (73.9%)</w:t>
            </w:r>
          </w:p>
        </w:tc>
        <w:tc>
          <w:tcPr>
            <w:tcW w:type="dxa" w:w="2161"/>
          </w:tcPr>
          <w:p>
            <w:pPr>
              <w:ind w:firstLine="0"/>
              <w:jc w:val="center"/>
            </w:pPr>
            <w:r/>
            <w:r>
              <w:rPr>
                <w:rFonts w:ascii="宋体" w:hAnsi="宋体" w:eastAsia="宋体"/>
                <w:sz w:val="18"/>
              </w:rPr>
              <w:t>20.2</w:t>
            </w:r>
          </w:p>
        </w:tc>
        <w:tc>
          <w:tcPr>
            <w:tcW w:type="dxa" w:w="2161"/>
          </w:tcPr>
          <w:p>
            <w:pPr>
              <w:ind w:firstLine="0"/>
              <w:jc w:val="center"/>
            </w:pPr>
            <w:r/>
            <w:r>
              <w:rPr>
                <w:rFonts w:ascii="宋体" w:hAnsi="宋体" w:eastAsia="宋体"/>
                <w:sz w:val="18"/>
              </w:rPr>
              <w:t>84</w:t>
            </w:r>
          </w:p>
        </w:tc>
      </w:tr>
      <w:tr>
        <w:tc>
          <w:tcPr>
            <w:tcW w:type="dxa" w:w="2161"/>
          </w:tcPr>
          <w:p>
            <w:pPr>
              <w:ind w:firstLine="0"/>
              <w:jc w:val="center"/>
            </w:pPr>
            <w:r/>
            <w:r>
              <w:rPr>
                <w:rFonts w:ascii="宋体" w:hAnsi="宋体" w:eastAsia="宋体"/>
                <w:sz w:val="18"/>
              </w:rPr>
              <w:t>Round 5</w:t>
            </w:r>
          </w:p>
        </w:tc>
        <w:tc>
          <w:tcPr>
            <w:tcW w:type="dxa" w:w="2161"/>
          </w:tcPr>
          <w:p>
            <w:pPr>
              <w:ind w:firstLine="0"/>
              <w:jc w:val="center"/>
            </w:pPr>
            <w:r/>
            <w:r>
              <w:rPr>
                <w:rFonts w:ascii="宋体" w:hAnsi="宋体" w:eastAsia="宋体"/>
                <w:sz w:val="18"/>
              </w:rPr>
              <w:t>99/134 (73.9%)</w:t>
            </w:r>
          </w:p>
        </w:tc>
        <w:tc>
          <w:tcPr>
            <w:tcW w:type="dxa" w:w="2161"/>
          </w:tcPr>
          <w:p>
            <w:pPr>
              <w:ind w:firstLine="0"/>
              <w:jc w:val="center"/>
            </w:pPr>
            <w:r/>
            <w:r>
              <w:rPr>
                <w:rFonts w:ascii="宋体" w:hAnsi="宋体" w:eastAsia="宋体"/>
                <w:sz w:val="18"/>
              </w:rPr>
              <w:t>20.2</w:t>
            </w:r>
          </w:p>
        </w:tc>
        <w:tc>
          <w:tcPr>
            <w:tcW w:type="dxa" w:w="2161"/>
          </w:tcPr>
          <w:p>
            <w:pPr>
              <w:ind w:firstLine="0"/>
              <w:jc w:val="center"/>
            </w:pPr>
            <w:r/>
            <w:r>
              <w:rPr>
                <w:rFonts w:ascii="宋体" w:hAnsi="宋体" w:eastAsia="宋体"/>
                <w:sz w:val="18"/>
              </w:rPr>
              <w:t>107</w:t>
            </w:r>
          </w:p>
        </w:tc>
      </w:tr>
    </w:tbl>
    <w:p/>
    <w:p>
      <w:pPr>
        <w:pStyle w:val="Heading2"/>
        <w:spacing w:before="240" w:after="120"/>
        <w:ind w:firstLine="0"/>
      </w:pPr>
      <w:r>
        <w:rPr>
          <w:rFonts w:ascii="黑体" w:hAnsi="黑体" w:eastAsia="黑体"/>
          <w:sz w:val="24"/>
        </w:rPr>
        <w:t>4.3  一轮收敛的理论解释</w:t>
      </w:r>
    </w:p>
    <w:p>
      <w:r>
        <w:rPr>
          <w:rFonts w:ascii="宋体" w:hAnsi="宋体" w:eastAsia="宋体"/>
          <w:sz w:val="21"/>
        </w:rPr>
        <w:t>表1揭示了一个显著现象：知几学习在Round 2即达到性能饱和（73.9%），此后三轮（Round 3-5）性能完全不变。这种"一轮收敛"现象可以用先验矩阵的信息容量饱和来解释。</w:t>
      </w:r>
    </w:p>
    <w:p>
      <w:r>
        <w:rPr>
          <w:rFonts w:ascii="宋体" w:hAnsi="宋体" w:eastAsia="宋体"/>
          <w:sz w:val="21"/>
        </w:rPr>
        <w:t>ALFWorld的134个测试游戏涵盖了有限种类的物体-位置组合和同义词关系。在Round 1中，知几学习通过134次交互校准了绝大多数有效条目，使先验矩阵对该环境的覆盖率接近100%。Round 2中仅有一个额外游戏被修复（从98成功到99成功），此后信息容量完全饱和——新的交互不再产生新的知识增量，因为所有可校准的条目都已达到正确值。</w:t>
      </w:r>
    </w:p>
    <w:p>
      <w:r>
        <w:rPr>
          <w:rFonts w:ascii="宋体" w:hAnsi="宋体" w:eastAsia="宋体"/>
          <w:sz w:val="21"/>
        </w:rPr>
        <w:t>累积校准次数持续增加（从15到107）但性能不变，这进一步证实了饱和假说：后续校准仅仅是对已经正确的条目的重复确认（P[obj][loc]从+1.0变为+5.0），不改变决策行为（因为条目是否为正即决定了行为，其绝对值大小无关）。</w:t>
      </w:r>
    </w:p>
    <w:p>
      <w:pPr>
        <w:pStyle w:val="Heading1"/>
        <w:spacing w:before="240" w:after="120"/>
        <w:ind w:firstLine="0"/>
      </w:pPr>
      <w:r>
        <w:rPr>
          <w:rFonts w:ascii="黑体" w:hAnsi="黑体" w:eastAsia="黑体"/>
          <w:sz w:val="28"/>
        </w:rPr>
        <w:t>5  实验验证</w:t>
      </w:r>
    </w:p>
    <w:p>
      <w:pPr>
        <w:pStyle w:val="Heading2"/>
        <w:spacing w:before="240" w:after="120"/>
        <w:ind w:firstLine="0"/>
      </w:pPr>
      <w:r>
        <w:rPr>
          <w:rFonts w:ascii="黑体" w:hAnsi="黑体" w:eastAsia="黑体"/>
          <w:sz w:val="24"/>
        </w:rPr>
        <w:t>5.1  实验设置</w:t>
      </w:r>
    </w:p>
    <w:p>
      <w:r>
        <w:rPr>
          <w:rFonts w:ascii="宋体" w:hAnsi="宋体"/>
          <w:sz w:val="21"/>
        </w:rPr>
        <w:t>实验在ALFWorld</w:t>
      </w:r>
      <w:r>
        <w:rPr>
          <w:rFonts w:ascii="宋体" w:hAnsi="宋体"/>
          <w:sz w:val="16"/>
          <w:vertAlign w:val="superscript"/>
        </w:rPr>
        <w:t>[5]</w:t>
      </w:r>
      <w:r>
        <w:rPr>
          <w:rFonts w:ascii="宋体" w:hAnsi="宋体"/>
          <w:sz w:val="21"/>
        </w:rPr>
        <w:t>具身环境中进行。ALFWorld是一个文本交互式的家庭环境，包含6种类型的家务任务（pick、clean、heat、cool、examine、pick two），涉及30+种物体和20+种位置。我们使用标准的134个测试游戏作为评估集。</w:t>
      </w:r>
    </w:p>
    <w:p>
      <w:r>
        <w:rPr>
          <w:rFonts w:ascii="宋体" w:hAnsi="宋体" w:eastAsia="宋体"/>
          <w:sz w:val="21"/>
        </w:rPr>
        <w:t>实验系统（YLYW Agent）是一个纯Python规则系统，约800行代码，运行在普通笔记本CPU上，无需GPU、无需大语言模型调用。系统的核心组件包括：自然语言任务解析器、先验知识矩阵、规则决策引擎、以及本文提出的知几学习校准模块。每个游戏最多允许50步，超时视为失败。</w:t>
      </w:r>
    </w:p>
    <w:p>
      <w:pPr>
        <w:pStyle w:val="Heading2"/>
        <w:spacing w:before="240" w:after="120"/>
        <w:ind w:firstLine="0"/>
      </w:pPr>
      <w:r>
        <w:rPr>
          <w:rFonts w:ascii="黑体" w:hAnsi="黑体" w:eastAsia="黑体"/>
          <w:sz w:val="24"/>
        </w:rPr>
        <w:t>5.2  版本演进：知几学习的逐步引入</w:t>
      </w:r>
    </w:p>
    <w:p>
      <w:r>
        <w:rPr>
          <w:rFonts w:ascii="宋体" w:hAnsi="宋体" w:eastAsia="宋体"/>
          <w:sz w:val="21"/>
        </w:rPr>
        <w:t>为了验证知几学习各组件的独立贡献，我们设计了渐进式实验：</w:t>
      </w:r>
    </w:p>
    <w:p>
      <w:pPr>
        <w:ind w:firstLine="0"/>
        <w:jc w:val="center"/>
      </w:pPr>
      <w:r>
        <w:rPr>
          <w:rFonts w:ascii="宋体" w:hAnsi="宋体" w:eastAsia="宋体"/>
          <w:b/>
          <w:sz w:val="21"/>
        </w:rPr>
        <w:t>表3  知几学习版本演进实验</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2161"/>
            <w:shd w:fill="D9D9D9"/>
          </w:tcPr>
          <w:p>
            <w:pPr>
              <w:ind w:firstLine="0"/>
              <w:jc w:val="center"/>
            </w:pPr>
            <w:r/>
            <w:r>
              <w:rPr>
                <w:rFonts w:ascii="宋体" w:hAnsi="宋体" w:eastAsia="宋体"/>
                <w:b/>
                <w:sz w:val="18"/>
              </w:rPr>
              <w:t>版本</w:t>
            </w:r>
          </w:p>
        </w:tc>
        <w:tc>
          <w:tcPr>
            <w:tcW w:type="dxa" w:w="2161"/>
            <w:shd w:fill="D9D9D9"/>
          </w:tcPr>
          <w:p>
            <w:pPr>
              <w:ind w:firstLine="0"/>
              <w:jc w:val="center"/>
            </w:pPr>
            <w:r/>
            <w:r>
              <w:rPr>
                <w:rFonts w:ascii="宋体" w:hAnsi="宋体" w:eastAsia="宋体"/>
                <w:b/>
                <w:sz w:val="18"/>
              </w:rPr>
              <w:t>知几学习机制</w:t>
            </w:r>
          </w:p>
        </w:tc>
        <w:tc>
          <w:tcPr>
            <w:tcW w:type="dxa" w:w="2161"/>
            <w:shd w:fill="D9D9D9"/>
          </w:tcPr>
          <w:p>
            <w:pPr>
              <w:ind w:firstLine="0"/>
              <w:jc w:val="center"/>
            </w:pPr>
            <w:r/>
            <w:r>
              <w:rPr>
                <w:rFonts w:ascii="宋体" w:hAnsi="宋体" w:eastAsia="宋体"/>
                <w:b/>
                <w:sz w:val="18"/>
              </w:rPr>
              <w:t>成功率</w:t>
            </w:r>
          </w:p>
        </w:tc>
        <w:tc>
          <w:tcPr>
            <w:tcW w:type="dxa" w:w="2161"/>
            <w:shd w:fill="D9D9D9"/>
          </w:tcPr>
          <w:p>
            <w:pPr>
              <w:ind w:firstLine="0"/>
              <w:jc w:val="center"/>
            </w:pPr>
            <w:r/>
            <w:r>
              <w:rPr>
                <w:rFonts w:ascii="宋体" w:hAnsi="宋体" w:eastAsia="宋体"/>
                <w:b/>
                <w:sz w:val="18"/>
              </w:rPr>
              <w:t>平均步数</w:t>
            </w:r>
          </w:p>
        </w:tc>
      </w:tr>
      <w:tr>
        <w:tc>
          <w:tcPr>
            <w:tcW w:type="dxa" w:w="2161"/>
          </w:tcPr>
          <w:p>
            <w:pPr>
              <w:ind w:firstLine="0"/>
              <w:jc w:val="center"/>
            </w:pPr>
            <w:r/>
            <w:r>
              <w:rPr>
                <w:rFonts w:ascii="宋体" w:hAnsi="宋体" w:eastAsia="宋体"/>
                <w:sz w:val="18"/>
              </w:rPr>
              <w:t>V7</w:t>
            </w:r>
          </w:p>
        </w:tc>
        <w:tc>
          <w:tcPr>
            <w:tcW w:type="dxa" w:w="2161"/>
          </w:tcPr>
          <w:p>
            <w:pPr>
              <w:ind w:firstLine="0"/>
              <w:jc w:val="center"/>
            </w:pPr>
            <w:r/>
            <w:r>
              <w:rPr>
                <w:rFonts w:ascii="宋体" w:hAnsi="宋体" w:eastAsia="宋体"/>
                <w:sz w:val="18"/>
              </w:rPr>
              <w:t>仅静态先验Ω（无校准）</w:t>
            </w:r>
          </w:p>
        </w:tc>
        <w:tc>
          <w:tcPr>
            <w:tcW w:type="dxa" w:w="2161"/>
          </w:tcPr>
          <w:p>
            <w:pPr>
              <w:ind w:firstLine="0"/>
              <w:jc w:val="center"/>
            </w:pPr>
            <w:r/>
            <w:r>
              <w:rPr>
                <w:rFonts w:ascii="宋体" w:hAnsi="宋体" w:eastAsia="宋体"/>
                <w:sz w:val="18"/>
              </w:rPr>
              <w:t>90/134 (67.2%)</w:t>
            </w:r>
          </w:p>
        </w:tc>
        <w:tc>
          <w:tcPr>
            <w:tcW w:type="dxa" w:w="2161"/>
          </w:tcPr>
          <w:p>
            <w:pPr>
              <w:ind w:firstLine="0"/>
              <w:jc w:val="center"/>
            </w:pPr>
            <w:r/>
            <w:r>
              <w:rPr>
                <w:rFonts w:ascii="宋体" w:hAnsi="宋体" w:eastAsia="宋体"/>
                <w:sz w:val="18"/>
              </w:rPr>
              <w:t>—</w:t>
            </w:r>
          </w:p>
        </w:tc>
      </w:tr>
      <w:tr>
        <w:tc>
          <w:tcPr>
            <w:tcW w:type="dxa" w:w="2161"/>
          </w:tcPr>
          <w:p>
            <w:pPr>
              <w:ind w:firstLine="0"/>
              <w:jc w:val="center"/>
            </w:pPr>
            <w:r/>
            <w:r>
              <w:rPr>
                <w:rFonts w:ascii="宋体" w:hAnsi="宋体" w:eastAsia="宋体"/>
                <w:sz w:val="18"/>
              </w:rPr>
              <w:t>V9</w:t>
            </w:r>
          </w:p>
        </w:tc>
        <w:tc>
          <w:tcPr>
            <w:tcW w:type="dxa" w:w="2161"/>
          </w:tcPr>
          <w:p>
            <w:pPr>
              <w:ind w:firstLine="0"/>
              <w:jc w:val="center"/>
            </w:pPr>
            <w:r/>
            <w:r>
              <w:rPr>
                <w:rFonts w:ascii="宋体" w:hAnsi="宋体" w:eastAsia="宋体"/>
                <w:sz w:val="18"/>
              </w:rPr>
              <w:t>+吉之几校准(+α)</w:t>
            </w:r>
          </w:p>
        </w:tc>
        <w:tc>
          <w:tcPr>
            <w:tcW w:type="dxa" w:w="2161"/>
          </w:tcPr>
          <w:p>
            <w:pPr>
              <w:ind w:firstLine="0"/>
              <w:jc w:val="center"/>
            </w:pPr>
            <w:r/>
            <w:r>
              <w:rPr>
                <w:rFonts w:ascii="宋体" w:hAnsi="宋体" w:eastAsia="宋体"/>
                <w:sz w:val="18"/>
              </w:rPr>
              <w:t>94/134 (70.1%)</w:t>
            </w:r>
          </w:p>
        </w:tc>
        <w:tc>
          <w:tcPr>
            <w:tcW w:type="dxa" w:w="2161"/>
          </w:tcPr>
          <w:p>
            <w:pPr>
              <w:ind w:firstLine="0"/>
              <w:jc w:val="center"/>
            </w:pPr>
            <w:r/>
            <w:r>
              <w:rPr>
                <w:rFonts w:ascii="宋体" w:hAnsi="宋体" w:eastAsia="宋体"/>
                <w:sz w:val="18"/>
              </w:rPr>
              <w:t>21.5</w:t>
            </w:r>
          </w:p>
        </w:tc>
      </w:tr>
      <w:tr>
        <w:tc>
          <w:tcPr>
            <w:tcW w:type="dxa" w:w="2161"/>
          </w:tcPr>
          <w:p>
            <w:pPr>
              <w:ind w:firstLine="0"/>
              <w:jc w:val="center"/>
            </w:pPr>
            <w:r/>
            <w:r>
              <w:rPr>
                <w:rFonts w:ascii="宋体" w:hAnsi="宋体" w:eastAsia="宋体"/>
                <w:sz w:val="18"/>
              </w:rPr>
              <w:t>V10</w:t>
            </w:r>
          </w:p>
        </w:tc>
        <w:tc>
          <w:tcPr>
            <w:tcW w:type="dxa" w:w="2161"/>
          </w:tcPr>
          <w:p>
            <w:pPr>
              <w:ind w:firstLine="0"/>
              <w:jc w:val="center"/>
            </w:pPr>
            <w:r/>
            <w:r>
              <w:rPr>
                <w:rFonts w:ascii="宋体" w:hAnsi="宋体" w:eastAsia="宋体"/>
                <w:sz w:val="18"/>
              </w:rPr>
              <w:t>+吉凶双向校准(±)</w:t>
            </w:r>
          </w:p>
        </w:tc>
        <w:tc>
          <w:tcPr>
            <w:tcW w:type="dxa" w:w="2161"/>
          </w:tcPr>
          <w:p>
            <w:pPr>
              <w:ind w:firstLine="0"/>
              <w:jc w:val="center"/>
            </w:pPr>
            <w:r/>
            <w:r>
              <w:rPr>
                <w:rFonts w:ascii="宋体" w:hAnsi="宋体" w:eastAsia="宋体"/>
                <w:sz w:val="18"/>
              </w:rPr>
              <w:t>98/134 (73.1%)</w:t>
            </w:r>
          </w:p>
        </w:tc>
        <w:tc>
          <w:tcPr>
            <w:tcW w:type="dxa" w:w="2161"/>
          </w:tcPr>
          <w:p>
            <w:pPr>
              <w:ind w:firstLine="0"/>
              <w:jc w:val="center"/>
            </w:pPr>
            <w:r/>
            <w:r>
              <w:rPr>
                <w:rFonts w:ascii="宋体" w:hAnsi="宋体" w:eastAsia="宋体"/>
                <w:sz w:val="18"/>
              </w:rPr>
              <w:t>20.5</w:t>
            </w:r>
          </w:p>
        </w:tc>
      </w:tr>
      <w:tr>
        <w:tc>
          <w:tcPr>
            <w:tcW w:type="dxa" w:w="2161"/>
          </w:tcPr>
          <w:p>
            <w:pPr>
              <w:ind w:firstLine="0"/>
              <w:jc w:val="center"/>
            </w:pPr>
            <w:r/>
            <w:r>
              <w:rPr>
                <w:rFonts w:ascii="宋体" w:hAnsi="宋体" w:eastAsia="宋体"/>
                <w:sz w:val="18"/>
              </w:rPr>
              <w:t>V10+persist</w:t>
            </w:r>
          </w:p>
        </w:tc>
        <w:tc>
          <w:tcPr>
            <w:tcW w:type="dxa" w:w="2161"/>
          </w:tcPr>
          <w:p>
            <w:pPr>
              <w:ind w:firstLine="0"/>
              <w:jc w:val="center"/>
            </w:pPr>
            <w:r/>
            <w:r>
              <w:rPr>
                <w:rFonts w:ascii="宋体" w:hAnsi="宋体" w:eastAsia="宋体"/>
                <w:sz w:val="18"/>
              </w:rPr>
              <w:t>+经验持久化</w:t>
            </w:r>
          </w:p>
        </w:tc>
        <w:tc>
          <w:tcPr>
            <w:tcW w:type="dxa" w:w="2161"/>
          </w:tcPr>
          <w:p>
            <w:pPr>
              <w:ind w:firstLine="0"/>
              <w:jc w:val="center"/>
            </w:pPr>
            <w:r/>
            <w:r>
              <w:rPr>
                <w:rFonts w:ascii="宋体" w:hAnsi="宋体" w:eastAsia="宋体"/>
                <w:sz w:val="18"/>
              </w:rPr>
              <w:t>99/134 (73.9%)</w:t>
            </w:r>
          </w:p>
        </w:tc>
        <w:tc>
          <w:tcPr>
            <w:tcW w:type="dxa" w:w="2161"/>
          </w:tcPr>
          <w:p>
            <w:pPr>
              <w:ind w:firstLine="0"/>
              <w:jc w:val="center"/>
            </w:pPr>
            <w:r/>
            <w:r>
              <w:rPr>
                <w:rFonts w:ascii="宋体" w:hAnsi="宋体" w:eastAsia="宋体"/>
                <w:sz w:val="18"/>
              </w:rPr>
              <w:t>20.1</w:t>
            </w:r>
          </w:p>
        </w:tc>
      </w:tr>
    </w:tbl>
    <w:p/>
    <w:p>
      <w:r>
        <w:rPr>
          <w:rFonts w:ascii="宋体" w:hAnsi="宋体" w:eastAsia="宋体"/>
          <w:sz w:val="21"/>
        </w:rPr>
        <w:t>版本演进清晰展示了知几学习各组件的贡献：（1）引入吉之几校准：+4个游戏（67.2%→70.1%），正向证据积累帮助后续任务；（2）引入凶之几校准：+4个游戏（70.1%→73.1%），负向证据避免重复错误；（3）引入经验持久化：+1个游戏（73.1%→73.9%），跨轮知识累积。三个组件的贡献近似相等，验证了吉凶双向校准的对称价值。</w:t>
      </w:r>
    </w:p>
    <w:p>
      <w:pPr>
        <w:pStyle w:val="Heading2"/>
        <w:spacing w:before="240" w:after="120"/>
        <w:ind w:firstLine="0"/>
      </w:pPr>
      <w:r>
        <w:rPr>
          <w:rFonts w:ascii="黑体" w:hAnsi="黑体" w:eastAsia="黑体"/>
          <w:sz w:val="24"/>
        </w:rPr>
        <w:t>5.3  凶之几的精确归因效果</w:t>
      </w:r>
    </w:p>
    <w:p>
      <w:r>
        <w:rPr>
          <w:rFonts w:ascii="宋体" w:hAnsi="宋体" w:eastAsia="宋体"/>
          <w:sz w:val="21"/>
        </w:rPr>
        <w:t>V10版本相较V9新增的4个成功游戏，清晰展示了凶之几精确归因的威力。在这些游戏中，V9版本由于缺乏负向校准而重复犯错直至超时；V10通过凶之几定位到错误条目并修复后，在相同游戏中迅速成功：</w:t>
      </w:r>
    </w:p>
    <w:p>
      <w:pPr>
        <w:ind w:firstLine="0"/>
        <w:jc w:val="center"/>
      </w:pPr>
      <w:r>
        <w:rPr>
          <w:rFonts w:ascii="宋体" w:hAnsi="宋体" w:eastAsia="宋体"/>
          <w:b/>
          <w:sz w:val="21"/>
        </w:rPr>
        <w:t>表4  凶之几精确归因案例</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2161"/>
            <w:shd w:fill="D9D9D9"/>
          </w:tcPr>
          <w:p>
            <w:pPr>
              <w:ind w:firstLine="0"/>
              <w:jc w:val="center"/>
            </w:pPr>
            <w:r/>
            <w:r>
              <w:rPr>
                <w:rFonts w:ascii="宋体" w:hAnsi="宋体" w:eastAsia="宋体"/>
                <w:b/>
                <w:sz w:val="18"/>
              </w:rPr>
              <w:t>游戏</w:t>
            </w:r>
          </w:p>
        </w:tc>
        <w:tc>
          <w:tcPr>
            <w:tcW w:type="dxa" w:w="2161"/>
            <w:shd w:fill="D9D9D9"/>
          </w:tcPr>
          <w:p>
            <w:pPr>
              <w:ind w:firstLine="0"/>
              <w:jc w:val="center"/>
            </w:pPr>
            <w:r/>
            <w:r>
              <w:rPr>
                <w:rFonts w:ascii="宋体" w:hAnsi="宋体" w:eastAsia="宋体"/>
                <w:b/>
                <w:sz w:val="18"/>
              </w:rPr>
              <w:t>任务描述</w:t>
            </w:r>
          </w:p>
        </w:tc>
        <w:tc>
          <w:tcPr>
            <w:tcW w:type="dxa" w:w="2161"/>
            <w:shd w:fill="D9D9D9"/>
          </w:tcPr>
          <w:p>
            <w:pPr>
              <w:ind w:firstLine="0"/>
              <w:jc w:val="center"/>
            </w:pPr>
            <w:r/>
            <w:r>
              <w:rPr>
                <w:rFonts w:ascii="宋体" w:hAnsi="宋体" w:eastAsia="宋体"/>
                <w:b/>
                <w:sz w:val="18"/>
              </w:rPr>
              <w:t>凶之几定位</w:t>
            </w:r>
          </w:p>
        </w:tc>
        <w:tc>
          <w:tcPr>
            <w:tcW w:type="dxa" w:w="2161"/>
            <w:shd w:fill="D9D9D9"/>
          </w:tcPr>
          <w:p>
            <w:pPr>
              <w:ind w:firstLine="0"/>
              <w:jc w:val="center"/>
            </w:pPr>
            <w:r/>
            <w:r>
              <w:rPr>
                <w:rFonts w:ascii="宋体" w:hAnsi="宋体" w:eastAsia="宋体"/>
                <w:b/>
                <w:sz w:val="18"/>
              </w:rPr>
              <w:t>步数变化</w:t>
            </w:r>
          </w:p>
        </w:tc>
      </w:tr>
      <w:tr>
        <w:tc>
          <w:tcPr>
            <w:tcW w:type="dxa" w:w="2161"/>
          </w:tcPr>
          <w:p>
            <w:pPr>
              <w:ind w:firstLine="0"/>
              <w:jc w:val="center"/>
            </w:pPr>
            <w:r/>
            <w:r>
              <w:rPr>
                <w:rFonts w:ascii="宋体" w:hAnsi="宋体" w:eastAsia="宋体"/>
                <w:sz w:val="18"/>
              </w:rPr>
              <w:t>#41</w:t>
            </w:r>
          </w:p>
        </w:tc>
        <w:tc>
          <w:tcPr>
            <w:tcW w:type="dxa" w:w="2161"/>
          </w:tcPr>
          <w:p>
            <w:pPr>
              <w:ind w:firstLine="0"/>
              <w:jc w:val="center"/>
            </w:pPr>
            <w:r/>
            <w:r>
              <w:rPr>
                <w:rFonts w:ascii="宋体" w:hAnsi="宋体" w:eastAsia="宋体"/>
                <w:sz w:val="18"/>
              </w:rPr>
              <w:t>move salt shaker to drawer</w:t>
            </w:r>
          </w:p>
        </w:tc>
        <w:tc>
          <w:tcPr>
            <w:tcW w:type="dxa" w:w="2161"/>
          </w:tcPr>
          <w:p>
            <w:pPr>
              <w:ind w:firstLine="0"/>
              <w:jc w:val="center"/>
            </w:pPr>
            <w:r/>
            <w:r>
              <w:rPr>
                <w:rFonts w:ascii="宋体" w:hAnsi="宋体" w:eastAsia="宋体"/>
                <w:sz w:val="18"/>
              </w:rPr>
              <w:t>NL解析方向性错误</w:t>
            </w:r>
          </w:p>
        </w:tc>
        <w:tc>
          <w:tcPr>
            <w:tcW w:type="dxa" w:w="2161"/>
          </w:tcPr>
          <w:p>
            <w:pPr>
              <w:ind w:firstLine="0"/>
              <w:jc w:val="center"/>
            </w:pPr>
            <w:r/>
            <w:r>
              <w:rPr>
                <w:rFonts w:ascii="宋体" w:hAnsi="宋体" w:eastAsia="宋体"/>
                <w:sz w:val="18"/>
              </w:rPr>
              <w:t>50→32</w:t>
            </w:r>
          </w:p>
        </w:tc>
      </w:tr>
      <w:tr>
        <w:tc>
          <w:tcPr>
            <w:tcW w:type="dxa" w:w="2161"/>
          </w:tcPr>
          <w:p>
            <w:pPr>
              <w:ind w:firstLine="0"/>
              <w:jc w:val="center"/>
            </w:pPr>
            <w:r/>
            <w:r>
              <w:rPr>
                <w:rFonts w:ascii="宋体" w:hAnsi="宋体" w:eastAsia="宋体"/>
                <w:sz w:val="18"/>
              </w:rPr>
              <w:t>#99</w:t>
            </w:r>
          </w:p>
        </w:tc>
        <w:tc>
          <w:tcPr>
            <w:tcW w:type="dxa" w:w="2161"/>
          </w:tcPr>
          <w:p>
            <w:pPr>
              <w:ind w:firstLine="0"/>
              <w:jc w:val="center"/>
            </w:pPr>
            <w:r/>
            <w:r>
              <w:rPr>
                <w:rFonts w:ascii="宋体" w:hAnsi="宋体" w:eastAsia="宋体"/>
                <w:sz w:val="18"/>
              </w:rPr>
              <w:t>move watch from cabinet to safe</w:t>
            </w:r>
          </w:p>
        </w:tc>
        <w:tc>
          <w:tcPr>
            <w:tcW w:type="dxa" w:w="2161"/>
          </w:tcPr>
          <w:p>
            <w:pPr>
              <w:ind w:firstLine="0"/>
              <w:jc w:val="center"/>
            </w:pPr>
            <w:r/>
            <w:r>
              <w:rPr>
                <w:rFonts w:ascii="宋体" w:hAnsi="宋体" w:eastAsia="宋体"/>
                <w:sz w:val="18"/>
              </w:rPr>
              <w:t>vault→safe同义词缺失</w:t>
            </w:r>
          </w:p>
        </w:tc>
        <w:tc>
          <w:tcPr>
            <w:tcW w:type="dxa" w:w="2161"/>
          </w:tcPr>
          <w:p>
            <w:pPr>
              <w:ind w:firstLine="0"/>
              <w:jc w:val="center"/>
            </w:pPr>
            <w:r/>
            <w:r>
              <w:rPr>
                <w:rFonts w:ascii="宋体" w:hAnsi="宋体" w:eastAsia="宋体"/>
                <w:sz w:val="18"/>
              </w:rPr>
              <w:t>50→5</w:t>
            </w:r>
          </w:p>
        </w:tc>
      </w:tr>
      <w:tr>
        <w:tc>
          <w:tcPr>
            <w:tcW w:type="dxa" w:w="2161"/>
          </w:tcPr>
          <w:p>
            <w:pPr>
              <w:ind w:firstLine="0"/>
              <w:jc w:val="center"/>
            </w:pPr>
            <w:r/>
            <w:r>
              <w:rPr>
                <w:rFonts w:ascii="宋体" w:hAnsi="宋体" w:eastAsia="宋体"/>
                <w:sz w:val="18"/>
              </w:rPr>
              <w:t>#116</w:t>
            </w:r>
          </w:p>
        </w:tc>
        <w:tc>
          <w:tcPr>
            <w:tcW w:type="dxa" w:w="2161"/>
          </w:tcPr>
          <w:p>
            <w:pPr>
              <w:ind w:firstLine="0"/>
              <w:jc w:val="center"/>
            </w:pPr>
            <w:r/>
            <w:r>
              <w:rPr>
                <w:rFonts w:ascii="宋体" w:hAnsi="宋体" w:eastAsia="宋体"/>
                <w:sz w:val="18"/>
              </w:rPr>
              <w:t>take coffee mug, place on desk</w:t>
            </w:r>
          </w:p>
        </w:tc>
        <w:tc>
          <w:tcPr>
            <w:tcW w:type="dxa" w:w="2161"/>
          </w:tcPr>
          <w:p>
            <w:pPr>
              <w:ind w:firstLine="0"/>
              <w:jc w:val="center"/>
            </w:pPr>
            <w:r/>
            <w:r>
              <w:rPr>
                <w:rFonts w:ascii="宋体" w:hAnsi="宋体" w:eastAsia="宋体"/>
                <w:sz w:val="18"/>
              </w:rPr>
              <w:t>NL方向性解析修复</w:t>
            </w:r>
          </w:p>
        </w:tc>
        <w:tc>
          <w:tcPr>
            <w:tcW w:type="dxa" w:w="2161"/>
          </w:tcPr>
          <w:p>
            <w:pPr>
              <w:ind w:firstLine="0"/>
              <w:jc w:val="center"/>
            </w:pPr>
            <w:r/>
            <w:r>
              <w:rPr>
                <w:rFonts w:ascii="宋体" w:hAnsi="宋体" w:eastAsia="宋体"/>
                <w:sz w:val="18"/>
              </w:rPr>
              <w:t>50→11</w:t>
            </w:r>
          </w:p>
        </w:tc>
      </w:tr>
      <w:tr>
        <w:tc>
          <w:tcPr>
            <w:tcW w:type="dxa" w:w="2161"/>
          </w:tcPr>
          <w:p>
            <w:pPr>
              <w:ind w:firstLine="0"/>
              <w:jc w:val="center"/>
            </w:pPr>
            <w:r/>
            <w:r>
              <w:rPr>
                <w:rFonts w:ascii="宋体" w:hAnsi="宋体" w:eastAsia="宋体"/>
                <w:sz w:val="18"/>
              </w:rPr>
              <w:t>#118</w:t>
            </w:r>
          </w:p>
        </w:tc>
        <w:tc>
          <w:tcPr>
            <w:tcW w:type="dxa" w:w="2161"/>
          </w:tcPr>
          <w:p>
            <w:pPr>
              <w:ind w:firstLine="0"/>
              <w:jc w:val="center"/>
            </w:pPr>
            <w:r/>
            <w:r>
              <w:rPr>
                <w:rFonts w:ascii="宋体" w:hAnsi="宋体" w:eastAsia="宋体"/>
                <w:sz w:val="18"/>
              </w:rPr>
              <w:t>take mug from desk shelf to desk</w:t>
            </w:r>
          </w:p>
        </w:tc>
        <w:tc>
          <w:tcPr>
            <w:tcW w:type="dxa" w:w="2161"/>
          </w:tcPr>
          <w:p>
            <w:pPr>
              <w:ind w:firstLine="0"/>
              <w:jc w:val="center"/>
            </w:pPr>
            <w:r/>
            <w:r>
              <w:rPr>
                <w:rFonts w:ascii="宋体" w:hAnsi="宋体" w:eastAsia="宋体"/>
                <w:sz w:val="18"/>
              </w:rPr>
              <w:t>NL方向性解析修复</w:t>
            </w:r>
          </w:p>
        </w:tc>
        <w:tc>
          <w:tcPr>
            <w:tcW w:type="dxa" w:w="2161"/>
          </w:tcPr>
          <w:p>
            <w:pPr>
              <w:ind w:firstLine="0"/>
              <w:jc w:val="center"/>
            </w:pPr>
            <w:r/>
            <w:r>
              <w:rPr>
                <w:rFonts w:ascii="宋体" w:hAnsi="宋体" w:eastAsia="宋体"/>
                <w:sz w:val="18"/>
              </w:rPr>
              <w:t>50→11</w:t>
            </w:r>
          </w:p>
        </w:tc>
      </w:tr>
      <w:tr>
        <w:tc>
          <w:tcPr>
            <w:tcW w:type="dxa" w:w="2161"/>
          </w:tcPr>
          <w:p>
            <w:pPr>
              <w:ind w:firstLine="0"/>
              <w:jc w:val="center"/>
            </w:pPr>
            <w:r/>
            <w:r>
              <w:rPr>
                <w:rFonts w:ascii="宋体" w:hAnsi="宋体" w:eastAsia="宋体"/>
                <w:sz w:val="18"/>
              </w:rPr>
              <w:t>#128</w:t>
            </w:r>
          </w:p>
        </w:tc>
        <w:tc>
          <w:tcPr>
            <w:tcW w:type="dxa" w:w="2161"/>
          </w:tcPr>
          <w:p>
            <w:pPr>
              <w:ind w:firstLine="0"/>
              <w:jc w:val="center"/>
            </w:pPr>
            <w:r/>
            <w:r>
              <w:rPr>
                <w:rFonts w:ascii="宋体" w:hAnsi="宋体" w:eastAsia="宋体"/>
                <w:sz w:val="18"/>
              </w:rPr>
              <w:t>transfer CDs from desk to vault</w:t>
            </w:r>
          </w:p>
        </w:tc>
        <w:tc>
          <w:tcPr>
            <w:tcW w:type="dxa" w:w="2161"/>
          </w:tcPr>
          <w:p>
            <w:pPr>
              <w:ind w:firstLine="0"/>
              <w:jc w:val="center"/>
            </w:pPr>
            <w:r/>
            <w:r>
              <w:rPr>
                <w:rFonts w:ascii="宋体" w:hAnsi="宋体" w:eastAsia="宋体"/>
                <w:sz w:val="18"/>
              </w:rPr>
              <w:t>vault→safe同义词缺失</w:t>
            </w:r>
          </w:p>
        </w:tc>
        <w:tc>
          <w:tcPr>
            <w:tcW w:type="dxa" w:w="2161"/>
          </w:tcPr>
          <w:p>
            <w:pPr>
              <w:ind w:firstLine="0"/>
              <w:jc w:val="center"/>
            </w:pPr>
            <w:r/>
            <w:r>
              <w:rPr>
                <w:rFonts w:ascii="宋体" w:hAnsi="宋体" w:eastAsia="宋体"/>
                <w:sz w:val="18"/>
              </w:rPr>
              <w:t>50→11</w:t>
            </w:r>
          </w:p>
        </w:tc>
      </w:tr>
    </w:tbl>
    <w:p/>
    <w:p>
      <w:r>
        <w:rPr>
          <w:rFonts w:ascii="宋体" w:hAnsi="宋体" w:eastAsia="宋体"/>
          <w:sz w:val="21"/>
        </w:rPr>
        <w:t>以游戏#99为例：任务要求将手表从柜子移到safe，但任务描述使用了vault一词。V9版本中，系统不识别vault=safe的同义词关系，在错误的搜索空间中耗尽50步。在前序失败游戏（如#128）中，凶之几机制察觉到"反复搜索vault但环境中无此实体"的异常，触发同义词推断，建立S("vault")={"safe"}映射。此后游戏#99仅用5步即成功——先验矩阵的一个条目修正，节省了45步无效探索。</w:t>
      </w:r>
    </w:p>
    <w:p>
      <w:pPr>
        <w:pStyle w:val="Heading2"/>
        <w:spacing w:before="240" w:after="120"/>
        <w:ind w:firstLine="0"/>
      </w:pPr>
      <w:r>
        <w:rPr>
          <w:rFonts w:ascii="黑体" w:hAnsi="黑体" w:eastAsia="黑体"/>
          <w:sz w:val="24"/>
        </w:rPr>
        <w:t>5.4  步数节省分析</w:t>
      </w:r>
    </w:p>
    <w:p>
      <w:r>
        <w:rPr>
          <w:rFonts w:ascii="宋体" w:hAnsi="宋体" w:eastAsia="宋体"/>
          <w:sz w:val="21"/>
        </w:rPr>
        <w:t>知几学习不仅提高了成功率，还显著降低了成功游戏的平均步数（从21.5降至20.1）。步数节省主要来源于凶之几的否定先验——当系统知道"物体不在某位置"（通过先前的凶之几校准），它会跳过该位置直接搜索下一个候选位置，避免了无效的探索步骤。</w:t>
      </w:r>
    </w:p>
    <w:p>
      <w:r>
        <w:rPr>
          <w:rFonts w:ascii="宋体" w:hAnsi="宋体" w:eastAsia="宋体"/>
          <w:sz w:val="21"/>
        </w:rPr>
        <w:t>从信息论角度看，每一条否定证据（"X不在A"）都缩小了搜索空间。如果有N个可能位置，一条否定证据将搜索空间从N缩小到N-1，期望步数减少1/N。积累k条否定证据后，期望步数减少Σᵢ₌₁ᵏ 1/(N-i+1) ≈ k/N。在ALFWorld中典型的N≈10、k≈3的情况下，期望步数减少约30%——这与实验观察到的步数降低（21.5→20.1，约6.5%）一致（因为只有部分游戏涉及位置搜索阶段）。</w:t>
      </w:r>
    </w:p>
    <w:p>
      <w:pPr>
        <w:pStyle w:val="Heading2"/>
        <w:spacing w:before="240" w:after="120"/>
        <w:ind w:firstLine="0"/>
      </w:pPr>
      <w:r>
        <w:rPr>
          <w:rFonts w:ascii="黑体" w:hAnsi="黑体" w:eastAsia="黑体"/>
          <w:sz w:val="24"/>
        </w:rPr>
        <w:t>5.5  方法对比</w:t>
      </w:r>
    </w:p>
    <w:p>
      <w:r>
        <w:rPr>
          <w:rFonts w:ascii="宋体" w:hAnsi="宋体" w:eastAsia="宋体"/>
          <w:sz w:val="21"/>
        </w:rPr>
        <w:t>我们将知几学习与当前主流的具身智能方法进行对比：</w:t>
      </w:r>
    </w:p>
    <w:p>
      <w:pPr>
        <w:ind w:firstLine="0"/>
        <w:jc w:val="center"/>
      </w:pPr>
      <w:r>
        <w:rPr>
          <w:rFonts w:ascii="宋体" w:hAnsi="宋体" w:eastAsia="宋体"/>
          <w:b/>
          <w:sz w:val="21"/>
        </w:rPr>
        <w:t>表5  方法对比</w:t>
      </w:r>
    </w:p>
    <w:tbl>
      <w:tblPr>
        <w:tblStyle w:val="TableGrid"/>
        <w:tblW w:type="auto" w:w="0"/>
        <w:jc w:val="center"/>
        <w:tblLook w:firstColumn="1" w:firstRow="1" w:lastColumn="0" w:lastRow="0" w:noHBand="0" w:noVBand="1" w:val="04A0"/>
      </w:tblPr>
      <w:tblGrid>
        <w:gridCol w:w="1729"/>
        <w:gridCol w:w="1729"/>
        <w:gridCol w:w="1729"/>
        <w:gridCol w:w="1729"/>
        <w:gridCol w:w="1729"/>
      </w:tblGrid>
      <w:tr>
        <w:tc>
          <w:tcPr>
            <w:tcW w:type="dxa" w:w="1729"/>
            <w:shd w:fill="D9D9D9"/>
          </w:tcPr>
          <w:p>
            <w:pPr>
              <w:ind w:firstLine="0"/>
              <w:jc w:val="center"/>
            </w:pPr>
            <w:r/>
            <w:r>
              <w:rPr>
                <w:rFonts w:ascii="宋体" w:hAnsi="宋体" w:eastAsia="宋体"/>
                <w:b/>
                <w:sz w:val="18"/>
              </w:rPr>
              <w:t>方法</w:t>
            </w:r>
          </w:p>
        </w:tc>
        <w:tc>
          <w:tcPr>
            <w:tcW w:type="dxa" w:w="1729"/>
            <w:shd w:fill="D9D9D9"/>
          </w:tcPr>
          <w:p>
            <w:pPr>
              <w:ind w:firstLine="0"/>
              <w:jc w:val="center"/>
            </w:pPr>
            <w:r/>
            <w:r>
              <w:rPr>
                <w:rFonts w:ascii="宋体" w:hAnsi="宋体" w:eastAsia="宋体"/>
                <w:b/>
                <w:sz w:val="18"/>
              </w:rPr>
              <w:t>成功率</w:t>
            </w:r>
          </w:p>
        </w:tc>
        <w:tc>
          <w:tcPr>
            <w:tcW w:type="dxa" w:w="1729"/>
            <w:shd w:fill="D9D9D9"/>
          </w:tcPr>
          <w:p>
            <w:pPr>
              <w:ind w:firstLine="0"/>
              <w:jc w:val="center"/>
            </w:pPr>
            <w:r/>
            <w:r>
              <w:rPr>
                <w:rFonts w:ascii="宋体" w:hAnsi="宋体" w:eastAsia="宋体"/>
                <w:b/>
                <w:sz w:val="18"/>
              </w:rPr>
              <w:t>需LLM</w:t>
            </w:r>
          </w:p>
        </w:tc>
        <w:tc>
          <w:tcPr>
            <w:tcW w:type="dxa" w:w="1729"/>
            <w:shd w:fill="D9D9D9"/>
          </w:tcPr>
          <w:p>
            <w:pPr>
              <w:ind w:firstLine="0"/>
              <w:jc w:val="center"/>
            </w:pPr>
            <w:r/>
            <w:r>
              <w:rPr>
                <w:rFonts w:ascii="宋体" w:hAnsi="宋体" w:eastAsia="宋体"/>
                <w:b/>
                <w:sz w:val="18"/>
              </w:rPr>
              <w:t>可解释</w:t>
            </w:r>
          </w:p>
        </w:tc>
        <w:tc>
          <w:tcPr>
            <w:tcW w:type="dxa" w:w="1729"/>
            <w:shd w:fill="D9D9D9"/>
          </w:tcPr>
          <w:p>
            <w:pPr>
              <w:ind w:firstLine="0"/>
              <w:jc w:val="center"/>
            </w:pPr>
            <w:r/>
            <w:r>
              <w:rPr>
                <w:rFonts w:ascii="宋体" w:hAnsi="宋体" w:eastAsia="宋体"/>
                <w:b/>
                <w:sz w:val="18"/>
              </w:rPr>
              <w:t>确定性</w:t>
            </w:r>
          </w:p>
        </w:tc>
      </w:tr>
      <w:tr>
        <w:tc>
          <w:tcPr>
            <w:tcW w:type="dxa" w:w="1729"/>
          </w:tcPr>
          <w:p>
            <w:pPr>
              <w:ind w:firstLine="0"/>
              <w:jc w:val="center"/>
            </w:pPr>
            <w:r/>
            <w:r>
              <w:rPr>
                <w:rFonts w:ascii="宋体" w:hAnsi="宋体" w:eastAsia="宋体"/>
                <w:sz w:val="18"/>
              </w:rPr>
              <w:t>ReAct (GPT-4)[6]</w:t>
            </w:r>
          </w:p>
        </w:tc>
        <w:tc>
          <w:tcPr>
            <w:tcW w:type="dxa" w:w="1729"/>
          </w:tcPr>
          <w:p>
            <w:pPr>
              <w:ind w:firstLine="0"/>
              <w:jc w:val="center"/>
            </w:pPr>
            <w:r/>
            <w:r>
              <w:rPr>
                <w:rFonts w:ascii="宋体" w:hAnsi="宋体" w:eastAsia="宋体"/>
                <w:sz w:val="18"/>
              </w:rPr>
              <w:t>71%</w:t>
            </w:r>
          </w:p>
        </w:tc>
        <w:tc>
          <w:tcPr>
            <w:tcW w:type="dxa" w:w="1729"/>
          </w:tcPr>
          <w:p>
            <w:pPr>
              <w:ind w:firstLine="0"/>
              <w:jc w:val="center"/>
            </w:pPr>
            <w:r/>
            <w:r>
              <w:rPr>
                <w:rFonts w:ascii="宋体" w:hAnsi="宋体" w:eastAsia="宋体"/>
                <w:sz w:val="18"/>
              </w:rPr>
              <w:t>是</w:t>
            </w:r>
          </w:p>
        </w:tc>
        <w:tc>
          <w:tcPr>
            <w:tcW w:type="dxa" w:w="1729"/>
          </w:tcPr>
          <w:p>
            <w:pPr>
              <w:ind w:firstLine="0"/>
              <w:jc w:val="center"/>
            </w:pPr>
            <w:r/>
            <w:r>
              <w:rPr>
                <w:rFonts w:ascii="宋体" w:hAnsi="宋体" w:eastAsia="宋体"/>
                <w:sz w:val="18"/>
              </w:rPr>
              <w:t>否</w:t>
            </w:r>
          </w:p>
        </w:tc>
        <w:tc>
          <w:tcPr>
            <w:tcW w:type="dxa" w:w="1729"/>
          </w:tcPr>
          <w:p>
            <w:pPr>
              <w:ind w:firstLine="0"/>
              <w:jc w:val="center"/>
            </w:pPr>
            <w:r/>
            <w:r>
              <w:rPr>
                <w:rFonts w:ascii="宋体" w:hAnsi="宋体" w:eastAsia="宋体"/>
                <w:sz w:val="18"/>
              </w:rPr>
              <w:t>否</w:t>
            </w:r>
          </w:p>
        </w:tc>
      </w:tr>
      <w:tr>
        <w:tc>
          <w:tcPr>
            <w:tcW w:type="dxa" w:w="1729"/>
          </w:tcPr>
          <w:p>
            <w:pPr>
              <w:ind w:firstLine="0"/>
              <w:jc w:val="center"/>
            </w:pPr>
            <w:r/>
            <w:r>
              <w:rPr>
                <w:rFonts w:ascii="宋体" w:hAnsi="宋体" w:eastAsia="宋体"/>
                <w:sz w:val="18"/>
              </w:rPr>
              <w:t>Reflexion[7]</w:t>
            </w:r>
          </w:p>
        </w:tc>
        <w:tc>
          <w:tcPr>
            <w:tcW w:type="dxa" w:w="1729"/>
          </w:tcPr>
          <w:p>
            <w:pPr>
              <w:ind w:firstLine="0"/>
              <w:jc w:val="center"/>
            </w:pPr>
            <w:r/>
            <w:r>
              <w:rPr>
                <w:rFonts w:ascii="宋体" w:hAnsi="宋体" w:eastAsia="宋体"/>
                <w:sz w:val="18"/>
              </w:rPr>
              <w:t>77%</w:t>
            </w:r>
          </w:p>
        </w:tc>
        <w:tc>
          <w:tcPr>
            <w:tcW w:type="dxa" w:w="1729"/>
          </w:tcPr>
          <w:p>
            <w:pPr>
              <w:ind w:firstLine="0"/>
              <w:jc w:val="center"/>
            </w:pPr>
            <w:r/>
            <w:r>
              <w:rPr>
                <w:rFonts w:ascii="宋体" w:hAnsi="宋体" w:eastAsia="宋体"/>
                <w:sz w:val="18"/>
              </w:rPr>
              <w:t>是</w:t>
            </w:r>
          </w:p>
        </w:tc>
        <w:tc>
          <w:tcPr>
            <w:tcW w:type="dxa" w:w="1729"/>
          </w:tcPr>
          <w:p>
            <w:pPr>
              <w:ind w:firstLine="0"/>
              <w:jc w:val="center"/>
            </w:pPr>
            <w:r/>
            <w:r>
              <w:rPr>
                <w:rFonts w:ascii="宋体" w:hAnsi="宋体" w:eastAsia="宋体"/>
                <w:sz w:val="18"/>
              </w:rPr>
              <w:t>否</w:t>
            </w:r>
          </w:p>
        </w:tc>
        <w:tc>
          <w:tcPr>
            <w:tcW w:type="dxa" w:w="1729"/>
          </w:tcPr>
          <w:p>
            <w:pPr>
              <w:ind w:firstLine="0"/>
              <w:jc w:val="center"/>
            </w:pPr>
            <w:r/>
            <w:r>
              <w:rPr>
                <w:rFonts w:ascii="宋体" w:hAnsi="宋体" w:eastAsia="宋体"/>
                <w:sz w:val="18"/>
              </w:rPr>
              <w:t>否</w:t>
            </w:r>
          </w:p>
        </w:tc>
      </w:tr>
      <w:tr>
        <w:tc>
          <w:tcPr>
            <w:tcW w:type="dxa" w:w="1729"/>
          </w:tcPr>
          <w:p>
            <w:pPr>
              <w:ind w:firstLine="0"/>
              <w:jc w:val="center"/>
            </w:pPr>
            <w:r/>
            <w:r>
              <w:rPr>
                <w:rFonts w:ascii="宋体" w:hAnsi="宋体" w:eastAsia="宋体"/>
                <w:sz w:val="18"/>
              </w:rPr>
              <w:t>EmbodiSkill (27B)[8]</w:t>
            </w:r>
          </w:p>
        </w:tc>
        <w:tc>
          <w:tcPr>
            <w:tcW w:type="dxa" w:w="1729"/>
          </w:tcPr>
          <w:p>
            <w:pPr>
              <w:ind w:firstLine="0"/>
              <w:jc w:val="center"/>
            </w:pPr>
            <w:r/>
            <w:r>
              <w:rPr>
                <w:rFonts w:ascii="宋体" w:hAnsi="宋体" w:eastAsia="宋体"/>
                <w:sz w:val="18"/>
              </w:rPr>
              <w:t>93.28%</w:t>
            </w:r>
          </w:p>
        </w:tc>
        <w:tc>
          <w:tcPr>
            <w:tcW w:type="dxa" w:w="1729"/>
          </w:tcPr>
          <w:p>
            <w:pPr>
              <w:ind w:firstLine="0"/>
              <w:jc w:val="center"/>
            </w:pPr>
            <w:r/>
            <w:r>
              <w:rPr>
                <w:rFonts w:ascii="宋体" w:hAnsi="宋体" w:eastAsia="宋体"/>
                <w:sz w:val="18"/>
              </w:rPr>
              <w:t>是</w:t>
            </w:r>
          </w:p>
        </w:tc>
        <w:tc>
          <w:tcPr>
            <w:tcW w:type="dxa" w:w="1729"/>
          </w:tcPr>
          <w:p>
            <w:pPr>
              <w:ind w:firstLine="0"/>
              <w:jc w:val="center"/>
            </w:pPr>
            <w:r/>
            <w:r>
              <w:rPr>
                <w:rFonts w:ascii="宋体" w:hAnsi="宋体" w:eastAsia="宋体"/>
                <w:sz w:val="18"/>
              </w:rPr>
              <w:t>否</w:t>
            </w:r>
          </w:p>
        </w:tc>
        <w:tc>
          <w:tcPr>
            <w:tcW w:type="dxa" w:w="1729"/>
          </w:tcPr>
          <w:p>
            <w:pPr>
              <w:ind w:firstLine="0"/>
              <w:jc w:val="center"/>
            </w:pPr>
            <w:r/>
            <w:r>
              <w:rPr>
                <w:rFonts w:ascii="宋体" w:hAnsi="宋体" w:eastAsia="宋体"/>
                <w:sz w:val="18"/>
              </w:rPr>
              <w:t>否</w:t>
            </w:r>
          </w:p>
        </w:tc>
      </w:tr>
      <w:tr>
        <w:tc>
          <w:tcPr>
            <w:tcW w:type="dxa" w:w="1729"/>
          </w:tcPr>
          <w:p>
            <w:pPr>
              <w:ind w:firstLine="0"/>
              <w:jc w:val="center"/>
            </w:pPr>
            <w:r/>
            <w:r>
              <w:rPr>
                <w:rFonts w:ascii="宋体" w:hAnsi="宋体" w:eastAsia="宋体"/>
                <w:sz w:val="18"/>
              </w:rPr>
              <w:t>YLYW知几学习（本文）</w:t>
            </w:r>
          </w:p>
        </w:tc>
        <w:tc>
          <w:tcPr>
            <w:tcW w:type="dxa" w:w="1729"/>
          </w:tcPr>
          <w:p>
            <w:pPr>
              <w:ind w:firstLine="0"/>
              <w:jc w:val="center"/>
            </w:pPr>
            <w:r/>
            <w:r>
              <w:rPr>
                <w:rFonts w:ascii="宋体" w:hAnsi="宋体" w:eastAsia="宋体"/>
                <w:sz w:val="18"/>
              </w:rPr>
              <w:t>73.9%</w:t>
            </w:r>
          </w:p>
        </w:tc>
        <w:tc>
          <w:tcPr>
            <w:tcW w:type="dxa" w:w="1729"/>
          </w:tcPr>
          <w:p>
            <w:pPr>
              <w:ind w:firstLine="0"/>
              <w:jc w:val="center"/>
            </w:pPr>
            <w:r/>
            <w:r>
              <w:rPr>
                <w:rFonts w:ascii="宋体" w:hAnsi="宋体" w:eastAsia="宋体"/>
                <w:sz w:val="18"/>
              </w:rPr>
              <w:t>否</w:t>
            </w:r>
          </w:p>
        </w:tc>
        <w:tc>
          <w:tcPr>
            <w:tcW w:type="dxa" w:w="1729"/>
          </w:tcPr>
          <w:p>
            <w:pPr>
              <w:ind w:firstLine="0"/>
              <w:jc w:val="center"/>
            </w:pPr>
            <w:r/>
            <w:r>
              <w:rPr>
                <w:rFonts w:ascii="宋体" w:hAnsi="宋体" w:eastAsia="宋体"/>
                <w:sz w:val="18"/>
              </w:rPr>
              <w:t>是</w:t>
            </w:r>
          </w:p>
        </w:tc>
        <w:tc>
          <w:tcPr>
            <w:tcW w:type="dxa" w:w="1729"/>
          </w:tcPr>
          <w:p>
            <w:pPr>
              <w:ind w:firstLine="0"/>
              <w:jc w:val="center"/>
            </w:pPr>
            <w:r/>
            <w:r>
              <w:rPr>
                <w:rFonts w:ascii="宋体" w:hAnsi="宋体" w:eastAsia="宋体"/>
                <w:sz w:val="18"/>
              </w:rPr>
              <w:t>是</w:t>
            </w:r>
          </w:p>
        </w:tc>
      </w:tr>
    </w:tbl>
    <w:p/>
    <w:p>
      <w:r>
        <w:rPr>
          <w:rFonts w:ascii="宋体" w:hAnsi="宋体" w:eastAsia="宋体"/>
          <w:sz w:val="21"/>
        </w:rPr>
        <w:t>表4的对比揭示了一个重要事实：本文方法在不使用任何大语言模型的情况下，达到了与GPT-4驱动的ReAct方法相当的成功率（73.9% vs 71%），并且具有完全的可解释性和确定性。虽然Reflexion和EmbodiSkill的成功率更高，但它们分别依赖GPT-4的反思生成能力和27B参数量的LLM——这意味着它们的"学习"本质上是利用LLM的世界知识，而非一种独立的学习范式。</w:t>
      </w:r>
    </w:p>
    <w:p>
      <w:r>
        <w:rPr>
          <w:rFonts w:ascii="宋体" w:hAnsi="宋体" w:eastAsia="宋体"/>
          <w:sz w:val="21"/>
        </w:rPr>
        <w:t>知几学习的价值不在于"在排行榜上胜过LLM方法"，而在于证明：一种正确的学习范式可以在极少的计算资源下（CPU、800行代码）达到合理的性能水平，同时提供LLM方法无法提供的可解释性和确定性保证。在安全敏感的物理世界部署场景中，这些属性可能比几个百分点的成功率更为重要。</w:t>
      </w:r>
    </w:p>
    <w:p>
      <w:pPr>
        <w:pStyle w:val="Heading1"/>
        <w:spacing w:before="240" w:after="120"/>
        <w:ind w:firstLine="0"/>
      </w:pPr>
      <w:r>
        <w:rPr>
          <w:rFonts w:ascii="黑体" w:hAnsi="黑体" w:eastAsia="黑体"/>
          <w:sz w:val="28"/>
        </w:rPr>
        <w:t>6  与强化学习的对比分析</w:t>
      </w:r>
    </w:p>
    <w:p>
      <w:pPr>
        <w:pStyle w:val="Heading2"/>
        <w:spacing w:before="240" w:after="120"/>
        <w:ind w:firstLine="0"/>
      </w:pPr>
      <w:r>
        <w:rPr>
          <w:rFonts w:ascii="黑体" w:hAnsi="黑体" w:eastAsia="黑体"/>
          <w:sz w:val="24"/>
        </w:rPr>
        <w:t>6.1  精确更新 vs 全局梯度</w:t>
      </w:r>
    </w:p>
    <w:p>
      <w:r>
        <w:rPr>
          <w:rFonts w:ascii="宋体" w:hAnsi="宋体" w:eastAsia="宋体"/>
          <w:sz w:val="21"/>
        </w:rPr>
        <w:t>知几学习与RL最本质的区别在于更新操作的精确性。我们可以通过一个具体例子来说明：假设智能体需要学习"杯子通常在台面上"这一知识。</w:t>
      </w:r>
    </w:p>
    <w:p>
      <w:r>
        <w:rPr>
          <w:rFonts w:ascii="宋体" w:hAnsi="宋体" w:eastAsia="宋体"/>
          <w:sz w:val="21"/>
        </w:rPr>
        <w:t>在RL框架下：智能体需要在包含数千个参数的策略网络中，通过数百次"在台面找到杯子→获得奖赏"的经历，使梯度信号逐渐在相关参数子集中积累统计显著性。问题在于：每次梯度更新都影响全部参数，有效信号被噪声稀释。</w:t>
      </w:r>
    </w:p>
    <w:p>
      <w:r>
        <w:rPr>
          <w:rFonts w:ascii="宋体" w:hAnsi="宋体" w:eastAsia="宋体"/>
          <w:sz w:val="21"/>
        </w:rPr>
        <w:t>在知几学习框架下：智能体在台面找到杯子的那一刻，直接执行P["mug"]["countertop"] += 1.0。一次更新，信息完整无噪声，后续所有涉及"寻找杯子"的任务立即受益。</w:t>
      </w:r>
    </w:p>
    <w:p>
      <w:pPr>
        <w:pStyle w:val="Heading2"/>
        <w:spacing w:before="240" w:after="120"/>
        <w:ind w:firstLine="0"/>
      </w:pPr>
      <w:r>
        <w:rPr>
          <w:rFonts w:ascii="黑体" w:hAnsi="黑体" w:eastAsia="黑体"/>
          <w:sz w:val="24"/>
        </w:rPr>
        <w:t>6.2  1次精确归因 ≥ 10⁴次统计平均</w:t>
      </w:r>
    </w:p>
    <w:p>
      <w:r>
        <w:rPr>
          <w:rFonts w:ascii="宋体" w:hAnsi="宋体" w:eastAsia="宋体"/>
          <w:sz w:val="21"/>
        </w:rPr>
        <w:t>我们可以对这一效率差异给出半定量的估计。假设RL策略网络有10⁶个参数，其中与"杯子-台面"关系直接相关的有效参数约10个。每次梯度更新中，这10个参数获得的有效信号占比约10/10⁶ = 10⁻⁵。要使有效信号超过噪声（信噪比&gt;1），需要约(10⁶/10)² = 10¹⁰次样本（根据中心极限定理）。即使考虑最优化的RL算法（如PPO的importance sampling），效率提升约10³倍，仍需约10⁷次样本。</w:t>
      </w:r>
    </w:p>
    <w:p>
      <w:r>
        <w:rPr>
          <w:rFonts w:ascii="宋体" w:hAnsi="宋体" w:eastAsia="宋体"/>
          <w:sz w:val="21"/>
        </w:rPr>
        <w:t>而知几学习仅需1次精确观察。效率比约为10⁷:1——即一次精确归因的信息等价于RL一千万次梯度更新。当然，这一估计基于特定假设（矩阵条目与网络参数的对应关系），但量级差异是稳健的：精确更新相对于全局梯度的信息效率优势至少在10³~10⁷量级。</w:t>
      </w:r>
    </w:p>
    <w:p>
      <w:pPr>
        <w:pStyle w:val="Heading2"/>
        <w:spacing w:before="240" w:after="120"/>
        <w:ind w:firstLine="0"/>
      </w:pPr>
      <w:r>
        <w:rPr>
          <w:rFonts w:ascii="黑体" w:hAnsi="黑体" w:eastAsia="黑体"/>
          <w:sz w:val="24"/>
        </w:rPr>
        <w:t>6.3  可解释性：学习效率的前提而非附加品</w:t>
      </w:r>
    </w:p>
    <w:p>
      <w:r>
        <w:rPr>
          <w:rFonts w:ascii="宋体" w:hAnsi="宋体" w:eastAsia="宋体"/>
          <w:sz w:val="21"/>
        </w:rPr>
        <w:t>上述分析揭示了一个深刻的联系：学习效率（精确 vs 全局更新）和可解释性（能否定位具体条目）之间存在因果关系，而非仅仅相关。</w:t>
      </w:r>
    </w:p>
    <w:p>
      <w:r>
        <w:rPr>
          <w:rFonts w:ascii="宋体" w:hAnsi="宋体" w:eastAsia="宋体"/>
          <w:sz w:val="21"/>
        </w:rPr>
        <w:t>具体推理链条：可解释的知识表示 → 能够进行因果归因 → 能够定位到精确条目 → 能够执行精确更新 → 高信息效率。这个链条中的每一步都是逻辑必然，不是统计相关。因此，可解释性不是"好处之一"——它是知几学习整个效率优势的逻辑源头。</w:t>
      </w:r>
    </w:p>
    <w:p>
      <w:r>
        <w:rPr>
          <w:rFonts w:ascii="宋体" w:hAnsi="宋体" w:eastAsia="宋体"/>
          <w:sz w:val="21"/>
        </w:rPr>
        <w:t>这一发现对AI系统设计具有深远启示：如果我们追求的是"高效地从少量经验中学习"，那么可解释性不是可选的"锦上添花"，而是必须的"骨架结构"。黑箱系统注定了全局更新，全局更新注定了低信息效率，低信息效率注定了数据饥渴——这是一条不可打破的因果链。</w:t>
      </w:r>
    </w:p>
    <w:p>
      <w:pPr>
        <w:pStyle w:val="Heading2"/>
        <w:spacing w:before="240" w:after="120"/>
        <w:ind w:firstLine="0"/>
      </w:pPr>
      <w:r>
        <w:rPr>
          <w:rFonts w:ascii="黑体" w:hAnsi="黑体" w:eastAsia="黑体"/>
          <w:sz w:val="24"/>
        </w:rPr>
        <w:t>6.4  互补视角：知几学习=系统1，RL=系统2</w:t>
      </w:r>
    </w:p>
    <w:p>
      <w:r>
        <w:rPr>
          <w:rFonts w:ascii="宋体" w:hAnsi="宋体"/>
          <w:sz w:val="21"/>
        </w:rPr>
        <w:t>借用Kahneman的双系统理论</w:t>
      </w:r>
      <w:r>
        <w:rPr>
          <w:rFonts w:ascii="宋体" w:hAnsi="宋体"/>
          <w:sz w:val="16"/>
          <w:vertAlign w:val="superscript"/>
        </w:rPr>
        <w:t>[9]</w:t>
      </w:r>
      <w:r>
        <w:rPr>
          <w:rFonts w:ascii="宋体" w:hAnsi="宋体"/>
          <w:sz w:val="21"/>
        </w:rPr>
        <w:t>，我们可以将知几学习和RL定位为互补的学习范式：</w:t>
      </w:r>
    </w:p>
    <w:p>
      <w:r>
        <w:rPr>
          <w:rFonts w:ascii="宋体" w:hAnsi="宋体" w:eastAsia="宋体"/>
          <w:sz w:val="21"/>
        </w:rPr>
        <w:t>知几学习对应系统1（快速、直觉、自动）：基于先验知识的即时决策，通过少量精确校准快速适应。适用于结构化程度高、可解释性强的领域。响应速度快（查表操作），但表达能力受限于矩阵结构。</w:t>
      </w:r>
    </w:p>
    <w:p>
      <w:r>
        <w:rPr>
          <w:rFonts w:ascii="宋体" w:hAnsi="宋体" w:eastAsia="宋体"/>
          <w:sz w:val="21"/>
        </w:rPr>
        <w:t>RL对应系统2（缓慢、理性、通用）：从零开始探索任意策略空间，通过大量统计积累发现最优解。适用于非结构化、复杂涌现的领域。学习速度慢，但表达能力不受限。</w:t>
      </w:r>
    </w:p>
    <w:p>
      <w:r>
        <w:rPr>
          <w:rFonts w:ascii="宋体" w:hAnsi="宋体" w:eastAsia="宋体"/>
          <w:sz w:val="21"/>
        </w:rPr>
        <w:t>理想的智能系统应当同时具备两种能力：知几学习处理已有先验知识覆盖的"常规"场景（快速、高效、可解释），RL处理先验知识完全空白的"全新"场景（缓慢但通用）。两者的边界由先验知识的覆盖率自然界定——当先验矩阵对当前场景有条目覆盖时启用知几学习，当所有条目返回"无先验"时退化为RL式探索。这一动态切换机制是我们未来工作的重要方向。</w:t>
      </w:r>
    </w:p>
    <w:p>
      <w:pPr>
        <w:pStyle w:val="Heading1"/>
        <w:spacing w:before="240" w:after="120"/>
        <w:ind w:firstLine="0"/>
      </w:pPr>
      <w:r>
        <w:rPr>
          <w:rFonts w:ascii="黑体" w:hAnsi="黑体" w:eastAsia="黑体"/>
          <w:sz w:val="28"/>
        </w:rPr>
        <w:t>7  讨论与结论</w:t>
      </w:r>
    </w:p>
    <w:p>
      <w:pPr>
        <w:pStyle w:val="Heading2"/>
        <w:spacing w:before="240" w:after="120"/>
        <w:ind w:firstLine="0"/>
      </w:pPr>
      <w:r>
        <w:rPr>
          <w:rFonts w:ascii="黑体" w:hAnsi="黑体" w:eastAsia="黑体"/>
          <w:sz w:val="24"/>
        </w:rPr>
        <w:t>7.1  贡献总结</w:t>
      </w:r>
    </w:p>
    <w:p>
      <w:r>
        <w:rPr>
          <w:rFonts w:ascii="宋体" w:hAnsi="宋体" w:eastAsia="宋体"/>
          <w:sz w:val="21"/>
        </w:rPr>
        <w:t>本文的核心贡献可以概括为以下五个方面：</w:t>
      </w:r>
    </w:p>
    <w:p>
      <w:r>
        <w:rPr>
          <w:rFonts w:ascii="宋体" w:hAnsi="宋体" w:eastAsia="宋体"/>
          <w:sz w:val="21"/>
        </w:rPr>
        <w:t>第一，提出知几学习统一范式。将从成功中学习（吉之几）和从失败中学习（凶之几）统一为同一种"知几"能力的两种方向应用，消除了以往将"正向学习"和"负向学习"视为独立机制的理论割裂。</w:t>
      </w:r>
    </w:p>
    <w:p>
      <w:r>
        <w:rPr>
          <w:rFonts w:ascii="宋体" w:hAnsi="宋体" w:eastAsia="宋体"/>
          <w:sz w:val="21"/>
        </w:rPr>
        <w:t>第二，建立对称校准理论模型。给出统一数学公式K = Ω ⊕ ΔK(D)，证明吉凶双向校准的操作形式完全对称（matrix[key] += reward × weight），区别仅在于reward的符号。</w:t>
      </w:r>
    </w:p>
    <w:p>
      <w:r>
        <w:rPr>
          <w:rFonts w:ascii="宋体" w:hAnsi="宋体" w:eastAsia="宋体"/>
          <w:sz w:val="21"/>
        </w:rPr>
        <w:t>第三，证明可解释性是精确学习的逻辑前提。通过严格的推理链（可解释→条目定位→精确更新→高效率）证明可解释性与学习效率之间存在因果关系，而非仅仅相关。</w:t>
      </w:r>
    </w:p>
    <w:p>
      <w:r>
        <w:rPr>
          <w:rFonts w:ascii="宋体" w:hAnsi="宋体" w:eastAsia="宋体"/>
          <w:sz w:val="21"/>
        </w:rPr>
        <w:t>第四，揭示与多巴胺系统的结构性同构。建立知几学习的对称校准与多巴胺RPE机制之间的六重映射关系，表明知几学习不是人为设计的技巧，而是对生物学习机制的原理性复现。</w:t>
      </w:r>
    </w:p>
    <w:p>
      <w:r>
        <w:rPr>
          <w:rFonts w:ascii="宋体" w:hAnsi="宋体" w:eastAsia="宋体"/>
          <w:sz w:val="21"/>
        </w:rPr>
        <w:t>第五，提供零LLM依赖的验证。在ALFWorld中以800行Python、纯CPU运行达到73.9%成功率，证明学习范式的有效性不依赖于模型规模，而依赖于正确的学习原理。</w:t>
      </w:r>
    </w:p>
    <w:p>
      <w:pPr>
        <w:pStyle w:val="Heading2"/>
        <w:spacing w:before="240" w:after="120"/>
        <w:ind w:firstLine="0"/>
      </w:pPr>
      <w:r>
        <w:rPr>
          <w:rFonts w:ascii="黑体" w:hAnsi="黑体" w:eastAsia="黑体"/>
          <w:sz w:val="24"/>
        </w:rPr>
        <w:t>7.2  局限性与未来工作</w:t>
      </w:r>
    </w:p>
    <w:p>
      <w:r>
        <w:rPr>
          <w:rFonts w:ascii="宋体" w:hAnsi="宋体" w:eastAsia="宋体"/>
          <w:sz w:val="21"/>
        </w:rPr>
        <w:t>本文工作存在以下局限性，同时也指向了未来研究方向：</w:t>
      </w:r>
    </w:p>
    <w:p>
      <w:r>
        <w:rPr>
          <w:rFonts w:ascii="宋体" w:hAnsi="宋体" w:eastAsia="宋体"/>
          <w:sz w:val="21"/>
        </w:rPr>
        <w:t>（1）先验知识的构建依赖领域专家。当前系统的初始先验矩阵由人类专家手工设计，这限制了方法向新领域的快速迁移。未来工作将探索从大语言模型自动提取结构化先验知识的方法，以LLM作为"先验知识的来源"而非"决策的执行者"。</w:t>
      </w:r>
    </w:p>
    <w:p>
      <w:r>
        <w:rPr>
          <w:rFonts w:ascii="宋体" w:hAnsi="宋体" w:eastAsia="宋体"/>
          <w:sz w:val="21"/>
        </w:rPr>
        <w:t>（2）仅在文本交互环境中验证。ALFWorld虽然模拟了真实家庭任务的逻辑复杂性，但其观察和动作空间是离散文本形式。将知几学习扩展到连续视觉-运动空间（如真实机器人操作）需要解决连续先验表示和连续校准的挑战。</w:t>
      </w:r>
    </w:p>
    <w:p>
      <w:r>
        <w:rPr>
          <w:rFonts w:ascii="宋体" w:hAnsi="宋体" w:eastAsia="宋体"/>
          <w:sz w:val="21"/>
        </w:rPr>
        <w:t>（3）矩阵结构的表达能力有限。当前的先验矩阵仅编码一阶关系（物体-位置、目标-实体），无法自然表达高阶关系（如"当A在B里时，C更可能在D上"）。未来工作将探索图结构先验和高阶张量先验以增强表达能力。</w:t>
      </w:r>
    </w:p>
    <w:p>
      <w:r>
        <w:rPr>
          <w:rFonts w:ascii="宋体" w:hAnsi="宋体" w:eastAsia="宋体"/>
          <w:sz w:val="21"/>
        </w:rPr>
        <w:t>（4）与RL的系统性融合。6.4节提出的"知几学习+RL双系统"目前仅为概念性框架，具体的切换机制和融合算法有待形式化与实验验证。</w:t>
      </w:r>
    </w:p>
    <w:p>
      <w:pPr>
        <w:pStyle w:val="Heading2"/>
        <w:spacing w:before="240" w:after="120"/>
        <w:ind w:firstLine="0"/>
      </w:pPr>
      <w:r>
        <w:rPr>
          <w:rFonts w:ascii="黑体" w:hAnsi="黑体" w:eastAsia="黑体"/>
          <w:sz w:val="24"/>
        </w:rPr>
        <w:t>7.3  结语</w:t>
      </w:r>
    </w:p>
    <w:p>
      <w:r>
        <w:rPr>
          <w:rFonts w:ascii="宋体" w:hAnsi="宋体" w:eastAsia="宋体"/>
          <w:sz w:val="21"/>
        </w:rPr>
        <w:t>"知微知彰，知柔知刚，万夫之望。"两千多年前，《周易》的作者以惊人的洞察力描述了一种最高等级的认知能力——对一切微小变化的敏锐察觉。今天，当我们面对具身智能的学习困境时，这一古老智慧展现出令人惊叹的现代意义：它指向了一种截然不同于统计蛮力的学习范式——不是通过百万次试错来积累统计显著性，而是通过对每一次经验的精确解读来校准先验知识。</w:t>
      </w:r>
    </w:p>
    <w:p>
      <w:r>
        <w:rPr>
          <w:rFonts w:ascii="宋体" w:hAnsi="宋体" w:eastAsia="宋体"/>
          <w:sz w:val="21"/>
        </w:rPr>
        <w:t>知几学习的核心信念是：如果你能理解你正在做什么（可解释性），那么你只需要极少的经验就能学会（高效性）。理解是高效学习的前提，而非奢侈的附加品。这一信念在ALFWorld实验中得到了初步验证——800行可解释的代码在学习效率上匹敌了数十亿参数的黑箱模型。</w:t>
      </w:r>
    </w:p>
    <w:p>
      <w:r>
        <w:rPr>
          <w:rFonts w:ascii="宋体" w:hAnsi="宋体" w:eastAsia="宋体"/>
          <w:sz w:val="21"/>
        </w:rPr>
        <w:t>我们相信，知几学习代表了具身智能的一种有价值的研究方向：不是更大的模型、更多的数据、更强的算力——而是更深的理解、更精确的知识、更优雅的学习。"见几而作，不俟终日"——在正确的知识结构下，一次洞察胜过万次试错。</w:t>
      </w:r>
    </w:p>
    <w:p>
      <w:pPr>
        <w:pStyle w:val="Heading1"/>
        <w:spacing w:before="240" w:after="120"/>
        <w:ind w:firstLine="0"/>
      </w:pPr>
      <w:r>
        <w:rPr>
          <w:rFonts w:ascii="黑体" w:hAnsi="黑体" w:eastAsia="黑体"/>
          <w:sz w:val="28"/>
        </w:rPr>
        <w:t>参考文献</w:t>
      </w:r>
    </w:p>
    <w:p>
      <w:pPr>
        <w:spacing w:after="40"/>
        <w:ind w:firstLine="0"/>
      </w:pPr>
      <w:r>
        <w:rPr>
          <w:rFonts w:ascii="宋体" w:hAnsi="宋体" w:eastAsia="宋体"/>
          <w:sz w:val="18"/>
        </w:rPr>
        <w:t>[1] Duan Y, Chen X, Houthooft R, et al. Benchmarking deep reinforcement learning for continuous control[C]. ICML, 2016: 1329-1338.</w:t>
      </w:r>
    </w:p>
    <w:p>
      <w:pPr>
        <w:spacing w:after="40"/>
        <w:ind w:firstLine="0"/>
      </w:pPr>
      <w:r>
        <w:rPr>
          <w:rFonts w:ascii="宋体" w:hAnsi="宋体" w:eastAsia="宋体"/>
          <w:sz w:val="18"/>
        </w:rPr>
        <w:t>[2] Silver D, Huang A, Maddison C J, et al. Mastering the game of Go with deep neural networks and tree search[J]. Nature, 2016, 529(7587): 484-489.</w:t>
      </w:r>
    </w:p>
    <w:p>
      <w:pPr>
        <w:spacing w:after="40"/>
        <w:ind w:firstLine="0"/>
      </w:pPr>
      <w:r>
        <w:rPr>
          <w:rFonts w:ascii="宋体" w:hAnsi="宋体" w:eastAsia="宋体"/>
          <w:sz w:val="18"/>
        </w:rPr>
        <w:t>[3] Levine S, Finn C, Darrell T, et al. End-to-end training of deep visuomotor policies[J]. JMLR, 2016, 17(1): 1334-1373.</w:t>
      </w:r>
    </w:p>
    <w:p>
      <w:pPr>
        <w:spacing w:after="40"/>
        <w:ind w:firstLine="0"/>
      </w:pPr>
      <w:r>
        <w:rPr>
          <w:rFonts w:ascii="宋体" w:hAnsi="宋体" w:eastAsia="宋体"/>
          <w:sz w:val="18"/>
        </w:rPr>
        <w:t>[4] Schultz W, Dayan P, Montague P R. A neural substrate of prediction and reward[J]. Science, 1997, 275(5306): 1593-1599.</w:t>
      </w:r>
    </w:p>
    <w:p>
      <w:pPr>
        <w:spacing w:after="40"/>
        <w:ind w:firstLine="0"/>
      </w:pPr>
      <w:r>
        <w:rPr>
          <w:rFonts w:ascii="宋体" w:hAnsi="宋体" w:eastAsia="宋体"/>
          <w:sz w:val="18"/>
        </w:rPr>
        <w:t>[5] Shridhar M, Thomason J, Gordon D, et al. ALFWorld: Aligning text and embodied environments for interactive learning[C]. ICLR, 2021.</w:t>
      </w:r>
    </w:p>
    <w:p>
      <w:pPr>
        <w:spacing w:after="40"/>
        <w:ind w:firstLine="0"/>
      </w:pPr>
      <w:r>
        <w:rPr>
          <w:rFonts w:ascii="宋体" w:hAnsi="宋体" w:eastAsia="宋体"/>
          <w:sz w:val="18"/>
        </w:rPr>
        <w:t>[6] Yao S, Zhao J, Yu D, et al. ReAct: Synergizing reasoning and acting in language models[C]. ICLR, 2023.</w:t>
      </w:r>
    </w:p>
    <w:p>
      <w:pPr>
        <w:spacing w:after="40"/>
        <w:ind w:firstLine="0"/>
      </w:pPr>
      <w:r>
        <w:rPr>
          <w:rFonts w:ascii="宋体" w:hAnsi="宋体" w:eastAsia="宋体"/>
          <w:sz w:val="18"/>
        </w:rPr>
        <w:t>[7] Shinn N, Cassano F, Gopinath A, et al. Reflexion: Language agents with verbal reinforcement learning[C]. NeurIPS, 2023.</w:t>
      </w:r>
    </w:p>
    <w:p>
      <w:pPr>
        <w:spacing w:after="40"/>
        <w:ind w:firstLine="0"/>
      </w:pPr>
      <w:r>
        <w:rPr>
          <w:rFonts w:ascii="宋体" w:hAnsi="宋体" w:eastAsia="宋体"/>
          <w:sz w:val="18"/>
        </w:rPr>
        <w:t>[8] Zheng X, Yang Y, et al. EmbodiSkill: Embodied skill learning with large language models[C]. AAAI, 2024.</w:t>
      </w:r>
    </w:p>
    <w:p>
      <w:pPr>
        <w:spacing w:after="40"/>
        <w:ind w:firstLine="0"/>
      </w:pPr>
      <w:r>
        <w:rPr>
          <w:rFonts w:ascii="宋体" w:hAnsi="宋体" w:eastAsia="宋体"/>
          <w:sz w:val="18"/>
        </w:rPr>
        <w:t>[9] Kahneman D. Thinking, fast and slow[M]. Farrar, Straus and Giroux, 2011.</w:t>
      </w:r>
    </w:p>
    <w:p>
      <w:pPr>
        <w:spacing w:after="40"/>
        <w:ind w:firstLine="0"/>
      </w:pPr>
      <w:r>
        <w:rPr>
          <w:rFonts w:ascii="宋体" w:hAnsi="宋体" w:eastAsia="宋体"/>
          <w:sz w:val="18"/>
        </w:rPr>
        <w:t>[10] Sutton R S, Barto A G. Reinforcement learning: An introduction[M]. MIT Press, 2018.</w:t>
      </w:r>
    </w:p>
    <w:p>
      <w:pPr>
        <w:spacing w:after="40"/>
        <w:ind w:firstLine="0"/>
      </w:pPr>
      <w:r>
        <w:rPr>
          <w:rFonts w:ascii="宋体" w:hAnsi="宋体" w:eastAsia="宋体"/>
          <w:sz w:val="18"/>
        </w:rPr>
        <w:t>[11] 朱熹. 周易本义[M]. 中华书局, 2009.</w:t>
      </w:r>
    </w:p>
    <w:p>
      <w:pPr>
        <w:spacing w:after="40"/>
        <w:ind w:firstLine="0"/>
      </w:pPr>
      <w:r>
        <w:rPr>
          <w:rFonts w:ascii="宋体" w:hAnsi="宋体" w:eastAsia="宋体"/>
          <w:sz w:val="18"/>
        </w:rPr>
        <w:t>[12] Friston K. The free-energy principle: A unified brain theory?[J]. Nature Reviews Neuroscience, 2010, 11(2): 127-138.</w:t>
      </w:r>
    </w:p>
    <w:p>
      <w:pPr>
        <w:spacing w:after="40"/>
        <w:ind w:firstLine="0"/>
      </w:pPr>
      <w:r>
        <w:rPr>
          <w:rFonts w:ascii="宋体" w:hAnsi="宋体" w:eastAsia="宋体"/>
          <w:sz w:val="18"/>
        </w:rPr>
        <w:t>[13] Lake B M, Ullman T D, Tenenbaum J B, et al. Building machines that learn and think like people[J]. Behavioral and Brain Sciences, 2017, 40: e253.</w:t>
      </w:r>
    </w:p>
    <w:p>
      <w:pPr>
        <w:spacing w:after="40"/>
        <w:ind w:firstLine="0"/>
      </w:pPr>
      <w:r>
        <w:rPr>
          <w:rFonts w:ascii="宋体" w:hAnsi="宋体" w:eastAsia="宋体"/>
          <w:sz w:val="18"/>
        </w:rPr>
        <w:t>[14] Wei J, Wang X, Schuurmans D, et al. Chain-of-thought prompting elicits reasoning in large language models[C]. NeurIPS, 2022.</w:t>
      </w:r>
    </w:p>
    <w:p>
      <w:pPr>
        <w:spacing w:after="40"/>
        <w:ind w:firstLine="0"/>
      </w:pPr>
      <w:r>
        <w:rPr>
          <w:rFonts w:ascii="宋体" w:hAnsi="宋体" w:eastAsia="宋体"/>
          <w:sz w:val="18"/>
        </w:rPr>
        <w:t>[15] Brohan A, Brown N, Carbajal J, et al. RT-2: Vision-language-action models transfer web knowledge to robotic control[C]. CoRL, 2023.</w:t>
      </w:r>
    </w:p>
    <w:p>
      <w:pPr>
        <w:spacing w:after="40"/>
        <w:ind w:firstLine="0"/>
      </w:pPr>
      <w:r>
        <w:rPr>
          <w:rFonts w:ascii="宋体" w:hAnsi="宋体" w:eastAsia="宋体"/>
          <w:sz w:val="18"/>
        </w:rPr>
        <w:t>[16] Marcus G. The next decade in AI: Four steps towards robust artificial intelligence[J]. arXiv preprint arXiv:2002.06177, 2020.</w:t>
      </w:r>
    </w:p>
    <w:p>
      <w:r>
        <w:br w:type="page"/>
      </w:r>
    </w:p>
    <w:p>
      <w:pPr>
        <w:jc w:val="center"/>
      </w:pPr>
      <w:r>
        <w:rPr>
          <w:b/>
          <w:sz w:val="28"/>
        </w:rPr>
        <w:t>附  图</w:t>
      </w:r>
    </w:p>
    <w:p/>
    <w:p>
      <w:pPr>
        <w:jc w:val="center"/>
      </w:pPr>
      <w:r>
        <w:drawing>
          <wp:inline xmlns:a="http://schemas.openxmlformats.org/drawingml/2006/main" xmlns:pic="http://schemas.openxmlformats.org/drawingml/2006/picture">
            <wp:extent cx="5029200" cy="2997200"/>
            <wp:docPr id="1" name="Picture 1"/>
            <wp:cNvGraphicFramePr>
              <a:graphicFrameLocks noChangeAspect="1"/>
            </wp:cNvGraphicFramePr>
            <a:graphic>
              <a:graphicData uri="http://schemas.openxmlformats.org/drawingml/2006/picture">
                <pic:pic>
                  <pic:nvPicPr>
                    <pic:cNvPr id="0" name="fig1_architecture.png"/>
                    <pic:cNvPicPr/>
                  </pic:nvPicPr>
                  <pic:blipFill>
                    <a:blip r:embed="rId9"/>
                    <a:stretch>
                      <a:fillRect/>
                    </a:stretch>
                  </pic:blipFill>
                  <pic:spPr>
                    <a:xfrm>
                      <a:off x="0" y="0"/>
                      <a:ext cx="5029200" cy="2997200"/>
                    </a:xfrm>
                    <a:prstGeom prst="rect"/>
                  </pic:spPr>
                </pic:pic>
              </a:graphicData>
            </a:graphic>
          </wp:inline>
        </w:drawing>
      </w:r>
    </w:p>
    <w:p>
      <w:pPr>
        <w:jc w:val="center"/>
      </w:pPr>
      <w:r>
        <w:rPr>
          <w:b/>
          <w:sz w:val="18"/>
        </w:rPr>
        <w:t>图1  知几学习统一架构：对称奖惩校准（插入第2章2.2节后）</w:t>
      </w:r>
    </w:p>
    <w:p/>
    <w:p>
      <w:pPr>
        <w:jc w:val="center"/>
      </w:pPr>
      <w:r>
        <w:drawing>
          <wp:inline xmlns:a="http://schemas.openxmlformats.org/drawingml/2006/main" xmlns:pic="http://schemas.openxmlformats.org/drawingml/2006/picture">
            <wp:extent cx="5029200" cy="1979146"/>
            <wp:docPr id="2" name="Picture 2"/>
            <wp:cNvGraphicFramePr>
              <a:graphicFrameLocks noChangeAspect="1"/>
            </wp:cNvGraphicFramePr>
            <a:graphic>
              <a:graphicData uri="http://schemas.openxmlformats.org/drawingml/2006/picture">
                <pic:pic>
                  <pic:nvPicPr>
                    <pic:cNvPr id="0" name="fig2_convergence.png"/>
                    <pic:cNvPicPr/>
                  </pic:nvPicPr>
                  <pic:blipFill>
                    <a:blip r:embed="rId10"/>
                    <a:stretch>
                      <a:fillRect/>
                    </a:stretch>
                  </pic:blipFill>
                  <pic:spPr>
                    <a:xfrm>
                      <a:off x="0" y="0"/>
                      <a:ext cx="5029200" cy="1979146"/>
                    </a:xfrm>
                    <a:prstGeom prst="rect"/>
                  </pic:spPr>
                </pic:pic>
              </a:graphicData>
            </a:graphic>
          </wp:inline>
        </w:drawing>
      </w:r>
    </w:p>
    <w:p>
      <w:pPr>
        <w:jc w:val="center"/>
      </w:pPr>
      <w:r>
        <w:rPr>
          <w:b/>
          <w:sz w:val="18"/>
        </w:rPr>
        <w:t>图2  知几学习经验持久化收敛曲线（插入第4章4.2节后）</w:t>
      </w:r>
    </w:p>
    <w:p/>
    <w:p>
      <w:pPr>
        <w:jc w:val="center"/>
      </w:pPr>
      <w:r>
        <w:drawing>
          <wp:inline xmlns:a="http://schemas.openxmlformats.org/drawingml/2006/main" xmlns:pic="http://schemas.openxmlformats.org/drawingml/2006/picture">
            <wp:extent cx="5029200" cy="1930400"/>
            <wp:docPr id="3" name="Picture 3"/>
            <wp:cNvGraphicFramePr>
              <a:graphicFrameLocks noChangeAspect="1"/>
            </wp:cNvGraphicFramePr>
            <a:graphic>
              <a:graphicData uri="http://schemas.openxmlformats.org/drawingml/2006/picture">
                <pic:pic>
                  <pic:nvPicPr>
                    <pic:cNvPr id="0" name="fig3_comparison.png"/>
                    <pic:cNvPicPr/>
                  </pic:nvPicPr>
                  <pic:blipFill>
                    <a:blip r:embed="rId11"/>
                    <a:stretch>
                      <a:fillRect/>
                    </a:stretch>
                  </pic:blipFill>
                  <pic:spPr>
                    <a:xfrm>
                      <a:off x="0" y="0"/>
                      <a:ext cx="5029200" cy="1930400"/>
                    </a:xfrm>
                    <a:prstGeom prst="rect"/>
                  </pic:spPr>
                </pic:pic>
              </a:graphicData>
            </a:graphic>
          </wp:inline>
        </w:drawing>
      </w:r>
    </w:p>
    <w:p>
      <w:pPr>
        <w:jc w:val="center"/>
      </w:pPr>
      <w:r>
        <w:rPr>
          <w:b/>
          <w:sz w:val="18"/>
        </w:rPr>
        <w:t>图3  知几学习vs强化学习参数更新方式对比（插入第6章6.1节后）</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before="0"/>
      <w:ind w:firstLine="420"/>
    </w:pPr>
    <w:rPr>
      <w:rFonts w:ascii="宋体" w:hAnsi="宋体"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