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rPr>
          <w:rFonts w:ascii="Times New Roman" w:hAnsi="Times New Roman" w:eastAsia="黑体"/>
          <w:b/>
          <w:i w:val="0"/>
          <w:sz w:val="32"/>
        </w:rPr>
        <w:t>知几学习：一种作用于先验知识体系的通用具身学习框架</w:t>
      </w:r>
    </w:p>
    <w:p>
      <w:pPr>
        <w:ind w:firstLine="0"/>
        <w:jc w:val="center"/>
      </w:pPr>
      <w:r>
        <w:rPr>
          <w:rFonts w:ascii="Times New Roman" w:hAnsi="Times New Roman" w:eastAsia="宋体"/>
          <w:b w:val="0"/>
          <w:i w:val="0"/>
          <w:sz w:val="24"/>
        </w:rPr>
        <w:t>马兴录，李金函，张国安，于敬涛，李望，马圣洁*</w:t>
      </w:r>
    </w:p>
    <w:p>
      <w:pPr>
        <w:spacing w:after="240"/>
        <w:ind w:firstLine="0"/>
        <w:jc w:val="center"/>
      </w:pPr>
      <w:r>
        <w:rPr>
          <w:rFonts w:ascii="Times New Roman" w:hAnsi="Times New Roman" w:eastAsia="宋体"/>
          <w:b w:val="0"/>
          <w:i w:val="0"/>
          <w:sz w:val="21"/>
        </w:rPr>
        <w:t>（青岛科技大学 信息科学技术学院，山东 青岛 266061）</w:t>
      </w:r>
    </w:p>
    <w:p>
      <w:pPr>
        <w:pStyle w:val="Heading1"/>
        <w:spacing w:before="240" w:after="120"/>
        <w:ind w:firstLine="0"/>
        <w:jc w:val="left"/>
      </w:pPr>
      <w:r>
        <w:rPr>
          <w:rFonts w:ascii="Times New Roman" w:hAnsi="Times New Roman" w:eastAsia="黑体"/>
          <w:b/>
          <w:i w:val="0"/>
          <w:sz w:val="28"/>
        </w:rPr>
        <w:t>摘  要</w:t>
      </w:r>
    </w:p>
    <w:p>
      <w:r>
        <w:rPr>
          <w:rFonts w:ascii="Times New Roman" w:hAnsi="Times New Roman" w:eastAsia="宋体"/>
          <w:b w:val="0"/>
          <w:i w:val="0"/>
          <w:sz w:val="21"/>
        </w:rPr>
        <w:t>当前具身智能学习范式以强化学习（Reinforcement Learning, RL）为代表，面临数据效率低、不可解释、探索风险高三重困境。本文提出知几学习（Zhiji Learning）——一种作用于先验知识体系之上的通用具身学习框架。知几学习源自《易经》"知几其神乎"的哲学思想，其核心主张：具身智能体不应从白纸开始学习，而应在已有的先验知识体系（"道"与"器"）之上进行精确校准。</w:t>
      </w:r>
    </w:p>
    <w:p>
      <w:r>
        <w:rPr>
          <w:rFonts w:ascii="Times New Roman" w:hAnsi="Times New Roman" w:eastAsia="宋体"/>
          <w:b w:val="0"/>
          <w:i w:val="0"/>
          <w:sz w:val="21"/>
        </w:rPr>
        <w:t>本文以YLYW（易理研物）系统为载体阐述这一框架。YLYW中，易理模型（道）以64卦为结构化推理模板，提供决策的逻辑骨架；知识库（器）以先验矩阵、同义词映射等形式存储领域经验。知几学习（法）则是作用于两者之上的学习机制：从微小变化中察觉成功征兆（吉之几，+α正向校准）和失败征兆（凶之几，-β负向校准），对同一套先验参数做对称精确更新。</w:t>
      </w:r>
    </w:p>
    <w:p>
      <w:r>
        <w:rPr>
          <w:rFonts w:ascii="Times New Roman" w:hAnsi="Times New Roman" w:eastAsia="宋体"/>
          <w:b w:val="0"/>
          <w:i w:val="0"/>
          <w:sz w:val="21"/>
        </w:rPr>
        <w:t>这一"道-器-法"三位一体的架构在ALFWorld基准上得到验证：静态先验（道+器）达67.2%成功率，引入知几学习（法）后逐步提升至73.9%并一轮收敛。核心贡献是：(1)知几学习是通用的学习"法"，不依赖于特定先验体系；(2)可解释性是精确校准的前提——决策链透明才能定位更新条目；(3)同一框架对称处理成功和失败，如同多巴胺系统对同一套突触做双向调制。</w:t>
      </w:r>
    </w:p>
    <w:p>
      <w:pPr>
        <w:spacing w:before="120"/>
        <w:ind w:firstLine="0"/>
      </w:pPr>
      <w:r>
        <w:rPr>
          <w:rFonts w:ascii="Times New Roman" w:hAnsi="Times New Roman" w:eastAsia="黑体"/>
          <w:b/>
          <w:i w:val="0"/>
          <w:sz w:val="21"/>
        </w:rPr>
        <w:t>关键词：</w:t>
      </w:r>
      <w:r>
        <w:rPr>
          <w:rFonts w:ascii="Times New Roman" w:hAnsi="Times New Roman" w:eastAsia="宋体"/>
          <w:b w:val="0"/>
          <w:i w:val="0"/>
          <w:sz w:val="21"/>
        </w:rPr>
        <w:t>知几学习；YLYW；先验知识；易理模型；对称校准；可解释性；具身智能；ALFWorld</w:t>
      </w:r>
    </w:p>
    <w:p>
      <w:pPr>
        <w:pStyle w:val="Heading1"/>
        <w:spacing w:before="240" w:after="120"/>
        <w:ind w:firstLine="0"/>
        <w:jc w:val="left"/>
      </w:pPr>
      <w:r>
        <w:rPr>
          <w:rFonts w:ascii="Times New Roman" w:hAnsi="Times New Roman" w:eastAsia="黑体"/>
          <w:b/>
          <w:i w:val="0"/>
          <w:sz w:val="28"/>
        </w:rPr>
        <w:t>1  引言</w:t>
      </w:r>
    </w:p>
    <w:p>
      <w:pPr>
        <w:pStyle w:val="Heading2"/>
        <w:spacing w:before="160" w:after="80"/>
        <w:ind w:firstLine="0"/>
        <w:jc w:val="left"/>
      </w:pPr>
      <w:r>
        <w:rPr>
          <w:rFonts w:ascii="Times New Roman" w:hAnsi="Times New Roman" w:eastAsia="黑体"/>
          <w:b/>
          <w:i w:val="0"/>
          <w:sz w:val="24"/>
        </w:rPr>
        <w:t>1.1  具身学习的困境</w:t>
      </w:r>
    </w:p>
    <w:p>
      <w:r>
        <w:rPr>
          <w:rFonts w:ascii="Times New Roman" w:hAnsi="Times New Roman" w:eastAsia="宋体"/>
          <w:b w:val="0"/>
          <w:i w:val="0"/>
          <w:sz w:val="21"/>
        </w:rPr>
        <w:t>具身智能（Embodied Intelligence）是人工智能的核心目标之一：让智能体在物理或仿真环境中通过感知和动作实现目标。当前主流学习范式以深度强化学习（Deep RL）为代表，其基本假设是智能体从"白纸"状态开始，通过与环境的大量交互逐步建立知识。这一范式在Atari游戏、围棋等封闭域取得了里程碑式的成功，但在具身智能的开放世界中暴露出根本性困难。</w:t>
      </w:r>
    </w:p>
    <w:p>
      <w:r>
        <w:rPr>
          <w:rFonts w:ascii="Times New Roman" w:hAnsi="Times New Roman" w:eastAsia="宋体"/>
          <w:b w:val="0"/>
          <w:i w:val="0"/>
          <w:sz w:val="21"/>
        </w:rPr>
        <w:t>第一，数据效率低下。以机器人操作为例，学习一个简单的抓取策略通常需要10</w:t>
      </w:r>
      <w:r>
        <w:rPr>
          <w:rFonts w:ascii="Times New Roman" w:hAnsi="Times New Roman" w:eastAsia="宋体"/>
          <w:b w:val="0"/>
          <w:i w:val="0"/>
          <w:sz w:val="16"/>
          <w:vertAlign w:val="superscript"/>
        </w:rPr>
        <w:t>5</w:t>
      </w:r>
      <w:r>
        <w:rPr>
          <w:rFonts w:ascii="Times New Roman" w:hAnsi="Times New Roman" w:eastAsia="宋体"/>
          <w:b w:val="0"/>
          <w:i w:val="0"/>
          <w:sz w:val="21"/>
        </w:rPr>
        <w:t>至10</w:t>
      </w:r>
      <w:r>
        <w:rPr>
          <w:rFonts w:ascii="Times New Roman" w:hAnsi="Times New Roman" w:eastAsia="宋体"/>
          <w:b w:val="0"/>
          <w:i w:val="0"/>
          <w:sz w:val="16"/>
          <w:vertAlign w:val="superscript"/>
        </w:rPr>
        <w:t>7</w:t>
      </w:r>
      <w:r>
        <w:rPr>
          <w:rFonts w:ascii="Times New Roman" w:hAnsi="Times New Roman" w:eastAsia="宋体"/>
          <w:b w:val="0"/>
          <w:i w:val="0"/>
          <w:sz w:val="21"/>
        </w:rPr>
        <w:t>次试错交互</w:t>
      </w:r>
      <w:r>
        <w:rPr>
          <w:rFonts w:ascii="Times New Roman" w:hAnsi="Times New Roman" w:eastAsia="宋体"/>
          <w:b w:val="0"/>
          <w:i w:val="0"/>
          <w:sz w:val="16"/>
          <w:vertAlign w:val="superscript"/>
        </w:rPr>
        <w:t>[1]</w:t>
      </w:r>
      <w:r>
        <w:rPr>
          <w:rFonts w:ascii="Times New Roman" w:hAnsi="Times New Roman" w:eastAsia="宋体"/>
          <w:b w:val="0"/>
          <w:i w:val="0"/>
          <w:sz w:val="21"/>
        </w:rPr>
        <w:t>。在物理世界中，每次交互都有时间成本和安全风险，这使得纯RL方法在真实场景中几乎不可行。</w:t>
      </w:r>
    </w:p>
    <w:p>
      <w:r>
        <w:rPr>
          <w:rFonts w:ascii="Times New Roman" w:hAnsi="Times New Roman" w:eastAsia="宋体"/>
          <w:b w:val="0"/>
          <w:i w:val="0"/>
          <w:sz w:val="21"/>
        </w:rPr>
        <w:t>第二，不可解释性。深度RL的策略以神经网络参数的形式存在，数十亿参数中没有任何一个对应于人类可理解的概念</w:t>
      </w:r>
      <w:r>
        <w:rPr>
          <w:rFonts w:ascii="Times New Roman" w:hAnsi="Times New Roman" w:eastAsia="宋体"/>
          <w:b w:val="0"/>
          <w:i w:val="0"/>
          <w:sz w:val="16"/>
          <w:vertAlign w:val="superscript"/>
        </w:rPr>
        <w:t>[2]</w:t>
      </w:r>
      <w:r>
        <w:rPr>
          <w:rFonts w:ascii="Times New Roman" w:hAnsi="Times New Roman" w:eastAsia="宋体"/>
          <w:b w:val="0"/>
          <w:i w:val="0"/>
          <w:sz w:val="21"/>
        </w:rPr>
        <w:t>。当机器人犯错时，工程师无法定位错误来源，更无法精确修正——只能增加数据重新训练。</w:t>
      </w:r>
    </w:p>
    <w:p>
      <w:r>
        <w:rPr>
          <w:rFonts w:ascii="Times New Roman" w:hAnsi="Times New Roman" w:eastAsia="宋体"/>
          <w:b w:val="0"/>
          <w:i w:val="0"/>
          <w:sz w:val="21"/>
        </w:rPr>
        <w:t>第三，探索风险。具身智能体的探索行为直接作用于物理世界。一次错误的探索可能损坏设备、伤害人员或造成不可逆后果</w:t>
      </w:r>
      <w:r>
        <w:rPr>
          <w:rFonts w:ascii="Times New Roman" w:hAnsi="Times New Roman" w:eastAsia="宋体"/>
          <w:b w:val="0"/>
          <w:i w:val="0"/>
          <w:sz w:val="16"/>
          <w:vertAlign w:val="superscript"/>
        </w:rPr>
        <w:t>[3]</w:t>
      </w:r>
      <w:r>
        <w:rPr>
          <w:rFonts w:ascii="Times New Roman" w:hAnsi="Times New Roman" w:eastAsia="宋体"/>
          <w:b w:val="0"/>
          <w:i w:val="0"/>
          <w:sz w:val="21"/>
        </w:rPr>
        <w:t>。RL的ε-greedy或熵正则化探索策略本质上是随机的，无法保证安全。</w:t>
      </w:r>
    </w:p>
    <w:p>
      <w:r>
        <w:rPr>
          <w:rFonts w:ascii="Times New Roman" w:hAnsi="Times New Roman" w:eastAsia="宋体"/>
          <w:b w:val="0"/>
          <w:i w:val="0"/>
          <w:sz w:val="21"/>
        </w:rPr>
        <w:t>这三重困境的根源在于一个基本假设：学习必须从零开始。但这与人类的学习方式截然不同——人类从不在"白纸"状态下进入世界。婴儿出生时已携带丰富的先天直觉（物体恒存性、因果推理的雏形），而文化教育则以结构化知识的形式传递千年积累的经验。问题是：具身智能体是否也能在先验知识的基础上学习，而非从零开始？</w:t>
      </w:r>
    </w:p>
    <w:p>
      <w:pPr>
        <w:pStyle w:val="Heading2"/>
        <w:spacing w:before="160" w:after="80"/>
        <w:ind w:firstLine="0"/>
        <w:jc w:val="left"/>
      </w:pPr>
      <w:r>
        <w:rPr>
          <w:rFonts w:ascii="Times New Roman" w:hAnsi="Times New Roman" w:eastAsia="黑体"/>
          <w:b/>
          <w:i w:val="0"/>
          <w:sz w:val="24"/>
        </w:rPr>
        <w:t>1.2  先验知识体系：道与器</w:t>
      </w:r>
    </w:p>
    <w:p>
      <w:r>
        <w:rPr>
          <w:rFonts w:ascii="Times New Roman" w:hAnsi="Times New Roman" w:eastAsia="宋体"/>
          <w:b w:val="0"/>
          <w:i w:val="0"/>
          <w:sz w:val="21"/>
        </w:rPr>
        <w:t>我们提出一种层次化的先验知识组织方式，借用中国哲学中"道器"的概念。《系辞传》云："形而上者谓之道，形而下者谓之器。"在具身智能的语境下：</w:t>
      </w:r>
    </w:p>
    <w:p>
      <w:r>
        <w:rPr>
          <w:rFonts w:ascii="Times New Roman" w:hAnsi="Times New Roman" w:eastAsia="宋体"/>
          <w:b w:val="0"/>
          <w:i w:val="0"/>
          <w:sz w:val="21"/>
        </w:rPr>
        <w:t>"道"是推理模型——告诉系统"如何思考"。它是结构化的、抽象的先验知识形式，提供决策的逻辑骨架和推理规则。在YLYW系统中，"道"具体化为易理推理模型：以64卦为核心的三层决策引擎（L1八卦隶属度→L2六爻编码→L3卦象匹配），每一卦对应一类决策模板，六爻精确定义执行参数。</w:t>
      </w:r>
    </w:p>
    <w:p>
      <w:r>
        <w:rPr>
          <w:rFonts w:ascii="Times New Roman" w:hAnsi="Times New Roman" w:eastAsia="宋体"/>
          <w:b w:val="0"/>
          <w:i w:val="0"/>
          <w:sz w:val="21"/>
        </w:rPr>
        <w:t>"器"是知识库——告诉系统"世界是什么样的"。它是具体的、实例化的先验知识形式，存储领域事实和经验数据。在YLYW中，"器"具体化为物体-位置先验矩阵P(obj, loc)、同义词映射表S(word→entities)、场景结构记忆、任务类型模板等。</w:t>
      </w:r>
    </w:p>
    <w:p>
      <w:r>
        <w:rPr>
          <w:rFonts w:ascii="Times New Roman" w:hAnsi="Times New Roman" w:eastAsia="宋体"/>
          <w:b w:val="0"/>
          <w:i w:val="0"/>
          <w:sz w:val="21"/>
        </w:rPr>
        <w:t>值得强调的是，易理模型本身就是一种先验知识库——它是人类数千年经验的结构化编码。64卦并非凭空设计的算法，而是中华先民在数千年实践中归纳的64种基本情境模式</w:t>
      </w:r>
      <w:r>
        <w:rPr>
          <w:rFonts w:ascii="Times New Roman" w:hAnsi="Times New Roman" w:eastAsia="宋体"/>
          <w:b w:val="0"/>
          <w:i w:val="0"/>
          <w:sz w:val="16"/>
          <w:vertAlign w:val="superscript"/>
        </w:rPr>
        <w:t>[4]</w:t>
      </w:r>
      <w:r>
        <w:rPr>
          <w:rFonts w:ascii="Times New Roman" w:hAnsi="Times New Roman" w:eastAsia="宋体"/>
          <w:b w:val="0"/>
          <w:i w:val="0"/>
          <w:sz w:val="21"/>
        </w:rPr>
        <w:t>。从这个意义上说，道与器不是对立的，而是先验知识的两种存在形式：道是抽象的、结构化的先验（推理骨架），器是具体的、实例化的先验（事实数据）。两者互补：道提供骨架，器填充血肉。</w:t>
      </w:r>
    </w:p>
    <w:p>
      <w:r>
        <w:rPr>
          <w:rFonts w:ascii="Times New Roman" w:hAnsi="Times New Roman" w:eastAsia="宋体"/>
          <w:b w:val="0"/>
          <w:i w:val="0"/>
          <w:sz w:val="21"/>
        </w:rPr>
        <w:t>仅凭道+器，YLYW在ALFWorld基准上达到67.2%的零样本成功率（134局中完成90局），物理域零样本合理率达92.7%。这证明：先验知识足以覆盖大部分常规场景，智能体不需要从白纸开始。</w:t>
      </w:r>
    </w:p>
    <w:p>
      <w:pPr>
        <w:pStyle w:val="Heading2"/>
        <w:spacing w:before="160" w:after="80"/>
        <w:ind w:firstLine="0"/>
        <w:jc w:val="left"/>
      </w:pPr>
      <w:r>
        <w:rPr>
          <w:rFonts w:ascii="Times New Roman" w:hAnsi="Times New Roman" w:eastAsia="黑体"/>
          <w:b/>
          <w:i w:val="0"/>
          <w:sz w:val="24"/>
        </w:rPr>
        <w:t>1.3  知几学习：作用于道器之上的"法"</w:t>
      </w:r>
    </w:p>
    <w:p>
      <w:r>
        <w:rPr>
          <w:rFonts w:ascii="Times New Roman" w:hAnsi="Times New Roman" w:eastAsia="宋体"/>
          <w:b w:val="0"/>
          <w:i w:val="0"/>
          <w:sz w:val="21"/>
        </w:rPr>
        <w:t>然而，先验知识不可能覆盖所有情境。当道+器无法解决一个任务时，系统需要学习。问题是：如何学习？</w:t>
      </w:r>
    </w:p>
    <w:p>
      <w:r>
        <w:rPr>
          <w:rFonts w:ascii="Times New Roman" w:hAnsi="Times New Roman" w:eastAsia="宋体"/>
          <w:b w:val="0"/>
          <w:i w:val="0"/>
          <w:sz w:val="21"/>
        </w:rPr>
        <w:t>《系辞传》给出了回答："知几其神乎！几者，动之微，吉之先见者也。"又曰："知微知彰，知柔知刚，万夫之望。"这里的"几"是事物变化的微小征兆——既包括成功的征兆（吉之几），也包括失败的征兆（凶之几）。</w:t>
      </w:r>
    </w:p>
    <w:p>
      <w:r>
        <w:rPr>
          <w:rFonts w:ascii="Times New Roman" w:hAnsi="Times New Roman" w:eastAsia="宋体"/>
          <w:b w:val="0"/>
          <w:i w:val="0"/>
          <w:sz w:val="21"/>
        </w:rPr>
        <w:t>知几学习（Zhiji Learning）由此得名。其核心思想是：在已有的先验知识体系（道与器）之上，通过对微小征兆的察觉，精确更新相关参数。它不是替代先验，而是校准先验；不是全局更新，而是精确定点更新。</w:t>
      </w:r>
    </w:p>
    <w:p>
      <w:r>
        <w:rPr>
          <w:rFonts w:ascii="Times New Roman" w:hAnsi="Times New Roman" w:eastAsia="宋体"/>
          <w:b w:val="0"/>
          <w:i w:val="0"/>
          <w:sz w:val="21"/>
        </w:rPr>
        <w:t>知几学习是一种"法"——学习的方法论和机制。它不是YLYW内部的一个模块，而是YLYW的学习方式。更重要的是，知几学习是通用的：它可以作用于任何可解释的先验体系，不限于YLYW。只要系统满足三个条件——(1)有先验知识；(2)决策过程可追溯；(3)参数可精确定位——知几学习就能发挥作用。</w:t>
      </w:r>
    </w:p>
    <w:p>
      <w:pPr>
        <w:pStyle w:val="Heading2"/>
        <w:spacing w:before="160" w:after="80"/>
        <w:ind w:firstLine="0"/>
        <w:jc w:val="left"/>
      </w:pPr>
      <w:r>
        <w:rPr>
          <w:rFonts w:ascii="Times New Roman" w:hAnsi="Times New Roman" w:eastAsia="黑体"/>
          <w:b/>
          <w:i w:val="0"/>
          <w:sz w:val="24"/>
        </w:rPr>
        <w:t>1.4  道-器-法的统一</w:t>
      </w:r>
    </w:p>
    <w:p>
      <w:r>
        <w:rPr>
          <w:rFonts w:ascii="Times New Roman" w:hAnsi="Times New Roman" w:eastAsia="宋体"/>
          <w:b w:val="0"/>
          <w:i w:val="0"/>
          <w:sz w:val="21"/>
        </w:rPr>
        <w:t>"道-器-法"三位一体构成一个自洽的具身智能架构：</w:t>
      </w:r>
    </w:p>
    <w:p>
      <w:r>
        <w:rPr>
          <w:rFonts w:ascii="Times New Roman" w:hAnsi="Times New Roman" w:eastAsia="宋体"/>
          <w:b w:val="0"/>
          <w:i w:val="0"/>
          <w:sz w:val="21"/>
        </w:rPr>
        <w:t>道（易理模型）提供推理骨架——如何将感知映射为决策。它定义了决策的逻辑结构：从感知到八卦隶属度，从隶属度到六爻编码，从编码到卦象匹配，从卦象到动作序列。</w:t>
      </w:r>
    </w:p>
    <w:p>
      <w:r>
        <w:rPr>
          <w:rFonts w:ascii="Times New Roman" w:hAnsi="Times New Roman" w:eastAsia="宋体"/>
          <w:b w:val="0"/>
          <w:i w:val="0"/>
          <w:sz w:val="21"/>
        </w:rPr>
        <w:t>器（知识库）提供事实数据——世界的具体知识。它告诉系统：哪些物体通常在哪些位置、哪些词汇指代同一实体、哪些场景有什么结构特征。</w:t>
      </w:r>
    </w:p>
    <w:p>
      <w:r>
        <w:rPr>
          <w:rFonts w:ascii="Times New Roman" w:hAnsi="Times New Roman" w:eastAsia="宋体"/>
          <w:b w:val="0"/>
          <w:i w:val="0"/>
          <w:sz w:val="21"/>
        </w:rPr>
        <w:t>法（知几学习）提供校准机制——如何从经验中更新道和器。它监测每次决策的结果，识别成功征兆和失败征兆，然后精确更新相关的先验参数。</w:t>
      </w:r>
    </w:p>
    <w:p>
      <w:r>
        <w:rPr>
          <w:rFonts w:ascii="Times New Roman" w:hAnsi="Times New Roman" w:eastAsia="宋体"/>
          <w:b w:val="0"/>
          <w:i w:val="0"/>
          <w:sz w:val="21"/>
        </w:rPr>
        <w:t>三者统一于一个关键属性：可解释性。因为道的推理链是透明的（每步可追溯到卦爻级别），所以法能精确定位需要校准的参数条目。这是知几学习与传统RL的根本区别：RL面对的是黑箱，只能做全局梯度更新；知几学习面对的是透明系统，能做精确定点更新。</w:t>
      </w:r>
    </w:p>
    <w:p>
      <w:pPr>
        <w:pStyle w:val="Heading2"/>
        <w:spacing w:before="160" w:after="80"/>
        <w:ind w:firstLine="0"/>
        <w:jc w:val="left"/>
      </w:pPr>
      <w:r>
        <w:rPr>
          <w:rFonts w:ascii="Times New Roman" w:hAnsi="Times New Roman" w:eastAsia="黑体"/>
          <w:b/>
          <w:i w:val="0"/>
          <w:sz w:val="24"/>
        </w:rPr>
        <w:t>1.5  本文贡献</w:t>
      </w:r>
    </w:p>
    <w:p>
      <w:r>
        <w:rPr>
          <w:rFonts w:ascii="Times New Roman" w:hAnsi="Times New Roman" w:eastAsia="宋体"/>
          <w:b w:val="0"/>
          <w:i w:val="0"/>
          <w:sz w:val="21"/>
        </w:rPr>
        <w:t>本文的核心贡献包括以下五个方面：</w:t>
      </w:r>
    </w:p>
    <w:p>
      <w:r>
        <w:rPr>
          <w:rFonts w:ascii="Times New Roman" w:hAnsi="Times New Roman" w:eastAsia="宋体"/>
          <w:b w:val="0"/>
          <w:i w:val="0"/>
          <w:sz w:val="21"/>
        </w:rPr>
        <w:t>(1) 提出知几学习框架：一种作用于任何可解释先验体系之上的通用学习机制，其核心是"察几→归因→校准"的三步循环。</w:t>
      </w:r>
    </w:p>
    <w:p>
      <w:r>
        <w:rPr>
          <w:rFonts w:ascii="Times New Roman" w:hAnsi="Times New Roman" w:eastAsia="宋体"/>
          <w:b w:val="0"/>
          <w:i w:val="0"/>
          <w:sz w:val="21"/>
        </w:rPr>
        <w:t>(2) 论证"道-器-法"三位一体架构：推理模型（道）+ 知识库（器）+ 学习法则（法）的统一，为具身智能提供了一种完整的知识组织和学习范式。</w:t>
      </w:r>
    </w:p>
    <w:p>
      <w:r>
        <w:rPr>
          <w:rFonts w:ascii="Times New Roman" w:hAnsi="Times New Roman" w:eastAsia="宋体"/>
          <w:b w:val="0"/>
          <w:i w:val="0"/>
          <w:sz w:val="21"/>
        </w:rPr>
        <w:t>(3) 对称校准机制：成功（+α）和失败（-β）在同一参数空间中对称操作，如同多巴胺系统对同一套突触做双向调制。</w:t>
      </w:r>
    </w:p>
    <w:p>
      <w:r>
        <w:rPr>
          <w:rFonts w:ascii="Times New Roman" w:hAnsi="Times New Roman" w:eastAsia="宋体"/>
          <w:b w:val="0"/>
          <w:i w:val="0"/>
          <w:sz w:val="21"/>
        </w:rPr>
        <w:t>(4) 验证可解释性的工程价值：证明可解释性不仅是事后解释工具，更是精确学习的前提条件——决策链透明才能定位更新条目。</w:t>
      </w:r>
    </w:p>
    <w:p>
      <w:r>
        <w:rPr>
          <w:rFonts w:ascii="Times New Roman" w:hAnsi="Times New Roman" w:eastAsia="宋体"/>
          <w:b w:val="0"/>
          <w:i w:val="0"/>
          <w:sz w:val="21"/>
        </w:rPr>
        <w:t>(5) ALFWorld实证验证：67.2%→73.9%，一轮收敛，800行纯Python实现，无需LLM或GPU资源。</w:t>
      </w:r>
    </w:p>
    <w:p>
      <w:pPr>
        <w:pStyle w:val="Heading1"/>
        <w:spacing w:before="240" w:after="120"/>
        <w:ind w:firstLine="0"/>
        <w:jc w:val="left"/>
      </w:pPr>
      <w:r>
        <w:rPr>
          <w:rFonts w:ascii="Times New Roman" w:hAnsi="Times New Roman" w:eastAsia="黑体"/>
          <w:b/>
          <w:i w:val="0"/>
          <w:sz w:val="28"/>
        </w:rPr>
        <w:t>2  道与器：YLYW先验知识体系</w:t>
      </w:r>
    </w:p>
    <w:p>
      <w:pPr>
        <w:pStyle w:val="Heading2"/>
        <w:spacing w:before="160" w:after="80"/>
        <w:ind w:firstLine="0"/>
        <w:jc w:val="left"/>
      </w:pPr>
      <w:r>
        <w:rPr>
          <w:rFonts w:ascii="Times New Roman" w:hAnsi="Times New Roman" w:eastAsia="黑体"/>
          <w:b/>
          <w:i w:val="0"/>
          <w:sz w:val="24"/>
        </w:rPr>
        <w:t>2.1  道：易理推理模型</w:t>
      </w:r>
    </w:p>
    <w:p>
      <w:r>
        <w:rPr>
          <w:rFonts w:ascii="Times New Roman" w:hAnsi="Times New Roman" w:eastAsia="宋体"/>
          <w:b w:val="0"/>
          <w:i w:val="0"/>
          <w:sz w:val="21"/>
        </w:rPr>
        <w:t>YLYW（易理研物）的"道"是一个基于64卦的三层推理引擎</w:t>
      </w:r>
      <w:r>
        <w:rPr>
          <w:rFonts w:ascii="Times New Roman" w:hAnsi="Times New Roman" w:eastAsia="宋体"/>
          <w:b w:val="0"/>
          <w:i w:val="0"/>
          <w:sz w:val="16"/>
          <w:vertAlign w:val="superscript"/>
        </w:rPr>
        <w:t>[5]</w:t>
      </w:r>
      <w:r>
        <w:rPr>
          <w:rFonts w:ascii="Times New Roman" w:hAnsi="Times New Roman" w:eastAsia="宋体"/>
          <w:b w:val="0"/>
          <w:i w:val="0"/>
          <w:sz w:val="21"/>
        </w:rPr>
        <w:t>。其设计哲学是："卦定策略类型、爻定执行参数。"即，64卦中的每一卦对应一类决策模板（策略类型），而卦中的六爻则精确指定该策略的执行参数。</w:t>
      </w:r>
    </w:p>
    <w:p>
      <w:r>
        <w:rPr>
          <w:rFonts w:ascii="Times New Roman" w:hAnsi="Times New Roman" w:eastAsia="宋体"/>
          <w:b w:val="0"/>
          <w:i w:val="0"/>
          <w:sz w:val="21"/>
        </w:rPr>
        <w:t>第一层（L1）：八卦隶属度计算。系统将当前感知状态映射为八个基本维度的隶属度值。八卦（乾、坤、震、巽、坎、离、艮、兑）分别对应八种基本属性：主动性、承载性、变化性、渗透性、险难性、明晰性、阻止性、开放性。感知数据经过规则化映射，输出一个8维隶属度向量。</w:t>
      </w:r>
    </w:p>
    <w:p>
      <w:r>
        <w:rPr>
          <w:rFonts w:ascii="Times New Roman" w:hAnsi="Times New Roman" w:eastAsia="宋体"/>
          <w:b w:val="0"/>
          <w:i w:val="0"/>
          <w:sz w:val="21"/>
        </w:rPr>
        <w:t>第二层（L2）：六爻编码。将8维隶属度向量转换为6位阴阳编码。每一爻根据对应维度的阈值判断为阳（1）或阴（0），最终形成一个6位二进制编码。这一步将连续的感知空间离散化为64种基本状态之一。</w:t>
      </w:r>
    </w:p>
    <w:p>
      <w:r>
        <w:rPr>
          <w:rFonts w:ascii="Times New Roman" w:hAnsi="Times New Roman" w:eastAsia="宋体"/>
          <w:b w:val="0"/>
          <w:i w:val="0"/>
          <w:sz w:val="21"/>
        </w:rPr>
        <w:t>第三层（L3）：卦象匹配与策略生成。6位编码唯一对应64卦中的某一卦，系统查阅该卦的策略模板，结合六爻的具体值生成动作序列。例如，"需卦"（等待时机）对应"等待直到条件满足再行动"的策略模板，六爻则指定等待的具体条件和超时参数。</w:t>
      </w:r>
    </w:p>
    <w:p>
      <w:r>
        <w:rPr>
          <w:rFonts w:ascii="Times New Roman" w:hAnsi="Times New Roman" w:eastAsia="宋体"/>
          <w:b w:val="0"/>
          <w:i w:val="0"/>
          <w:sz w:val="21"/>
        </w:rPr>
        <w:t>这一架构的关键特征是完全可追溯性：对于任何输出动作，都可以回溯到是哪一卦、哪一爻、基于什么隶属度值做出的判断。这种透明性是知几学习能够精确校准的前提——当某个决策失败时，可以精确定位到L3的卦策略模板、L2的编码阈值、或L1的映射规则中的具体条目。</w:t>
      </w:r>
    </w:p>
    <w:p>
      <w:r>
        <w:rPr>
          <w:rFonts w:ascii="Times New Roman" w:hAnsi="Times New Roman" w:eastAsia="宋体"/>
          <w:b w:val="0"/>
          <w:i w:val="0"/>
          <w:sz w:val="21"/>
        </w:rPr>
        <w:t>从知识论的角度看，易理模型本身就是一部先验知识库。64卦不是现代研究者凭空设计的算法结构，而是中华文明数千年实践的结晶</w:t>
      </w:r>
      <w:r>
        <w:rPr>
          <w:rFonts w:ascii="Times New Roman" w:hAnsi="Times New Roman" w:eastAsia="宋体"/>
          <w:b w:val="0"/>
          <w:i w:val="0"/>
          <w:sz w:val="16"/>
          <w:vertAlign w:val="superscript"/>
        </w:rPr>
        <w:t>[4]</w:t>
      </w:r>
      <w:r>
        <w:rPr>
          <w:rFonts w:ascii="Times New Roman" w:hAnsi="Times New Roman" w:eastAsia="宋体"/>
          <w:b w:val="0"/>
          <w:i w:val="0"/>
          <w:sz w:val="21"/>
        </w:rPr>
        <w:t>。每一卦封装了一类情境的应对智慧：乾卦的"自强不息"对应持续进取策略，坤卦的"厚德载物"对应稳健承载策略，坎卦的"习坎"对应反复试错学习策略。将这些古老智慧转化为计算机可执行的决策模板，本身就是一种知识工程。</w:t>
      </w:r>
    </w:p>
    <w:p>
      <w:pPr>
        <w:pStyle w:val="Heading2"/>
        <w:spacing w:before="160" w:after="80"/>
        <w:ind w:firstLine="0"/>
        <w:jc w:val="left"/>
      </w:pPr>
      <w:r>
        <w:rPr>
          <w:rFonts w:ascii="Times New Roman" w:hAnsi="Times New Roman" w:eastAsia="黑体"/>
          <w:b/>
          <w:i w:val="0"/>
          <w:sz w:val="24"/>
        </w:rPr>
        <w:t>2.2  器：领域知识库</w:t>
      </w:r>
    </w:p>
    <w:p>
      <w:r>
        <w:rPr>
          <w:rFonts w:ascii="Times New Roman" w:hAnsi="Times New Roman" w:eastAsia="宋体"/>
          <w:b w:val="0"/>
          <w:i w:val="0"/>
          <w:sz w:val="21"/>
        </w:rPr>
        <w:t>YLYW的"器"是一组结构化的领域知识存储，为推理引擎提供具体的事实支撑。主要包括以下四类：</w:t>
      </w:r>
    </w:p>
    <w:p>
      <w:r>
        <w:rPr>
          <w:rFonts w:ascii="Times New Roman" w:hAnsi="Times New Roman" w:eastAsia="宋体"/>
          <w:b w:val="0"/>
          <w:i w:val="0"/>
          <w:sz w:val="21"/>
        </w:rPr>
        <w:t>物体-位置先验矩阵P(obj, loc)：一个二维概率表，P[i][j]表示物体i出现在位置j的先验概率。例如，P["mug"]["countertop"]=0.8表示杯子有80%的概率在台面上。该矩阵基于常识构建初始值，后续通过知几学习动态更新。</w:t>
      </w:r>
    </w:p>
    <w:p>
      <w:r>
        <w:rPr>
          <w:rFonts w:ascii="Times New Roman" w:hAnsi="Times New Roman" w:eastAsia="宋体"/>
          <w:b w:val="0"/>
          <w:i w:val="0"/>
          <w:sz w:val="21"/>
        </w:rPr>
        <w:t>同义词映射表S(word→entities)：将自然语言描述映射到系统可操作的实体。例如，S["vault"]→{"safe"}表示"vault"（保险库）与"safe"（保险箱）指代同一类实体。该映射解决了自然语言的多义性和同义性问题。</w:t>
      </w:r>
    </w:p>
    <w:p>
      <w:r>
        <w:rPr>
          <w:rFonts w:ascii="Times New Roman" w:hAnsi="Times New Roman" w:eastAsia="宋体"/>
          <w:b w:val="0"/>
          <w:i w:val="0"/>
          <w:sz w:val="21"/>
        </w:rPr>
        <w:t>场景结构记忆：记录已观察到的场景布局信息，包括房间类型、物体分布、容器状态（开/关）等。这类记忆在探索过程中积累，减少重复探索的开销。</w:t>
      </w:r>
    </w:p>
    <w:p>
      <w:r>
        <w:rPr>
          <w:rFonts w:ascii="Times New Roman" w:hAnsi="Times New Roman" w:eastAsia="宋体"/>
          <w:b w:val="0"/>
          <w:i w:val="0"/>
          <w:sz w:val="21"/>
        </w:rPr>
        <w:t>任务类型模板：根据任务类型（如"放置物体""加热物体""清洁物体"）预定义动作序列骨架。模板定义了任务的基本阶段和关键步骤，具体参数由推理引擎在运行时填充。</w:t>
      </w:r>
    </w:p>
    <w:p>
      <w:pPr>
        <w:pStyle w:val="Heading2"/>
        <w:spacing w:before="160" w:after="80"/>
        <w:ind w:firstLine="0"/>
        <w:jc w:val="left"/>
      </w:pPr>
      <w:r>
        <w:rPr>
          <w:rFonts w:ascii="Times New Roman" w:hAnsi="Times New Roman" w:eastAsia="黑体"/>
          <w:b/>
          <w:i w:val="0"/>
          <w:sz w:val="24"/>
        </w:rPr>
        <w:t>2.3  道即是器，器即是道</w:t>
      </w:r>
    </w:p>
    <w:p>
      <w:r>
        <w:rPr>
          <w:rFonts w:ascii="Times New Roman" w:hAnsi="Times New Roman" w:eastAsia="宋体"/>
          <w:b w:val="0"/>
          <w:i w:val="0"/>
          <w:sz w:val="21"/>
        </w:rPr>
        <w:t>在"道-器"框架中，道与器并非截然二分的对立面，而是先验知识的两种互补形态。</w:t>
      </w:r>
    </w:p>
    <w:p>
      <w:r>
        <w:rPr>
          <w:rFonts w:ascii="Times New Roman" w:hAnsi="Times New Roman" w:eastAsia="宋体"/>
          <w:b w:val="0"/>
          <w:i w:val="0"/>
          <w:sz w:val="21"/>
        </w:rPr>
        <w:t>道是结构化的、抽象的先验知识——它编码了"如何推理"的元知识。64卦模板本身就是一种高度压缩的经验库：每一卦总结了一类情境的最佳应对策略，六爻细分了该情境的六个发展阶段。这是人类数千年博弈经验的结构化编码。</w:t>
      </w:r>
    </w:p>
    <w:p>
      <w:r>
        <w:rPr>
          <w:rFonts w:ascii="Times New Roman" w:hAnsi="Times New Roman" w:eastAsia="宋体"/>
          <w:b w:val="0"/>
          <w:i w:val="0"/>
          <w:sz w:val="21"/>
        </w:rPr>
        <w:t>器是具体的、实例化的先验知识——它编码了"世界是什么样的"的具体事实。先验矩阵中的每个数值、同义词表中的每条映射，都是对特定领域知识的具体表达。</w:t>
      </w:r>
    </w:p>
    <w:p>
      <w:r>
        <w:rPr>
          <w:rFonts w:ascii="Times New Roman" w:hAnsi="Times New Roman" w:eastAsia="宋体"/>
          <w:b w:val="0"/>
          <w:i w:val="0"/>
          <w:sz w:val="21"/>
        </w:rPr>
        <w:t>两者的关系如《系辞传》所言："形而上者谓之道，形而下者谓之器。"道是形而上的抽象结构，器是形而下的具体内容。但正如阴阳不可分割，道器也相互依存：没有器的填充，道是空洞的骨架；没有道的组织，器是散乱的数据。</w:t>
      </w:r>
    </w:p>
    <w:p>
      <w:r>
        <w:rPr>
          <w:rFonts w:ascii="Times New Roman" w:hAnsi="Times New Roman" w:eastAsia="宋体"/>
          <w:b w:val="0"/>
          <w:i w:val="0"/>
          <w:sz w:val="21"/>
        </w:rPr>
        <w:t>这种互补性也体现在知几学习的作用方式上：知几学习既能校准道（修改卦策略模板中的参数），也能校准器（更新先验矩阵中的值），其校准方式完全统一——因为道和器本质上都是先验参数的不同组织形式。</w:t>
      </w:r>
    </w:p>
    <w:p>
      <w:pPr>
        <w:pStyle w:val="Heading2"/>
        <w:spacing w:before="160" w:after="80"/>
        <w:ind w:firstLine="0"/>
        <w:jc w:val="left"/>
      </w:pPr>
      <w:r>
        <w:rPr>
          <w:rFonts w:ascii="Times New Roman" w:hAnsi="Times New Roman" w:eastAsia="黑体"/>
          <w:b/>
          <w:i w:val="0"/>
          <w:sz w:val="24"/>
        </w:rPr>
        <w:t>2.4  零样本能力的来源</w:t>
      </w:r>
    </w:p>
    <w:p>
      <w:r>
        <w:rPr>
          <w:rFonts w:ascii="Times New Roman" w:hAnsi="Times New Roman" w:eastAsia="宋体"/>
          <w:b w:val="0"/>
          <w:i w:val="0"/>
          <w:sz w:val="21"/>
        </w:rPr>
        <w:t>仅凭道+器，YLYW系统在ALFWorld基准上达到67.2%的零样本成功率（134局中完成90局）。在物理域仿真中，零样本合理率达到92.7%</w:t>
      </w:r>
      <w:r>
        <w:rPr>
          <w:rFonts w:ascii="Times New Roman" w:hAnsi="Times New Roman" w:eastAsia="宋体"/>
          <w:b w:val="0"/>
          <w:i w:val="0"/>
          <w:sz w:val="16"/>
          <w:vertAlign w:val="superscript"/>
        </w:rPr>
        <w:t>[6]</w:t>
      </w:r>
      <w:r>
        <w:rPr>
          <w:rFonts w:ascii="Times New Roman" w:hAnsi="Times New Roman" w:eastAsia="宋体"/>
          <w:b w:val="0"/>
          <w:i w:val="0"/>
          <w:sz w:val="21"/>
        </w:rPr>
        <w:t>。</w:t>
      </w:r>
    </w:p>
    <w:p>
      <w:r>
        <w:rPr>
          <w:rFonts w:ascii="Times New Roman" w:hAnsi="Times New Roman" w:eastAsia="宋体"/>
          <w:b w:val="0"/>
          <w:i w:val="0"/>
          <w:sz w:val="21"/>
        </w:rPr>
        <w:t>零样本≠白纸。与从零开始的RL不同，YLYW携带丰富的先验"出生"。道提供了64种基本策略模板（如何应对各类情境），器提供了大量领域事实（物体位置、词义映射）。两者组合已覆盖三分之二的测试场景。</w:t>
      </w:r>
    </w:p>
    <w:p>
      <w:r>
        <w:rPr>
          <w:rFonts w:ascii="Times New Roman" w:hAnsi="Times New Roman" w:eastAsia="宋体"/>
          <w:b w:val="0"/>
          <w:i w:val="0"/>
          <w:sz w:val="21"/>
        </w:rPr>
        <w:t>剩余的32.8%失败案例正是知几学习发挥作用的空间：先验覆盖不到的边缘情境、先验与实际不符的特殊情况。知几学习的任务不是从零建立知识，而是对已有的道器做精确修正。</w:t>
      </w:r>
    </w:p>
    <w:p>
      <w:pPr>
        <w:spacing w:before="240" w:after="240"/>
        <w:ind w:firstLine="0"/>
        <w:jc w:val="center"/>
      </w:pPr>
      <w:r>
        <w:rPr>
          <w:rFonts w:ascii="Times New Roman" w:hAnsi="Times New Roman" w:eastAsia="宋体"/>
          <w:b w:val="0"/>
          <w:i w:val="0"/>
          <w:sz w:val="18"/>
        </w:rPr>
        <w:t>[图1位置] 图1  道-器-法三位一体架构图</w:t>
        <w:br/>
        <w:t>（描述：上层"法(知几学习)"通过校准箭头(+α/-β)分别指向中层并列的"道(易理模型64卦)"和"器(知识库先验矩阵)"，下层为"输出：决策动作"。道和器共同向下输出决策，法从结果反馈中获取征兆信息并向道器发出精确校准信号。）</w:t>
      </w:r>
    </w:p>
    <w:p>
      <w:pPr>
        <w:pStyle w:val="Heading1"/>
        <w:spacing w:before="240" w:after="120"/>
        <w:ind w:firstLine="0"/>
        <w:jc w:val="left"/>
      </w:pPr>
      <w:r>
        <w:rPr>
          <w:rFonts w:ascii="Times New Roman" w:hAnsi="Times New Roman" w:eastAsia="黑体"/>
          <w:b/>
          <w:i w:val="0"/>
          <w:sz w:val="28"/>
        </w:rPr>
        <w:t>3  法：知几学习的理论框架</w:t>
      </w:r>
    </w:p>
    <w:p>
      <w:pPr>
        <w:pStyle w:val="Heading2"/>
        <w:spacing w:before="160" w:after="80"/>
        <w:ind w:firstLine="0"/>
        <w:jc w:val="left"/>
      </w:pPr>
      <w:r>
        <w:rPr>
          <w:rFonts w:ascii="Times New Roman" w:hAnsi="Times New Roman" w:eastAsia="黑体"/>
          <w:b/>
          <w:i w:val="0"/>
          <w:sz w:val="24"/>
        </w:rPr>
        <w:t>3.1  知几学习的哲学定位</w:t>
      </w:r>
    </w:p>
    <w:p>
      <w:r>
        <w:rPr>
          <w:rFonts w:ascii="Times New Roman" w:hAnsi="Times New Roman" w:eastAsia="宋体"/>
          <w:b w:val="0"/>
          <w:i w:val="0"/>
          <w:sz w:val="21"/>
        </w:rPr>
        <w:t>"法"在佛学中指修行方法，在法家中指治国之术。在本文的框架中，"法"特指学习的方法论——智能体从经验中精进的机制。</w:t>
      </w:r>
    </w:p>
    <w:p>
      <w:r>
        <w:rPr>
          <w:rFonts w:ascii="Times New Roman" w:hAnsi="Times New Roman" w:eastAsia="宋体"/>
          <w:b w:val="0"/>
          <w:i w:val="0"/>
          <w:sz w:val="21"/>
        </w:rPr>
        <w:t>知几学习的核心定位是：它不是一个独立的模块，而是作用于道器之上的学习方式。正如"道生之，德畜之，物形之，势成之"（《道德经》），道和器是存在的基础，法则是让它们在运行中不断完善的动力。</w:t>
      </w:r>
    </w:p>
    <w:p>
      <w:r>
        <w:rPr>
          <w:rFonts w:ascii="Times New Roman" w:hAnsi="Times New Roman" w:eastAsia="宋体"/>
          <w:b w:val="0"/>
          <w:i w:val="0"/>
          <w:sz w:val="21"/>
        </w:rPr>
        <w:t>"知几"的哲学内涵来自《系辞传》的三句话：</w:t>
      </w:r>
    </w:p>
    <w:p>
      <w:r>
        <w:rPr>
          <w:rFonts w:ascii="Times New Roman" w:hAnsi="Times New Roman" w:eastAsia="宋体"/>
          <w:b w:val="0"/>
          <w:i w:val="0"/>
          <w:sz w:val="21"/>
        </w:rPr>
        <w:t>"知几其神乎"——察觉微小变化的能力近乎神明，这定义了知几学习的核心能力：从单次交互中识别有意义的信息。</w:t>
      </w:r>
    </w:p>
    <w:p>
      <w:r>
        <w:rPr>
          <w:rFonts w:ascii="Times New Roman" w:hAnsi="Times New Roman" w:eastAsia="宋体"/>
          <w:b w:val="0"/>
          <w:i w:val="0"/>
          <w:sz w:val="21"/>
        </w:rPr>
        <w:t>"几者，动之微，吉之先见者也"——"几"是事物变化的最早征兆，这定义了学习的信号来源：不是统计平均，而是单次事件中的关键证据。</w:t>
      </w:r>
    </w:p>
    <w:p>
      <w:r>
        <w:rPr>
          <w:rFonts w:ascii="Times New Roman" w:hAnsi="Times New Roman" w:eastAsia="宋体"/>
          <w:b w:val="0"/>
          <w:i w:val="0"/>
          <w:sz w:val="21"/>
        </w:rPr>
        <w:t>"知微知彰，知柔知刚"——既能察觉细微，也能把握宏观，这定义了知几学习的双向性：同时处理成功征兆（吉之几）和失败征兆（凶之几）。</w:t>
      </w:r>
    </w:p>
    <w:p>
      <w:r>
        <w:rPr>
          <w:rFonts w:ascii="Times New Roman" w:hAnsi="Times New Roman" w:eastAsia="宋体"/>
          <w:b w:val="0"/>
          <w:i w:val="0"/>
          <w:sz w:val="21"/>
        </w:rPr>
        <w:t>知几学习的通用性体现在：它不绑定于YLYW或任何特定的先验体系。YLYW只是将64卦作为"道"的一种实例化方式。原则上，任何满足"可解释+可追溯+可定位"三条件的先验体系都能承载知几学习。</w:t>
      </w:r>
    </w:p>
    <w:p>
      <w:pPr>
        <w:pStyle w:val="Heading2"/>
        <w:spacing w:before="160" w:after="80"/>
        <w:ind w:firstLine="0"/>
        <w:jc w:val="left"/>
      </w:pPr>
      <w:r>
        <w:rPr>
          <w:rFonts w:ascii="Times New Roman" w:hAnsi="Times New Roman" w:eastAsia="黑体"/>
          <w:b/>
          <w:i w:val="0"/>
          <w:sz w:val="24"/>
        </w:rPr>
        <w:t>3.2  统一校准公式</w:t>
      </w:r>
    </w:p>
    <w:p>
      <w:r>
        <w:rPr>
          <w:rFonts w:ascii="Times New Roman" w:hAnsi="Times New Roman" w:eastAsia="宋体"/>
          <w:b w:val="0"/>
          <w:i w:val="0"/>
          <w:sz w:val="21"/>
        </w:rPr>
        <w:t>知几学习的数学表达简洁而统一。设Ω为系统的先验知识总体（包括道和器的所有参数），ΔK为一次学习事件产生的知识增量，则学习后的知识状态K为：</w:t>
      </w:r>
    </w:p>
    <w:p>
      <w:pPr>
        <w:ind w:firstLine="0"/>
        <w:jc w:val="center"/>
      </w:pPr>
      <w:r>
        <w:rPr>
          <w:rFonts w:ascii="Cambria Math" w:hAnsi="Cambria Math" w:eastAsia="Cambria Math"/>
          <w:i/>
          <w:sz w:val="22"/>
        </w:rPr>
        <w:t>K = Ω(道+器) ⊕ ΔK(trajectory, reward)</w:t>
      </w:r>
      <w:r>
        <w:rPr>
          <w:rFonts w:ascii="Times New Roman" w:hAnsi="Times New Roman"/>
          <w:i w:val="0"/>
          <w:sz w:val="22"/>
        </w:rPr>
        <w:t xml:space="preserve">    (1)</w:t>
      </w:r>
    </w:p>
    <w:p>
      <w:r>
        <w:rPr>
          <w:rFonts w:ascii="Times New Roman" w:hAnsi="Times New Roman" w:eastAsia="宋体"/>
          <w:b w:val="0"/>
          <w:i w:val="0"/>
          <w:sz w:val="21"/>
        </w:rPr>
        <w:t>其中⊕表示知识融合运算（在本系统中具体化为参数的加性更新）。ΔK的计算方式为：</w:t>
      </w:r>
    </w:p>
    <w:p>
      <w:pPr>
        <w:ind w:firstLine="0"/>
        <w:jc w:val="center"/>
      </w:pPr>
      <w:r>
        <w:rPr>
          <w:rFonts w:ascii="Cambria Math" w:hAnsi="Cambria Math" w:eastAsia="Cambria Math"/>
          <w:i/>
          <w:sz w:val="22"/>
        </w:rPr>
        <w:t>ΔK = Σᵢ δ(observedᵢ) × rewardᵢ</w:t>
      </w:r>
      <w:r>
        <w:rPr>
          <w:rFonts w:ascii="Times New Roman" w:hAnsi="Times New Roman"/>
          <w:i w:val="0"/>
          <w:sz w:val="22"/>
        </w:rPr>
        <w:t xml:space="preserve">    (2)</w:t>
      </w:r>
    </w:p>
    <w:p>
      <w:r>
        <w:rPr>
          <w:rFonts w:ascii="Times New Roman" w:hAnsi="Times New Roman" w:eastAsia="宋体"/>
          <w:b w:val="0"/>
          <w:i w:val="0"/>
          <w:sz w:val="21"/>
        </w:rPr>
        <w:t>其中δ(observedᵢ)是从轨迹中提取的第i个观察条目，rewardᵢ是该条目对应的校准方向和幅度。在最简形式下，reward = +1.0（成功）或 -1.0（失败），即：</w:t>
      </w:r>
    </w:p>
    <w:p>
      <w:pPr>
        <w:ind w:firstLine="0"/>
        <w:jc w:val="center"/>
      </w:pPr>
      <w:r>
        <w:rPr>
          <w:rFonts w:ascii="Cambria Math" w:hAnsi="Cambria Math" w:eastAsia="Cambria Math"/>
          <w:i/>
          <w:sz w:val="22"/>
        </w:rPr>
        <w:t>prior[key] += reward × weight</w:t>
      </w:r>
      <w:r>
        <w:rPr>
          <w:rFonts w:ascii="Times New Roman" w:hAnsi="Times New Roman"/>
          <w:i w:val="0"/>
          <w:sz w:val="22"/>
        </w:rPr>
        <w:t xml:space="preserve">    (3)</w:t>
      </w:r>
    </w:p>
    <w:p>
      <w:r>
        <w:rPr>
          <w:rFonts w:ascii="Times New Roman" w:hAnsi="Times New Roman" w:eastAsia="宋体"/>
          <w:b w:val="0"/>
          <w:i w:val="0"/>
          <w:sz w:val="21"/>
        </w:rPr>
        <w:t>这一公式的朴素性恰恰是其力量所在。传统RL需要复杂的梯度计算和大量样本来估计期望回报；知几学习只需一次成功或失败的观察，就能精确更新一个具体条目。这种效率来源于两个前提：(1)先验体系已覆盖大部分知识，更新量很小；(2)可解释性使更新可以精确定位，无需全局搜索。</w:t>
      </w:r>
    </w:p>
    <w:p>
      <w:pPr>
        <w:pStyle w:val="Heading2"/>
        <w:spacing w:before="160" w:after="80"/>
        <w:ind w:firstLine="0"/>
        <w:jc w:val="left"/>
      </w:pPr>
      <w:r>
        <w:rPr>
          <w:rFonts w:ascii="Times New Roman" w:hAnsi="Times New Roman" w:eastAsia="黑体"/>
          <w:b/>
          <w:i w:val="0"/>
          <w:sz w:val="24"/>
        </w:rPr>
        <w:t>3.3  "吉之几"与"凶之几"的对称性</w:t>
      </w:r>
    </w:p>
    <w:p>
      <w:r>
        <w:rPr>
          <w:rFonts w:ascii="Times New Roman" w:hAnsi="Times New Roman" w:eastAsia="宋体"/>
          <w:b w:val="0"/>
          <w:i w:val="0"/>
          <w:sz w:val="21"/>
        </w:rPr>
        <w:t>知几学习的一个核心设计原则是对称性：成功和失败以完全对称的方式更新同一套参数。</w:t>
      </w:r>
    </w:p>
    <w:p>
      <w:r>
        <w:rPr>
          <w:rFonts w:ascii="Times New Roman" w:hAnsi="Times New Roman" w:eastAsia="宋体"/>
          <w:b w:val="0"/>
          <w:i w:val="0"/>
          <w:sz w:val="21"/>
        </w:rPr>
        <w:t>"吉之几"（won=True）：系统完成任务后，从轨迹中提取成功征兆。例如，在某位置找到了目标物体，则更新P(obj, found_loc) += α。这是正向校准——增强被验证的先验。</w:t>
      </w:r>
    </w:p>
    <w:p>
      <w:r>
        <w:rPr>
          <w:rFonts w:ascii="Times New Roman" w:hAnsi="Times New Roman" w:eastAsia="宋体"/>
          <w:b w:val="0"/>
          <w:i w:val="0"/>
          <w:sz w:val="21"/>
        </w:rPr>
        <w:t>"凶之几"（won=False）：系统失败后，从轨迹中提取失败征兆。例如，在某位置未找到目标物体（反复查找后确认为空），则更新P(obj, empty_loc) -= β。这是负向校准——削弱被否定的先验。</w:t>
      </w:r>
    </w:p>
    <w:p>
      <w:r>
        <w:rPr>
          <w:rFonts w:ascii="Times New Roman" w:hAnsi="Times New Roman" w:eastAsia="宋体"/>
          <w:b w:val="0"/>
          <w:i w:val="0"/>
          <w:sz w:val="21"/>
        </w:rPr>
        <w:t>对称性体现在三个层面：</w:t>
      </w:r>
    </w:p>
    <w:p>
      <w:r>
        <w:rPr>
          <w:rFonts w:ascii="Times New Roman" w:hAnsi="Times New Roman" w:eastAsia="宋体"/>
          <w:b w:val="0"/>
          <w:i w:val="0"/>
          <w:sz w:val="21"/>
        </w:rPr>
        <w:t>(1) 同一参数空间：正向和负向校准作用于完全相同的参数集合（先验矩阵、同义词表等），不需要额外的"奖励网络"或"批评者"。</w:t>
      </w:r>
    </w:p>
    <w:p>
      <w:r>
        <w:rPr>
          <w:rFonts w:ascii="Times New Roman" w:hAnsi="Times New Roman" w:eastAsia="宋体"/>
          <w:b w:val="0"/>
          <w:i w:val="0"/>
          <w:sz w:val="21"/>
        </w:rPr>
        <w:t>(2) 同一操作方式：都是 prior[key] += reward × weight 的形式，只是reward的符号不同。</w:t>
      </w:r>
    </w:p>
    <w:p>
      <w:r>
        <w:rPr>
          <w:rFonts w:ascii="Times New Roman" w:hAnsi="Times New Roman" w:eastAsia="宋体"/>
          <w:b w:val="0"/>
          <w:i w:val="0"/>
          <w:sz w:val="21"/>
        </w:rPr>
        <w:t>(3) 同一触发机制：都是从轨迹中识别关键事件（几），然后立即更新。</w:t>
      </w:r>
    </w:p>
    <w:p>
      <w:r>
        <w:rPr>
          <w:rFonts w:ascii="Times New Roman" w:hAnsi="Times New Roman" w:eastAsia="宋体"/>
          <w:b w:val="0"/>
          <w:i w:val="0"/>
          <w:sz w:val="21"/>
        </w:rPr>
        <w:t>这种对称性在神经科学中有深刻的对应：多巴胺系统对同一套突触做双向调制。正预测误差（结果优于预期）导致多巴胺释放增加，增强突触连接；负预测误差（结果劣于预期）导致多巴胺释放减少，削弱突触连接</w:t>
      </w:r>
      <w:r>
        <w:rPr>
          <w:rFonts w:ascii="Times New Roman" w:hAnsi="Times New Roman" w:eastAsia="宋体"/>
          <w:b w:val="0"/>
          <w:i w:val="0"/>
          <w:sz w:val="16"/>
          <w:vertAlign w:val="superscript"/>
        </w:rPr>
        <w:t>[7]</w:t>
      </w:r>
      <w:r>
        <w:rPr>
          <w:rFonts w:ascii="Times New Roman" w:hAnsi="Times New Roman" w:eastAsia="宋体"/>
          <w:b w:val="0"/>
          <w:i w:val="0"/>
          <w:sz w:val="21"/>
        </w:rPr>
        <w:t>。知几学习的+α/-β对称校准是这一生物学机制的计算化映射。</w:t>
      </w:r>
    </w:p>
    <w:p>
      <w:pPr>
        <w:spacing w:before="240" w:after="240"/>
        <w:ind w:firstLine="0"/>
        <w:jc w:val="center"/>
      </w:pPr>
      <w:r>
        <w:rPr>
          <w:rFonts w:ascii="Times New Roman" w:hAnsi="Times New Roman" w:eastAsia="宋体"/>
          <w:b w:val="0"/>
          <w:i w:val="0"/>
          <w:sz w:val="18"/>
        </w:rPr>
        <w:t>[图2位置] 图2  对称校准示意图</w:t>
        <w:br/>
        <w:t>（描述：中央为一个物体-位置先验矩阵P(obj,loc)，表格形式展示。左侧绿色箭头标注"+α"指向某个条目，表示成功观察后的正向校准，标注"吉之几"；右侧红色箭头标注"-β"指向另一个条目，表示失败观察后的负向校准，标注"凶之几"。矩阵中被校准的条目用不同底色高亮。）</w:t>
      </w:r>
    </w:p>
    <w:p>
      <w:pPr>
        <w:pStyle w:val="Heading2"/>
        <w:spacing w:before="160" w:after="80"/>
        <w:ind w:firstLine="0"/>
        <w:jc w:val="left"/>
      </w:pPr>
      <w:r>
        <w:rPr>
          <w:rFonts w:ascii="Times New Roman" w:hAnsi="Times New Roman" w:eastAsia="黑体"/>
          <w:b/>
          <w:i w:val="0"/>
          <w:sz w:val="24"/>
        </w:rPr>
        <w:t>3.4  可解释性：精确校准的前提</w:t>
      </w:r>
    </w:p>
    <w:p>
      <w:r>
        <w:rPr>
          <w:rFonts w:ascii="Times New Roman" w:hAnsi="Times New Roman" w:eastAsia="宋体"/>
          <w:b w:val="0"/>
          <w:i w:val="0"/>
          <w:sz w:val="21"/>
        </w:rPr>
        <w:t>知几学习为什么高效？因为它只更新需要更新的那一个（或少数几个）参数条目，而不是整个参数空间。这种精确性的前提是可解释性。</w:t>
      </w:r>
    </w:p>
    <w:p>
      <w:r>
        <w:rPr>
          <w:rFonts w:ascii="Times New Roman" w:hAnsi="Times New Roman" w:eastAsia="宋体"/>
          <w:b w:val="0"/>
          <w:i w:val="0"/>
          <w:sz w:val="21"/>
        </w:rPr>
        <w:t>可解释性在知几学习中的角色不是"事后解释"（post-hoc explanation），而是"校准前提"（prerequisite for calibration）。具体而言：</w:t>
      </w:r>
    </w:p>
    <w:p>
      <w:r>
        <w:rPr>
          <w:rFonts w:ascii="Times New Roman" w:hAnsi="Times New Roman" w:eastAsia="宋体"/>
          <w:b w:val="0"/>
          <w:i w:val="0"/>
          <w:sz w:val="21"/>
        </w:rPr>
        <w:t>决策链透明→故障可定位。当一次任务失败时，系统可以沿着决策链回溯：是L3的卦策略模板有误？还是L2的编码阈值偏差？还是器中某个先验值不准确？这种回溯在黑箱系统中是不可能的。</w:t>
      </w:r>
    </w:p>
    <w:p>
      <w:r>
        <w:rPr>
          <w:rFonts w:ascii="Times New Roman" w:hAnsi="Times New Roman" w:eastAsia="宋体"/>
          <w:b w:val="0"/>
          <w:i w:val="0"/>
          <w:sz w:val="21"/>
        </w:rPr>
        <w:t>故障可定位→更新可精确。一旦定位到具体的参数条目（如P["mug"]["countertop"]的值过高），就可以精确更新这一个条目，而不影响其他数千个参数。</w:t>
      </w:r>
    </w:p>
    <w:p>
      <w:r>
        <w:rPr>
          <w:rFonts w:ascii="Times New Roman" w:hAnsi="Times New Roman" w:eastAsia="宋体"/>
          <w:b w:val="0"/>
          <w:i w:val="0"/>
          <w:sz w:val="21"/>
        </w:rPr>
        <w:t>更新可精确→样本效率高。只需一次观察就能完成一次精确更新，不需要大量样本来统计估计。</w:t>
      </w:r>
    </w:p>
    <w:p>
      <w:r>
        <w:rPr>
          <w:rFonts w:ascii="Times New Roman" w:hAnsi="Times New Roman" w:eastAsia="宋体"/>
          <w:b w:val="0"/>
          <w:i w:val="0"/>
          <w:sz w:val="21"/>
        </w:rPr>
        <w:t>如果去掉可解释性，知几学习会退化为什么？答案是：退化为传统RL。当决策过程是黑箱时，失败后只知道"某处出了问题"，但不知道是哪个参数的问题。此时只能做全局更新（梯度下降），需要大量样本来统计定位。这正是RL面临的困境。</w:t>
      </w:r>
    </w:p>
    <w:p>
      <w:r>
        <w:rPr>
          <w:rFonts w:ascii="Times New Roman" w:hAnsi="Times New Roman" w:eastAsia="宋体"/>
          <w:b w:val="0"/>
          <w:i w:val="0"/>
          <w:sz w:val="21"/>
        </w:rPr>
        <w:t>因此，可解释性不是知几学习的附加特性，而是其存在的前提条件。没有可解释性，就没有精确校准，知几学习也就失去了存在的意义。</w:t>
      </w:r>
    </w:p>
    <w:p>
      <w:pPr>
        <w:pStyle w:val="Heading2"/>
        <w:spacing w:before="160" w:after="80"/>
        <w:ind w:firstLine="0"/>
        <w:jc w:val="left"/>
      </w:pPr>
      <w:r>
        <w:rPr>
          <w:rFonts w:ascii="Times New Roman" w:hAnsi="Times New Roman" w:eastAsia="黑体"/>
          <w:b/>
          <w:i w:val="0"/>
          <w:sz w:val="24"/>
        </w:rPr>
        <w:t>3.5  与RL的本质区别</w:t>
      </w:r>
    </w:p>
    <w:p>
      <w:r>
        <w:rPr>
          <w:rFonts w:ascii="Times New Roman" w:hAnsi="Times New Roman" w:eastAsia="宋体"/>
          <w:b w:val="0"/>
          <w:i w:val="0"/>
          <w:sz w:val="21"/>
        </w:rPr>
        <w:t>知几学习与强化学习的区别不是"多了先验知识"这么简单，而是在知识论层面的根本分歧：</w:t>
      </w:r>
    </w:p>
    <w:p>
      <w:r>
        <w:rPr>
          <w:rFonts w:ascii="Times New Roman" w:hAnsi="Times New Roman" w:eastAsia="宋体"/>
          <w:b w:val="0"/>
          <w:i w:val="0"/>
          <w:sz w:val="21"/>
        </w:rPr>
        <w:t>知识来源不同。RL的基本等式是 K = f(D)——知识完全来自数据。知几学习的等式是 K = Ω ⊕ ΔK(D)——大部分知识来自先验Ω，数据只提供校准增量ΔK。当Ω足够丰富时，ΔK可以非常小（几个条目的修正）。</w:t>
      </w:r>
    </w:p>
    <w:p>
      <w:r>
        <w:rPr>
          <w:rFonts w:ascii="Times New Roman" w:hAnsi="Times New Roman" w:eastAsia="宋体"/>
          <w:b w:val="0"/>
          <w:i w:val="0"/>
          <w:sz w:val="21"/>
        </w:rPr>
        <w:t>更新方式不同。RL的更新方式是 θ ← θ - η∇L(θ)——全参数梯度下降。知几学习的更新方式是 P[key] += reward × α——单条目精确更新。前者需要遍历所有参数，后者只触及一个具体条目。</w:t>
      </w:r>
    </w:p>
    <w:p>
      <w:r>
        <w:rPr>
          <w:rFonts w:ascii="Times New Roman" w:hAnsi="Times New Roman" w:eastAsia="宋体"/>
          <w:b w:val="0"/>
          <w:i w:val="0"/>
          <w:sz w:val="21"/>
        </w:rPr>
        <w:t>样本复杂度不同。RL的样本复杂度通常为O(ε</w:t>
      </w:r>
      <w:r>
        <w:rPr>
          <w:rFonts w:ascii="Times New Roman" w:hAnsi="Times New Roman" w:eastAsia="宋体"/>
          <w:b w:val="0"/>
          <w:i w:val="0"/>
          <w:sz w:val="16"/>
          <w:vertAlign w:val="superscript"/>
        </w:rPr>
        <w:t>-N</w:t>
      </w:r>
      <w:r>
        <w:rPr>
          <w:rFonts w:ascii="Times New Roman" w:hAnsi="Times New Roman" w:eastAsia="宋体"/>
          <w:b w:val="0"/>
          <w:i w:val="0"/>
          <w:sz w:val="21"/>
        </w:rPr>
        <w:t>)，其中N是参数维度。知几学习的复杂度为O(ε</w:t>
      </w:r>
      <w:r>
        <w:rPr>
          <w:rFonts w:ascii="Times New Roman" w:hAnsi="Times New Roman" w:eastAsia="宋体"/>
          <w:b w:val="0"/>
          <w:i w:val="0"/>
          <w:sz w:val="16"/>
          <w:vertAlign w:val="superscript"/>
        </w:rPr>
        <w:t>-K</w:t>
      </w:r>
      <w:r>
        <w:rPr>
          <w:rFonts w:ascii="Times New Roman" w:hAnsi="Times New Roman" w:eastAsia="宋体"/>
          <w:b w:val="0"/>
          <w:i w:val="0"/>
          <w:sz w:val="21"/>
        </w:rPr>
        <w:t>)，其中K是需要校准的条目数量。由于K≪N（大部分先验已正确，只有少数需修正），知几学习的数据需求低几个数量级。</w:t>
      </w:r>
    </w:p>
    <w:p>
      <w:r>
        <w:rPr>
          <w:rFonts w:ascii="Times New Roman" w:hAnsi="Times New Roman" w:eastAsia="宋体"/>
          <w:b w:val="0"/>
          <w:i w:val="0"/>
          <w:sz w:val="21"/>
        </w:rPr>
        <w:t>可解释性不同。RL的参数是不可解释的高维向量。知几学习的参数是人类可理解的语义条目（如"杯子在台面上的概率"）。这种可解释性不仅便于人类理解，更是精确校准的技术前提。</w:t>
      </w:r>
    </w:p>
    <w:p>
      <w:pPr>
        <w:pStyle w:val="Heading2"/>
        <w:spacing w:before="160" w:after="80"/>
        <w:ind w:firstLine="0"/>
        <w:jc w:val="left"/>
      </w:pPr>
      <w:r>
        <w:rPr>
          <w:rFonts w:ascii="Times New Roman" w:hAnsi="Times New Roman" w:eastAsia="黑体"/>
          <w:b/>
          <w:i w:val="0"/>
          <w:sz w:val="24"/>
        </w:rPr>
        <w:t>3.6  知几学习的通用性论证</w:t>
      </w:r>
    </w:p>
    <w:p>
      <w:r>
        <w:rPr>
          <w:rFonts w:ascii="Times New Roman" w:hAnsi="Times New Roman" w:eastAsia="宋体"/>
          <w:b w:val="0"/>
          <w:i w:val="0"/>
          <w:sz w:val="21"/>
        </w:rPr>
        <w:t>知几学习的通用性是本文的核心主张之一：它不是YLYW的专属学习方法，而是适用于任何可解释先验体系的通用学习框架。</w:t>
      </w:r>
    </w:p>
    <w:p>
      <w:r>
        <w:rPr>
          <w:rFonts w:ascii="Times New Roman" w:hAnsi="Times New Roman" w:eastAsia="宋体"/>
          <w:b w:val="0"/>
          <w:i w:val="0"/>
          <w:sz w:val="21"/>
        </w:rPr>
        <w:t>YLYW只是将64卦作为"道"的一种实例化。原则上，以下系统都可以承载知几学习：</w:t>
      </w:r>
    </w:p>
    <w:p>
      <w:r>
        <w:rPr>
          <w:rFonts w:ascii="Times New Roman" w:hAnsi="Times New Roman" w:eastAsia="宋体"/>
          <w:b w:val="0"/>
          <w:i w:val="0"/>
          <w:sz w:val="21"/>
        </w:rPr>
        <w:t>(1) 物理引擎模型作为"道"：物理仿真器（如MuJoCo）提供可解释的物理推理，其参数（摩擦系数、质量等）可通过成功/失败经验精确校准。</w:t>
      </w:r>
    </w:p>
    <w:p>
      <w:r>
        <w:rPr>
          <w:rFonts w:ascii="Times New Roman" w:hAnsi="Times New Roman" w:eastAsia="宋体"/>
          <w:b w:val="0"/>
          <w:i w:val="0"/>
          <w:sz w:val="21"/>
        </w:rPr>
        <w:t>(2) 知识图谱作为"器"：结构化知识图谱的每条边都是可定位的先验，观察到的新事实可直接更新对应边的权重。</w:t>
      </w:r>
    </w:p>
    <w:p>
      <w:r>
        <w:rPr>
          <w:rFonts w:ascii="Times New Roman" w:hAnsi="Times New Roman" w:eastAsia="宋体"/>
          <w:b w:val="0"/>
          <w:i w:val="0"/>
          <w:sz w:val="21"/>
        </w:rPr>
        <w:t>(3) 因果模型作为"道"：因果贝叶斯网络的每条因果边都有明确语义，实验结果可精确校准因果强度参数。</w:t>
      </w:r>
    </w:p>
    <w:p>
      <w:r>
        <w:rPr>
          <w:rFonts w:ascii="Times New Roman" w:hAnsi="Times New Roman" w:eastAsia="宋体"/>
          <w:b w:val="0"/>
          <w:i w:val="0"/>
          <w:sz w:val="21"/>
        </w:rPr>
        <w:t>(4) 规则系统作为"道+器"：专家系统的每条规则都是可追溯的，规则的置信度可通过实际案例的成败来校准。</w:t>
      </w:r>
    </w:p>
    <w:p>
      <w:r>
        <w:rPr>
          <w:rFonts w:ascii="Times New Roman" w:hAnsi="Times New Roman" w:eastAsia="宋体"/>
          <w:b w:val="0"/>
          <w:i w:val="0"/>
          <w:sz w:val="21"/>
        </w:rPr>
        <w:t>知几学习的通用条件归纳为三点：(1)有先验知识（不是白纸）；(2)决策过程可追溯（不是黑箱）；(3)参数可精确定位（不需要全局搜索）。满足这三条的任何系统都是知几学习的合适载体。</w:t>
      </w:r>
    </w:p>
    <w:p>
      <w:pPr>
        <w:pStyle w:val="Heading1"/>
        <w:spacing w:before="240" w:after="120"/>
        <w:ind w:firstLine="0"/>
        <w:jc w:val="left"/>
      </w:pPr>
      <w:r>
        <w:rPr>
          <w:rFonts w:ascii="Times New Roman" w:hAnsi="Times New Roman" w:eastAsia="黑体"/>
          <w:b/>
          <w:i w:val="0"/>
          <w:sz w:val="28"/>
        </w:rPr>
        <w:t>4  校准机制的工程实现</w:t>
      </w:r>
    </w:p>
    <w:p>
      <w:pPr>
        <w:pStyle w:val="Heading2"/>
        <w:spacing w:before="160" w:after="80"/>
        <w:ind w:firstLine="0"/>
        <w:jc w:val="left"/>
      </w:pPr>
      <w:r>
        <w:rPr>
          <w:rFonts w:ascii="Times New Roman" w:hAnsi="Times New Roman" w:eastAsia="黑体"/>
          <w:b/>
          <w:i w:val="0"/>
          <w:sz w:val="24"/>
        </w:rPr>
        <w:t>4.1  统一接口</w:t>
      </w:r>
    </w:p>
    <w:p>
      <w:r>
        <w:rPr>
          <w:rFonts w:ascii="Times New Roman" w:hAnsi="Times New Roman" w:eastAsia="宋体"/>
          <w:b w:val="0"/>
          <w:i w:val="0"/>
          <w:sz w:val="21"/>
        </w:rPr>
        <w:t>知几学习在YLYW中通过一个统一的observe()接口实现：</w:t>
      </w:r>
    </w:p>
    <w:p>
      <w:pPr>
        <w:ind w:firstLine="0"/>
        <w:jc w:val="center"/>
      </w:pPr>
      <w:r>
        <w:rPr>
          <w:rFonts w:ascii="Cambria Math" w:hAnsi="Cambria Math" w:eastAsia="Cambria Math"/>
          <w:i/>
          <w:sz w:val="22"/>
        </w:rPr>
        <w:t>observe(trajectory, won, agent_state, scene, task_desc)</w:t>
      </w:r>
      <w:r>
        <w:rPr>
          <w:rFonts w:ascii="Times New Roman" w:hAnsi="Times New Roman"/>
          <w:i w:val="0"/>
          <w:sz w:val="22"/>
        </w:rPr>
        <w:t xml:space="preserve">    (4)</w:t>
      </w:r>
    </w:p>
    <w:p>
      <w:r>
        <w:rPr>
          <w:rFonts w:ascii="Times New Roman" w:hAnsi="Times New Roman" w:eastAsia="宋体"/>
          <w:b w:val="0"/>
          <w:i w:val="0"/>
          <w:sz w:val="21"/>
        </w:rPr>
        <w:t>该接口接收一次完整的任务交互轨迹（trajectory）、成败标志（won）、智能体状态（agent_state）、场景信息（scene）和任务描述（task_desc）。内部根据won的值自动分流为正向校准或负向校准路径，同时提取共享信息（如同义词发现、场景结构）。</w:t>
      </w:r>
    </w:p>
    <w:p>
      <w:r>
        <w:rPr>
          <w:rFonts w:ascii="Times New Roman" w:hAnsi="Times New Roman" w:eastAsia="宋体"/>
          <w:b w:val="0"/>
          <w:i w:val="0"/>
          <w:sz w:val="21"/>
        </w:rPr>
        <w:t>这种"一个入口、自动分流"的设计体现了对称性原则：正向和负向校准共享相同的信息提取逻辑，只在最终更新方向上不同。</w:t>
      </w:r>
    </w:p>
    <w:p>
      <w:pPr>
        <w:pStyle w:val="Heading2"/>
        <w:spacing w:before="160" w:after="80"/>
        <w:ind w:firstLine="0"/>
        <w:jc w:val="left"/>
      </w:pPr>
      <w:r>
        <w:rPr>
          <w:rFonts w:ascii="Times New Roman" w:hAnsi="Times New Roman" w:eastAsia="黑体"/>
          <w:b/>
          <w:i w:val="0"/>
          <w:sz w:val="24"/>
        </w:rPr>
        <w:t>4.2  共享路径（不区分成败）</w:t>
      </w:r>
    </w:p>
    <w:p>
      <w:r>
        <w:rPr>
          <w:rFonts w:ascii="Times New Roman" w:hAnsi="Times New Roman" w:eastAsia="宋体"/>
          <w:b w:val="0"/>
          <w:i w:val="0"/>
          <w:sz w:val="21"/>
        </w:rPr>
        <w:t>无论任务成功还是失败，observe()都会执行以下共享操作：</w:t>
      </w:r>
    </w:p>
    <w:p>
      <w:r>
        <w:rPr>
          <w:rFonts w:ascii="Times New Roman" w:hAnsi="Times New Roman" w:eastAsia="宋体"/>
          <w:b w:val="0"/>
          <w:i w:val="0"/>
          <w:sz w:val="21"/>
        </w:rPr>
        <w:t>同义词发现：从轨迹中提取自然语言描述与实体标识的对应关系。例如，当轨迹中出现"open vault"操作并且系统实际操作了"safe"对象时，自动建立S["vault"]→{"safe"}的映射。这种发现不依赖于任务成败，而是从交互事实中直接提取。</w:t>
      </w:r>
    </w:p>
    <w:p>
      <w:r>
        <w:rPr>
          <w:rFonts w:ascii="Times New Roman" w:hAnsi="Times New Roman" w:eastAsia="宋体"/>
          <w:b w:val="0"/>
          <w:i w:val="0"/>
          <w:sz w:val="21"/>
        </w:rPr>
        <w:t>场景结构记忆：记录探索过程中发现的场景布局。无论成败，探索过程中看到的物体位置、房间连接关系都是有价值的事实信息，应当记录以减少未来的重复探索。</w:t>
      </w:r>
    </w:p>
    <w:p>
      <w:pPr>
        <w:pStyle w:val="Heading2"/>
        <w:spacing w:before="160" w:after="80"/>
        <w:ind w:firstLine="0"/>
        <w:jc w:val="left"/>
      </w:pPr>
      <w:r>
        <w:rPr>
          <w:rFonts w:ascii="Times New Roman" w:hAnsi="Times New Roman" w:eastAsia="黑体"/>
          <w:b/>
          <w:i w:val="0"/>
          <w:sz w:val="24"/>
        </w:rPr>
        <w:t>4.3  正向校准（吉之几）</w:t>
      </w:r>
    </w:p>
    <w:p>
      <w:r>
        <w:rPr>
          <w:rFonts w:ascii="Times New Roman" w:hAnsi="Times New Roman" w:eastAsia="宋体"/>
          <w:b w:val="0"/>
          <w:i w:val="0"/>
          <w:sz w:val="21"/>
        </w:rPr>
        <w:t>当won=True时，系统从成功轨迹中提取正向证据：</w:t>
      </w:r>
    </w:p>
    <w:p>
      <w:r>
        <w:rPr>
          <w:rFonts w:ascii="Times New Roman" w:hAnsi="Times New Roman" w:eastAsia="宋体"/>
          <w:b w:val="0"/>
          <w:i w:val="0"/>
          <w:sz w:val="21"/>
        </w:rPr>
        <w:t>位置确认：P(obj, found_loc) += 1.0。在某位置成功找到目标物体，增强该物体出现在该位置的先验概率。</w:t>
      </w:r>
    </w:p>
    <w:p>
      <w:r>
        <w:rPr>
          <w:rFonts w:ascii="Times New Roman" w:hAnsi="Times New Roman" w:eastAsia="宋体"/>
          <w:b w:val="0"/>
          <w:i w:val="0"/>
          <w:sz w:val="21"/>
        </w:rPr>
        <w:t>实体确认：M(target, correct_entity) += 1.0。确认某目标描述对应某具体实体，增强该映射的置信度。</w:t>
      </w:r>
    </w:p>
    <w:p>
      <w:r>
        <w:rPr>
          <w:rFonts w:ascii="Times New Roman" w:hAnsi="Times New Roman" w:eastAsia="宋体"/>
          <w:b w:val="0"/>
          <w:i w:val="0"/>
          <w:sz w:val="21"/>
        </w:rPr>
        <w:t>场景物体精确定位：记录精确的物体位置信息，而不仅是概率更新。</w:t>
      </w:r>
    </w:p>
    <w:p>
      <w:r>
        <w:rPr>
          <w:rFonts w:ascii="Times New Roman" w:hAnsi="Times New Roman" w:eastAsia="宋体"/>
          <w:b w:val="0"/>
          <w:i w:val="0"/>
          <w:sz w:val="21"/>
        </w:rPr>
        <w:t>正向校准的特点是"确认并增强"——验证先验的正确部分，使其在未来决策中权重更高。</w:t>
      </w:r>
    </w:p>
    <w:p>
      <w:pPr>
        <w:pStyle w:val="Heading2"/>
        <w:spacing w:before="160" w:after="80"/>
        <w:ind w:firstLine="0"/>
        <w:jc w:val="left"/>
      </w:pPr>
      <w:r>
        <w:rPr>
          <w:rFonts w:ascii="Times New Roman" w:hAnsi="Times New Roman" w:eastAsia="黑体"/>
          <w:b/>
          <w:i w:val="0"/>
          <w:sz w:val="24"/>
        </w:rPr>
        <w:t>4.4  负向校准（凶之几）</w:t>
      </w:r>
    </w:p>
    <w:p>
      <w:r>
        <w:rPr>
          <w:rFonts w:ascii="Times New Roman" w:hAnsi="Times New Roman" w:eastAsia="宋体"/>
          <w:b w:val="0"/>
          <w:i w:val="0"/>
          <w:sz w:val="21"/>
        </w:rPr>
        <w:t>当won=False时，系统从失败轨迹中提取负向证据。负向校准比正向校准更为丰富和精细，因为失败通常包含更多可归因的信息。YLYW中定义了五种负向校准模式，每种对应一个卦象：</w:t>
      </w:r>
    </w:p>
    <w:p>
      <w:r>
        <w:rPr>
          <w:rFonts w:ascii="Times New Roman" w:hAnsi="Times New Roman" w:eastAsia="宋体"/>
          <w:b w:val="0"/>
          <w:i w:val="0"/>
          <w:sz w:val="21"/>
        </w:rPr>
        <w:t>错拿排除（睽卦——乖离不合）：当系统拿取了错误物体时，M(target, wrong_entity) -= 3.0。较大的负向权重反映了"确定性否定"的信息价值——一次明确的错拿比多次正确拿取包含更多信息。</w:t>
      </w:r>
    </w:p>
    <w:p>
      <w:r>
        <w:rPr>
          <w:rFonts w:ascii="Times New Roman" w:hAnsi="Times New Roman" w:eastAsia="宋体"/>
          <w:b w:val="0"/>
          <w:i w:val="0"/>
          <w:sz w:val="21"/>
        </w:rPr>
        <w:t>否定先验（困卦——穷困受限）：当系统在某位置反复搜索但未找到目标物体时，P(obj, empty_loc) -= 0.5。这否定了先验矩阵中的一个具体条目，使系统在未来优先搜索其他位置。</w:t>
      </w:r>
    </w:p>
    <w:p>
      <w:r>
        <w:rPr>
          <w:rFonts w:ascii="Times New Roman" w:hAnsi="Times New Roman" w:eastAsia="宋体"/>
          <w:b w:val="0"/>
          <w:i w:val="0"/>
          <w:sz w:val="21"/>
        </w:rPr>
        <w:t>阶段瓶颈（蹇卦——行动艰难）：当系统在某阶段反复卡住时，记录phase_count += 1。这不直接更新知识库，而是为元策略提供信息——某些阶段可能需要不同的处理方式。</w:t>
      </w:r>
    </w:p>
    <w:p>
      <w:r>
        <w:rPr>
          <w:rFonts w:ascii="Times New Roman" w:hAnsi="Times New Roman" w:eastAsia="宋体"/>
          <w:b w:val="0"/>
          <w:i w:val="0"/>
          <w:sz w:val="21"/>
        </w:rPr>
        <w:t>步数预算（节卦——节制适度）：当步数即将耗尽时，建议系统优先执行open操作（在ALFWorld中打开容器往往能发现隐藏物体）。这是一种启发式调整，不修改永久参数。</w:t>
      </w:r>
    </w:p>
    <w:p>
      <w:r>
        <w:rPr>
          <w:rFonts w:ascii="Times New Roman" w:hAnsi="Times New Roman" w:eastAsia="宋体"/>
          <w:b w:val="0"/>
          <w:i w:val="0"/>
          <w:sz w:val="21"/>
        </w:rPr>
        <w:t>失败聚类（明夷卦——光明受损）：当多次失败呈现模式时，进行失败原因归纳。例如，如果多次失败都与方向性解析有关，则标记该类问题为系统性缺陷，提示需要修改道（推理规则）而非器（数据）。</w:t>
      </w:r>
    </w:p>
    <w:p>
      <w:pPr>
        <w:pStyle w:val="Heading2"/>
        <w:spacing w:before="160" w:after="80"/>
        <w:ind w:firstLine="0"/>
        <w:jc w:val="left"/>
      </w:pPr>
      <w:r>
        <w:rPr>
          <w:rFonts w:ascii="Times New Roman" w:hAnsi="Times New Roman" w:eastAsia="黑体"/>
          <w:b/>
          <w:i w:val="0"/>
          <w:sz w:val="24"/>
        </w:rPr>
        <w:t>4.5  经验持久化</w:t>
      </w:r>
    </w:p>
    <w:p>
      <w:r>
        <w:rPr>
          <w:rFonts w:ascii="Times New Roman" w:hAnsi="Times New Roman" w:eastAsia="宋体"/>
          <w:b w:val="0"/>
          <w:i w:val="0"/>
          <w:sz w:val="21"/>
        </w:rPr>
        <w:t>知几学习的一个重要工程特征是经验持久化：学习到的ΔK可以保存到文件，下次运行时加载为新的先验Ω。这实现了跨会话的知识积累：</w:t>
      </w:r>
    </w:p>
    <w:p>
      <w:pPr>
        <w:ind w:firstLine="0"/>
        <w:jc w:val="center"/>
      </w:pPr>
      <w:r>
        <w:rPr>
          <w:rFonts w:ascii="Cambria Math" w:hAnsi="Cambria Math" w:eastAsia="Cambria Math"/>
          <w:i/>
          <w:sz w:val="22"/>
        </w:rPr>
        <w:t>Ω_new = Ω_old + ΔK_saved</w:t>
      </w:r>
      <w:r>
        <w:rPr>
          <w:rFonts w:ascii="Times New Roman" w:hAnsi="Times New Roman"/>
          <w:i w:val="0"/>
          <w:sz w:val="22"/>
        </w:rPr>
        <w:t xml:space="preserve">    (5)</w:t>
      </w:r>
    </w:p>
    <w:p>
      <w:r>
        <w:rPr>
          <w:rFonts w:ascii="Times New Roman" w:hAnsi="Times New Roman" w:eastAsia="宋体"/>
          <w:b w:val="0"/>
          <w:i w:val="0"/>
          <w:sz w:val="21"/>
        </w:rPr>
        <w:t>持久化机制通过save/load接口实现。save将当前的先验矩阵、同义词表、场景记忆等序列化到JSON文件；load在系统启动时读取并恢复。</w:t>
      </w:r>
    </w:p>
    <w:p>
      <w:r>
        <w:rPr>
          <w:rFonts w:ascii="Times New Roman" w:hAnsi="Times New Roman" w:eastAsia="宋体"/>
          <w:b w:val="0"/>
          <w:i w:val="0"/>
          <w:sz w:val="21"/>
        </w:rPr>
        <w:t>持久化的意义在于：每一轮任务执行后，系统的先验知识都有所增长。多轮运行后，系统积累了大量经验校准，先验越来越准确，成功率逐轮提升直到收敛。这类似于人类的"熟练工效应"——反复执行同类任务后，相关知识从需要有意识思考的"显式知识"变为自动化的"内隐知识"。</w:t>
      </w:r>
    </w:p>
    <w:p>
      <w:pPr>
        <w:pStyle w:val="Heading1"/>
        <w:spacing w:before="240" w:after="120"/>
        <w:ind w:firstLine="0"/>
        <w:jc w:val="left"/>
      </w:pPr>
      <w:r>
        <w:rPr>
          <w:rFonts w:ascii="Times New Roman" w:hAnsi="Times New Roman" w:eastAsia="黑体"/>
          <w:b/>
          <w:i w:val="0"/>
          <w:sz w:val="28"/>
        </w:rPr>
        <w:t>5  实验验证</w:t>
      </w:r>
    </w:p>
    <w:p>
      <w:pPr>
        <w:pStyle w:val="Heading2"/>
        <w:spacing w:before="160" w:after="80"/>
        <w:ind w:firstLine="0"/>
        <w:jc w:val="left"/>
      </w:pPr>
      <w:r>
        <w:rPr>
          <w:rFonts w:ascii="Times New Roman" w:hAnsi="Times New Roman" w:eastAsia="黑体"/>
          <w:b/>
          <w:i w:val="0"/>
          <w:sz w:val="24"/>
        </w:rPr>
        <w:t>5.1  实验设置</w:t>
      </w:r>
    </w:p>
    <w:p>
      <w:r>
        <w:rPr>
          <w:rFonts w:ascii="Times New Roman" w:hAnsi="Times New Roman" w:eastAsia="宋体"/>
          <w:b w:val="0"/>
          <w:i w:val="0"/>
          <w:sz w:val="21"/>
        </w:rPr>
        <w:t>实验在ALFWorld基准</w:t>
      </w:r>
      <w:r>
        <w:rPr>
          <w:rFonts w:ascii="Times New Roman" w:hAnsi="Times New Roman" w:eastAsia="宋体"/>
          <w:b w:val="0"/>
          <w:i w:val="0"/>
          <w:sz w:val="16"/>
          <w:vertAlign w:val="superscript"/>
        </w:rPr>
        <w:t>[8]</w:t>
      </w:r>
      <w:r>
        <w:rPr>
          <w:rFonts w:ascii="Times New Roman" w:hAnsi="Times New Roman" w:eastAsia="宋体"/>
          <w:b w:val="0"/>
          <w:i w:val="0"/>
          <w:sz w:val="21"/>
        </w:rPr>
        <w:t>的valid_unseen集上进行，共134个未见测试任务。ALFWorld是一个基于文本的具身决策环境，智能体通过自然语言命令与虚拟家庭环境交互，完成放置、加热、冷却、清洁、检视和拿取六类家务任务。</w:t>
      </w:r>
    </w:p>
    <w:p>
      <w:r>
        <w:rPr>
          <w:rFonts w:ascii="Times New Roman" w:hAnsi="Times New Roman" w:eastAsia="宋体"/>
          <w:b w:val="0"/>
          <w:i w:val="0"/>
          <w:sz w:val="21"/>
        </w:rPr>
        <w:t>实验环境为纯CPU计算（Intel i7），YLYW系统以约800行Python实现，不使用任何大语言模型（LLM）或GPU加速。每个任务限制50步动作。这一轻量级配置强调了知几学习框架的效率优势——在无需大规模计算资源的条件下即可实现有效学习。</w:t>
      </w:r>
    </w:p>
    <w:p>
      <w:pPr>
        <w:pStyle w:val="Heading2"/>
        <w:spacing w:before="160" w:after="80"/>
        <w:ind w:firstLine="0"/>
        <w:jc w:val="left"/>
      </w:pPr>
      <w:r>
        <w:rPr>
          <w:rFonts w:ascii="Times New Roman" w:hAnsi="Times New Roman" w:eastAsia="黑体"/>
          <w:b/>
          <w:i w:val="0"/>
          <w:sz w:val="24"/>
        </w:rPr>
        <w:t>5.2  "道-器-法"的逐层验证</w:t>
      </w:r>
    </w:p>
    <w:p>
      <w:r>
        <w:rPr>
          <w:rFonts w:ascii="Times New Roman" w:hAnsi="Times New Roman" w:eastAsia="宋体"/>
          <w:b w:val="0"/>
          <w:i w:val="0"/>
          <w:sz w:val="21"/>
        </w:rPr>
        <w:t>为清晰展示三位一体架构中每一层的贡献，我们设计了逐层消融实验。从仅有器（常识矩阵）的基线开始，逐步引入道（完整推理引擎）和法（知几学习的正/负校准），观察成功率的阶梯式提升。</w:t>
      </w:r>
    </w:p>
    <w:p>
      <w:pPr>
        <w:spacing w:before="120"/>
        <w:ind w:firstLine="0"/>
        <w:jc w:val="center"/>
      </w:pPr>
      <w:r>
        <w:rPr>
          <w:rFonts w:ascii="Times New Roman" w:hAnsi="Times New Roman" w:eastAsia="宋体"/>
          <w:b/>
          <w:i w:val="0"/>
          <w:sz w:val="18"/>
        </w:rPr>
        <w:t>表1  三位一体的逐层贡献</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i w:val="0"/>
                <w:sz w:val="18"/>
              </w:rPr>
              <w:t>配置</w:t>
            </w:r>
          </w:p>
        </w:tc>
        <w:tc>
          <w:tcPr>
            <w:tcW w:type="dxa" w:w="2161"/>
          </w:tcPr>
          <w:p>
            <w:pPr>
              <w:jc w:val="center"/>
            </w:pPr>
            <w:r/>
            <w:r>
              <w:rPr>
                <w:rFonts w:ascii="Times New Roman" w:hAnsi="Times New Roman" w:eastAsia="宋体"/>
                <w:b/>
                <w:i w:val="0"/>
                <w:sz w:val="18"/>
              </w:rPr>
              <w:t>机制</w:t>
            </w:r>
          </w:p>
        </w:tc>
        <w:tc>
          <w:tcPr>
            <w:tcW w:type="dxa" w:w="2161"/>
          </w:tcPr>
          <w:p>
            <w:pPr>
              <w:jc w:val="center"/>
            </w:pPr>
            <w:r/>
            <w:r>
              <w:rPr>
                <w:rFonts w:ascii="Times New Roman" w:hAnsi="Times New Roman" w:eastAsia="宋体"/>
                <w:b/>
                <w:i w:val="0"/>
                <w:sz w:val="18"/>
              </w:rPr>
              <w:t>成功率</w:t>
            </w:r>
          </w:p>
        </w:tc>
        <w:tc>
          <w:tcPr>
            <w:tcW w:type="dxa" w:w="2161"/>
          </w:tcPr>
          <w:p>
            <w:pPr>
              <w:jc w:val="center"/>
            </w:pPr>
            <w:r/>
            <w:r>
              <w:rPr>
                <w:rFonts w:ascii="Times New Roman" w:hAnsi="Times New Roman" w:eastAsia="宋体"/>
                <w:b/>
                <w:i w:val="0"/>
                <w:sz w:val="18"/>
              </w:rPr>
              <w:t>对应</w:t>
            </w:r>
          </w:p>
        </w:tc>
      </w:tr>
      <w:tr>
        <w:tc>
          <w:tcPr>
            <w:tcW w:type="dxa" w:w="2161"/>
          </w:tcPr>
          <w:p>
            <w:pPr>
              <w:jc w:val="center"/>
            </w:pPr>
            <w:r/>
            <w:r>
              <w:rPr>
                <w:rFonts w:ascii="Times New Roman" w:hAnsi="Times New Roman" w:eastAsia="宋体"/>
                <w:b w:val="0"/>
                <w:i w:val="0"/>
                <w:sz w:val="18"/>
              </w:rPr>
              <w:t>仅器（常识矩阵）</w:t>
            </w:r>
          </w:p>
        </w:tc>
        <w:tc>
          <w:tcPr>
            <w:tcW w:type="dxa" w:w="2161"/>
          </w:tcPr>
          <w:p>
            <w:pPr>
              <w:jc w:val="center"/>
            </w:pPr>
            <w:r/>
            <w:r>
              <w:rPr>
                <w:rFonts w:ascii="Times New Roman" w:hAnsi="Times New Roman" w:eastAsia="宋体"/>
                <w:b w:val="0"/>
                <w:i w:val="0"/>
                <w:sz w:val="18"/>
              </w:rPr>
              <w:t>无推理模型</w:t>
            </w:r>
          </w:p>
        </w:tc>
        <w:tc>
          <w:tcPr>
            <w:tcW w:type="dxa" w:w="2161"/>
          </w:tcPr>
          <w:p>
            <w:pPr>
              <w:jc w:val="center"/>
            </w:pPr>
            <w:r/>
            <w:r>
              <w:rPr>
                <w:rFonts w:ascii="Times New Roman" w:hAnsi="Times New Roman" w:eastAsia="宋体"/>
                <w:b w:val="0"/>
                <w:i w:val="0"/>
                <w:sz w:val="18"/>
              </w:rPr>
              <w:t>~50%</w:t>
            </w:r>
          </w:p>
        </w:tc>
        <w:tc>
          <w:tcPr>
            <w:tcW w:type="dxa" w:w="2161"/>
          </w:tcPr>
          <w:p>
            <w:pPr>
              <w:jc w:val="center"/>
            </w:pPr>
            <w:r/>
            <w:r>
              <w:rPr>
                <w:rFonts w:ascii="Times New Roman" w:hAnsi="Times New Roman" w:eastAsia="宋体"/>
                <w:b w:val="0"/>
                <w:i w:val="0"/>
                <w:sz w:val="18"/>
              </w:rPr>
              <w:t>器</w:t>
            </w:r>
          </w:p>
        </w:tc>
      </w:tr>
      <w:tr>
        <w:tc>
          <w:tcPr>
            <w:tcW w:type="dxa" w:w="2161"/>
          </w:tcPr>
          <w:p>
            <w:pPr>
              <w:jc w:val="center"/>
            </w:pPr>
            <w:r/>
            <w:r>
              <w:rPr>
                <w:rFonts w:ascii="Times New Roman" w:hAnsi="Times New Roman" w:eastAsia="宋体"/>
                <w:b w:val="0"/>
                <w:i w:val="0"/>
                <w:sz w:val="18"/>
              </w:rPr>
              <w:t>道+器（V7）</w:t>
            </w:r>
          </w:p>
        </w:tc>
        <w:tc>
          <w:tcPr>
            <w:tcW w:type="dxa" w:w="2161"/>
          </w:tcPr>
          <w:p>
            <w:pPr>
              <w:jc w:val="center"/>
            </w:pPr>
            <w:r/>
            <w:r>
              <w:rPr>
                <w:rFonts w:ascii="Times New Roman" w:hAnsi="Times New Roman" w:eastAsia="宋体"/>
                <w:b w:val="0"/>
                <w:i w:val="0"/>
                <w:sz w:val="18"/>
              </w:rPr>
              <w:t>完整YLYW</w:t>
            </w:r>
          </w:p>
        </w:tc>
        <w:tc>
          <w:tcPr>
            <w:tcW w:type="dxa" w:w="2161"/>
          </w:tcPr>
          <w:p>
            <w:pPr>
              <w:jc w:val="center"/>
            </w:pPr>
            <w:r/>
            <w:r>
              <w:rPr>
                <w:rFonts w:ascii="Times New Roman" w:hAnsi="Times New Roman" w:eastAsia="宋体"/>
                <w:b w:val="0"/>
                <w:i w:val="0"/>
                <w:sz w:val="18"/>
              </w:rPr>
              <w:t>90/134 (67.2%)</w:t>
            </w:r>
          </w:p>
        </w:tc>
        <w:tc>
          <w:tcPr>
            <w:tcW w:type="dxa" w:w="2161"/>
          </w:tcPr>
          <w:p>
            <w:pPr>
              <w:jc w:val="center"/>
            </w:pPr>
            <w:r/>
            <w:r>
              <w:rPr>
                <w:rFonts w:ascii="Times New Roman" w:hAnsi="Times New Roman" w:eastAsia="宋体"/>
                <w:b w:val="0"/>
                <w:i w:val="0"/>
                <w:sz w:val="18"/>
              </w:rPr>
              <w:t>道+器</w:t>
            </w:r>
          </w:p>
        </w:tc>
      </w:tr>
      <w:tr>
        <w:tc>
          <w:tcPr>
            <w:tcW w:type="dxa" w:w="2161"/>
          </w:tcPr>
          <w:p>
            <w:pPr>
              <w:jc w:val="center"/>
            </w:pPr>
            <w:r/>
            <w:r>
              <w:rPr>
                <w:rFonts w:ascii="Times New Roman" w:hAnsi="Times New Roman" w:eastAsia="宋体"/>
                <w:b w:val="0"/>
                <w:i w:val="0"/>
                <w:sz w:val="18"/>
              </w:rPr>
              <w:t>道+器+吉之几（V9）</w:t>
            </w:r>
          </w:p>
        </w:tc>
        <w:tc>
          <w:tcPr>
            <w:tcW w:type="dxa" w:w="2161"/>
          </w:tcPr>
          <w:p>
            <w:pPr>
              <w:jc w:val="center"/>
            </w:pPr>
            <w:r/>
            <w:r>
              <w:rPr>
                <w:rFonts w:ascii="Times New Roman" w:hAnsi="Times New Roman" w:eastAsia="宋体"/>
                <w:b w:val="0"/>
                <w:i w:val="0"/>
                <w:sz w:val="18"/>
              </w:rPr>
              <w:t>+正向校准</w:t>
            </w:r>
          </w:p>
        </w:tc>
        <w:tc>
          <w:tcPr>
            <w:tcW w:type="dxa" w:w="2161"/>
          </w:tcPr>
          <w:p>
            <w:pPr>
              <w:jc w:val="center"/>
            </w:pPr>
            <w:r/>
            <w:r>
              <w:rPr>
                <w:rFonts w:ascii="Times New Roman" w:hAnsi="Times New Roman" w:eastAsia="宋体"/>
                <w:b w:val="0"/>
                <w:i w:val="0"/>
                <w:sz w:val="18"/>
              </w:rPr>
              <w:t>94/134 (70.1%)</w:t>
            </w:r>
          </w:p>
        </w:tc>
        <w:tc>
          <w:tcPr>
            <w:tcW w:type="dxa" w:w="2161"/>
          </w:tcPr>
          <w:p>
            <w:pPr>
              <w:jc w:val="center"/>
            </w:pPr>
            <w:r/>
            <w:r>
              <w:rPr>
                <w:rFonts w:ascii="Times New Roman" w:hAnsi="Times New Roman" w:eastAsia="宋体"/>
                <w:b w:val="0"/>
                <w:i w:val="0"/>
                <w:sz w:val="18"/>
              </w:rPr>
              <w:t>+法(阳)</w:t>
            </w:r>
          </w:p>
        </w:tc>
      </w:tr>
      <w:tr>
        <w:tc>
          <w:tcPr>
            <w:tcW w:type="dxa" w:w="2161"/>
          </w:tcPr>
          <w:p>
            <w:pPr>
              <w:jc w:val="center"/>
            </w:pPr>
            <w:r/>
            <w:r>
              <w:rPr>
                <w:rFonts w:ascii="Times New Roman" w:hAnsi="Times New Roman" w:eastAsia="宋体"/>
                <w:b w:val="0"/>
                <w:i w:val="0"/>
                <w:sz w:val="18"/>
              </w:rPr>
              <w:t>道+器+吉凶双向（V10）</w:t>
            </w:r>
          </w:p>
        </w:tc>
        <w:tc>
          <w:tcPr>
            <w:tcW w:type="dxa" w:w="2161"/>
          </w:tcPr>
          <w:p>
            <w:pPr>
              <w:jc w:val="center"/>
            </w:pPr>
            <w:r/>
            <w:r>
              <w:rPr>
                <w:rFonts w:ascii="Times New Roman" w:hAnsi="Times New Roman" w:eastAsia="宋体"/>
                <w:b w:val="0"/>
                <w:i w:val="0"/>
                <w:sz w:val="18"/>
              </w:rPr>
              <w:t>+对称校准</w:t>
            </w:r>
          </w:p>
        </w:tc>
        <w:tc>
          <w:tcPr>
            <w:tcW w:type="dxa" w:w="2161"/>
          </w:tcPr>
          <w:p>
            <w:pPr>
              <w:jc w:val="center"/>
            </w:pPr>
            <w:r/>
            <w:r>
              <w:rPr>
                <w:rFonts w:ascii="Times New Roman" w:hAnsi="Times New Roman" w:eastAsia="宋体"/>
                <w:b w:val="0"/>
                <w:i w:val="0"/>
                <w:sz w:val="18"/>
              </w:rPr>
              <w:t>98/134 (73.1%)</w:t>
            </w:r>
          </w:p>
        </w:tc>
        <w:tc>
          <w:tcPr>
            <w:tcW w:type="dxa" w:w="2161"/>
          </w:tcPr>
          <w:p>
            <w:pPr>
              <w:jc w:val="center"/>
            </w:pPr>
            <w:r/>
            <w:r>
              <w:rPr>
                <w:rFonts w:ascii="Times New Roman" w:hAnsi="Times New Roman" w:eastAsia="宋体"/>
                <w:b w:val="0"/>
                <w:i w:val="0"/>
                <w:sz w:val="18"/>
              </w:rPr>
              <w:t>+法(阴阳)</w:t>
            </w:r>
          </w:p>
        </w:tc>
      </w:tr>
      <w:tr>
        <w:tc>
          <w:tcPr>
            <w:tcW w:type="dxa" w:w="2161"/>
          </w:tcPr>
          <w:p>
            <w:pPr>
              <w:jc w:val="center"/>
            </w:pPr>
            <w:r/>
            <w:r>
              <w:rPr>
                <w:rFonts w:ascii="Times New Roman" w:hAnsi="Times New Roman" w:eastAsia="宋体"/>
                <w:b w:val="0"/>
                <w:i w:val="0"/>
                <w:sz w:val="18"/>
              </w:rPr>
              <w:t>道+器+法+持久化</w:t>
            </w:r>
          </w:p>
        </w:tc>
        <w:tc>
          <w:tcPr>
            <w:tcW w:type="dxa" w:w="2161"/>
          </w:tcPr>
          <w:p>
            <w:pPr>
              <w:jc w:val="center"/>
            </w:pPr>
            <w:r/>
            <w:r>
              <w:rPr>
                <w:rFonts w:ascii="Times New Roman" w:hAnsi="Times New Roman" w:eastAsia="宋体"/>
                <w:b w:val="0"/>
                <w:i w:val="0"/>
                <w:sz w:val="18"/>
              </w:rPr>
              <w:t>+经验固化</w:t>
            </w:r>
          </w:p>
        </w:tc>
        <w:tc>
          <w:tcPr>
            <w:tcW w:type="dxa" w:w="2161"/>
          </w:tcPr>
          <w:p>
            <w:pPr>
              <w:jc w:val="center"/>
            </w:pPr>
            <w:r/>
            <w:r>
              <w:rPr>
                <w:rFonts w:ascii="Times New Roman" w:hAnsi="Times New Roman" w:eastAsia="宋体"/>
                <w:b w:val="0"/>
                <w:i w:val="0"/>
                <w:sz w:val="18"/>
              </w:rPr>
              <w:t>99/134 (73.9%)</w:t>
            </w:r>
          </w:p>
        </w:tc>
        <w:tc>
          <w:tcPr>
            <w:tcW w:type="dxa" w:w="2161"/>
          </w:tcPr>
          <w:p>
            <w:pPr>
              <w:jc w:val="center"/>
            </w:pPr>
            <w:r/>
            <w:r>
              <w:rPr>
                <w:rFonts w:ascii="Times New Roman" w:hAnsi="Times New Roman" w:eastAsia="宋体"/>
                <w:b w:val="0"/>
                <w:i w:val="0"/>
                <w:sz w:val="18"/>
              </w:rPr>
              <w:t>完整</w:t>
            </w:r>
          </w:p>
        </w:tc>
      </w:tr>
    </w:tbl>
    <w:p>
      <w:r>
        <w:rPr>
          <w:rFonts w:ascii="Times New Roman" w:hAnsi="Times New Roman" w:eastAsia="宋体"/>
          <w:b w:val="0"/>
          <w:i w:val="0"/>
          <w:sz w:val="21"/>
        </w:rPr>
        <w:t>表1清晰显示了三个阶梯：(1)从"仅器"到"道+器"，引入推理模型带来约17个百分点的提升（~50%→67.2%），这是"道"的价值；(2)从"道+器"到"+法(阳)"，引入正向校准带来2.9个百分点的提升（67.2%→70.1%），这是"吉之几"的贡献；(3)从"+法(阳)"到"+法(阴阳)"，引入负向校准再带来3.0个百分点的提升（70.1%→73.1%），这是"凶之几"的贡献。最后，经验持久化带来额外的0.8个百分点（73.1%→73.9%）。</w:t>
      </w:r>
    </w:p>
    <w:p>
      <w:r>
        <w:rPr>
          <w:rFonts w:ascii="Times New Roman" w:hAnsi="Times New Roman" w:eastAsia="宋体"/>
          <w:b w:val="0"/>
          <w:i w:val="0"/>
          <w:sz w:val="21"/>
        </w:rPr>
        <w:t>每一层的贡献都是可解释的：道提供了决策逻辑，器提供了事实数据，法的阳面（正向校准）确认了正确的先验，法的阴面（负向校准）修正了错误的先验。这种逐层分解验证了"道-器-法"架构的合理性和各组件的不可替代性。</w:t>
      </w:r>
    </w:p>
    <w:p>
      <w:pPr>
        <w:pStyle w:val="Heading2"/>
        <w:spacing w:before="160" w:after="80"/>
        <w:ind w:firstLine="0"/>
        <w:jc w:val="left"/>
      </w:pPr>
      <w:r>
        <w:rPr>
          <w:rFonts w:ascii="Times New Roman" w:hAnsi="Times New Roman" w:eastAsia="黑体"/>
          <w:b/>
          <w:i w:val="0"/>
          <w:sz w:val="24"/>
        </w:rPr>
        <w:t>5.3  精确归因案例（可解释性的价值）</w:t>
      </w:r>
    </w:p>
    <w:p>
      <w:r>
        <w:rPr>
          <w:rFonts w:ascii="Times New Roman" w:hAnsi="Times New Roman" w:eastAsia="宋体"/>
          <w:b w:val="0"/>
          <w:i w:val="0"/>
          <w:sz w:val="21"/>
        </w:rPr>
        <w:t>知几学习的精确归因能力是其核心优势。以下案例展示了"凶之几"如何将失败精确归因到道或器的具体参数，并通过一次校准实现显著改善。</w:t>
      </w:r>
    </w:p>
    <w:p>
      <w:pPr>
        <w:spacing w:before="120"/>
        <w:ind w:firstLine="0"/>
        <w:jc w:val="center"/>
      </w:pPr>
      <w:r>
        <w:rPr>
          <w:rFonts w:ascii="Times New Roman" w:hAnsi="Times New Roman" w:eastAsia="宋体"/>
          <w:b/>
          <w:i w:val="0"/>
          <w:sz w:val="18"/>
        </w:rPr>
        <w:t>表2  凶之几精确归因案例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i w:val="0"/>
                <w:sz w:val="18"/>
              </w:rPr>
              <w:t>游戏</w:t>
            </w:r>
          </w:p>
        </w:tc>
        <w:tc>
          <w:tcPr>
            <w:tcW w:type="dxa" w:w="2161"/>
          </w:tcPr>
          <w:p>
            <w:pPr>
              <w:jc w:val="center"/>
            </w:pPr>
            <w:r/>
            <w:r>
              <w:rPr>
                <w:rFonts w:ascii="Times New Roman" w:hAnsi="Times New Roman" w:eastAsia="宋体"/>
                <w:b/>
                <w:i w:val="0"/>
                <w:sz w:val="18"/>
              </w:rPr>
              <w:t>归因（定位到道/器的具体参数）</w:t>
            </w:r>
          </w:p>
        </w:tc>
        <w:tc>
          <w:tcPr>
            <w:tcW w:type="dxa" w:w="2161"/>
          </w:tcPr>
          <w:p>
            <w:pPr>
              <w:jc w:val="center"/>
            </w:pPr>
            <w:r/>
            <w:r>
              <w:rPr>
                <w:rFonts w:ascii="Times New Roman" w:hAnsi="Times New Roman" w:eastAsia="宋体"/>
                <w:b/>
                <w:i w:val="0"/>
                <w:sz w:val="18"/>
              </w:rPr>
              <w:t>校准</w:t>
            </w:r>
          </w:p>
        </w:tc>
        <w:tc>
          <w:tcPr>
            <w:tcW w:type="dxa" w:w="2161"/>
          </w:tcPr>
          <w:p>
            <w:pPr>
              <w:jc w:val="center"/>
            </w:pPr>
            <w:r/>
            <w:r>
              <w:rPr>
                <w:rFonts w:ascii="Times New Roman" w:hAnsi="Times New Roman" w:eastAsia="宋体"/>
                <w:b/>
                <w:i w:val="0"/>
                <w:sz w:val="18"/>
              </w:rPr>
              <w:t>效果</w:t>
            </w:r>
          </w:p>
        </w:tc>
      </w:tr>
      <w:tr>
        <w:tc>
          <w:tcPr>
            <w:tcW w:type="dxa" w:w="2161"/>
          </w:tcPr>
          <w:p>
            <w:pPr>
              <w:jc w:val="center"/>
            </w:pPr>
            <w:r/>
            <w:r>
              <w:rPr>
                <w:rFonts w:ascii="Times New Roman" w:hAnsi="Times New Roman" w:eastAsia="宋体"/>
                <w:b w:val="0"/>
                <w:i w:val="0"/>
                <w:sz w:val="18"/>
              </w:rPr>
              <w:t>#41</w:t>
            </w:r>
          </w:p>
        </w:tc>
        <w:tc>
          <w:tcPr>
            <w:tcW w:type="dxa" w:w="2161"/>
          </w:tcPr>
          <w:p>
            <w:pPr>
              <w:jc w:val="center"/>
            </w:pPr>
            <w:r/>
            <w:r>
              <w:rPr>
                <w:rFonts w:ascii="Times New Roman" w:hAnsi="Times New Roman" w:eastAsia="宋体"/>
                <w:b w:val="0"/>
                <w:i w:val="0"/>
                <w:sz w:val="18"/>
              </w:rPr>
              <w:t>器:NL解析器方向性缺失</w:t>
            </w:r>
          </w:p>
        </w:tc>
        <w:tc>
          <w:tcPr>
            <w:tcW w:type="dxa" w:w="2161"/>
          </w:tcPr>
          <w:p>
            <w:pPr>
              <w:jc w:val="center"/>
            </w:pPr>
            <w:r/>
            <w:r>
              <w:rPr>
                <w:rFonts w:ascii="Times New Roman" w:hAnsi="Times New Roman" w:eastAsia="宋体"/>
                <w:b w:val="0"/>
                <w:i w:val="0"/>
                <w:sz w:val="18"/>
              </w:rPr>
              <w:t>修复from/to</w:t>
            </w:r>
          </w:p>
        </w:tc>
        <w:tc>
          <w:tcPr>
            <w:tcW w:type="dxa" w:w="2161"/>
          </w:tcPr>
          <w:p>
            <w:pPr>
              <w:jc w:val="center"/>
            </w:pPr>
            <w:r/>
            <w:r>
              <w:rPr>
                <w:rFonts w:ascii="Times New Roman" w:hAnsi="Times New Roman" w:eastAsia="宋体"/>
                <w:b w:val="0"/>
                <w:i w:val="0"/>
                <w:sz w:val="18"/>
              </w:rPr>
              <w:t>50→32步</w:t>
            </w:r>
          </w:p>
        </w:tc>
      </w:tr>
      <w:tr>
        <w:tc>
          <w:tcPr>
            <w:tcW w:type="dxa" w:w="2161"/>
          </w:tcPr>
          <w:p>
            <w:pPr>
              <w:jc w:val="center"/>
            </w:pPr>
            <w:r/>
            <w:r>
              <w:rPr>
                <w:rFonts w:ascii="Times New Roman" w:hAnsi="Times New Roman" w:eastAsia="宋体"/>
                <w:b w:val="0"/>
                <w:i w:val="0"/>
                <w:sz w:val="18"/>
              </w:rPr>
              <w:t>#99</w:t>
            </w:r>
          </w:p>
        </w:tc>
        <w:tc>
          <w:tcPr>
            <w:tcW w:type="dxa" w:w="2161"/>
          </w:tcPr>
          <w:p>
            <w:pPr>
              <w:jc w:val="center"/>
            </w:pPr>
            <w:r/>
            <w:r>
              <w:rPr>
                <w:rFonts w:ascii="Times New Roman" w:hAnsi="Times New Roman" w:eastAsia="宋体"/>
                <w:b w:val="0"/>
                <w:i w:val="0"/>
                <w:sz w:val="18"/>
              </w:rPr>
              <w:t>器:同义词表缺vault→safe</w:t>
            </w:r>
          </w:p>
        </w:tc>
        <w:tc>
          <w:tcPr>
            <w:tcW w:type="dxa" w:w="2161"/>
          </w:tcPr>
          <w:p>
            <w:pPr>
              <w:jc w:val="center"/>
            </w:pPr>
            <w:r/>
            <w:r>
              <w:rPr>
                <w:rFonts w:ascii="Times New Roman" w:hAnsi="Times New Roman" w:eastAsia="宋体"/>
                <w:b w:val="0"/>
                <w:i w:val="0"/>
                <w:sz w:val="18"/>
              </w:rPr>
              <w:t>添加映射</w:t>
            </w:r>
          </w:p>
        </w:tc>
        <w:tc>
          <w:tcPr>
            <w:tcW w:type="dxa" w:w="2161"/>
          </w:tcPr>
          <w:p>
            <w:pPr>
              <w:jc w:val="center"/>
            </w:pPr>
            <w:r/>
            <w:r>
              <w:rPr>
                <w:rFonts w:ascii="Times New Roman" w:hAnsi="Times New Roman" w:eastAsia="宋体"/>
                <w:b w:val="0"/>
                <w:i w:val="0"/>
                <w:sz w:val="18"/>
              </w:rPr>
              <w:t>50→5步</w:t>
            </w:r>
          </w:p>
        </w:tc>
      </w:tr>
      <w:tr>
        <w:tc>
          <w:tcPr>
            <w:tcW w:type="dxa" w:w="2161"/>
          </w:tcPr>
          <w:p>
            <w:pPr>
              <w:jc w:val="center"/>
            </w:pPr>
            <w:r/>
            <w:r>
              <w:rPr>
                <w:rFonts w:ascii="Times New Roman" w:hAnsi="Times New Roman" w:eastAsia="宋体"/>
                <w:b w:val="0"/>
                <w:i w:val="0"/>
                <w:sz w:val="18"/>
              </w:rPr>
              <w:t>#116</w:t>
            </w:r>
          </w:p>
        </w:tc>
        <w:tc>
          <w:tcPr>
            <w:tcW w:type="dxa" w:w="2161"/>
          </w:tcPr>
          <w:p>
            <w:pPr>
              <w:jc w:val="center"/>
            </w:pPr>
            <w:r/>
            <w:r>
              <w:rPr>
                <w:rFonts w:ascii="Times New Roman" w:hAnsi="Times New Roman" w:eastAsia="宋体"/>
                <w:b w:val="0"/>
                <w:i w:val="0"/>
                <w:sz w:val="18"/>
              </w:rPr>
              <w:t>器:NL解析方向性</w:t>
            </w:r>
          </w:p>
        </w:tc>
        <w:tc>
          <w:tcPr>
            <w:tcW w:type="dxa" w:w="2161"/>
          </w:tcPr>
          <w:p>
            <w:pPr>
              <w:jc w:val="center"/>
            </w:pPr>
            <w:r/>
            <w:r>
              <w:rPr>
                <w:rFonts w:ascii="Times New Roman" w:hAnsi="Times New Roman" w:eastAsia="宋体"/>
                <w:b w:val="0"/>
                <w:i w:val="0"/>
                <w:sz w:val="18"/>
              </w:rPr>
              <w:t>修复</w:t>
            </w:r>
          </w:p>
        </w:tc>
        <w:tc>
          <w:tcPr>
            <w:tcW w:type="dxa" w:w="2161"/>
          </w:tcPr>
          <w:p>
            <w:pPr>
              <w:jc w:val="center"/>
            </w:pPr>
            <w:r/>
            <w:r>
              <w:rPr>
                <w:rFonts w:ascii="Times New Roman" w:hAnsi="Times New Roman" w:eastAsia="宋体"/>
                <w:b w:val="0"/>
                <w:i w:val="0"/>
                <w:sz w:val="18"/>
              </w:rPr>
              <w:t>50→11步</w:t>
            </w:r>
          </w:p>
        </w:tc>
      </w:tr>
      <w:tr>
        <w:tc>
          <w:tcPr>
            <w:tcW w:type="dxa" w:w="2161"/>
          </w:tcPr>
          <w:p>
            <w:pPr>
              <w:jc w:val="center"/>
            </w:pPr>
            <w:r/>
            <w:r>
              <w:rPr>
                <w:rFonts w:ascii="Times New Roman" w:hAnsi="Times New Roman" w:eastAsia="宋体"/>
                <w:b w:val="0"/>
                <w:i w:val="0"/>
                <w:sz w:val="18"/>
              </w:rPr>
              <w:t>#118</w:t>
            </w:r>
          </w:p>
        </w:tc>
        <w:tc>
          <w:tcPr>
            <w:tcW w:type="dxa" w:w="2161"/>
          </w:tcPr>
          <w:p>
            <w:pPr>
              <w:jc w:val="center"/>
            </w:pPr>
            <w:r/>
            <w:r>
              <w:rPr>
                <w:rFonts w:ascii="Times New Roman" w:hAnsi="Times New Roman" w:eastAsia="宋体"/>
                <w:b w:val="0"/>
                <w:i w:val="0"/>
                <w:sz w:val="18"/>
              </w:rPr>
              <w:t>器:NL解析方向性</w:t>
            </w:r>
          </w:p>
        </w:tc>
        <w:tc>
          <w:tcPr>
            <w:tcW w:type="dxa" w:w="2161"/>
          </w:tcPr>
          <w:p>
            <w:pPr>
              <w:jc w:val="center"/>
            </w:pPr>
            <w:r/>
            <w:r>
              <w:rPr>
                <w:rFonts w:ascii="Times New Roman" w:hAnsi="Times New Roman" w:eastAsia="宋体"/>
                <w:b w:val="0"/>
                <w:i w:val="0"/>
                <w:sz w:val="18"/>
              </w:rPr>
              <w:t>修复</w:t>
            </w:r>
          </w:p>
        </w:tc>
        <w:tc>
          <w:tcPr>
            <w:tcW w:type="dxa" w:w="2161"/>
          </w:tcPr>
          <w:p>
            <w:pPr>
              <w:jc w:val="center"/>
            </w:pPr>
            <w:r/>
            <w:r>
              <w:rPr>
                <w:rFonts w:ascii="Times New Roman" w:hAnsi="Times New Roman" w:eastAsia="宋体"/>
                <w:b w:val="0"/>
                <w:i w:val="0"/>
                <w:sz w:val="18"/>
              </w:rPr>
              <w:t>50→11步</w:t>
            </w:r>
          </w:p>
        </w:tc>
      </w:tr>
      <w:tr>
        <w:tc>
          <w:tcPr>
            <w:tcW w:type="dxa" w:w="2161"/>
          </w:tcPr>
          <w:p>
            <w:pPr>
              <w:jc w:val="center"/>
            </w:pPr>
            <w:r/>
            <w:r>
              <w:rPr>
                <w:rFonts w:ascii="Times New Roman" w:hAnsi="Times New Roman" w:eastAsia="宋体"/>
                <w:b w:val="0"/>
                <w:i w:val="0"/>
                <w:sz w:val="18"/>
              </w:rPr>
              <w:t>#128</w:t>
            </w:r>
          </w:p>
        </w:tc>
        <w:tc>
          <w:tcPr>
            <w:tcW w:type="dxa" w:w="2161"/>
          </w:tcPr>
          <w:p>
            <w:pPr>
              <w:jc w:val="center"/>
            </w:pPr>
            <w:r/>
            <w:r>
              <w:rPr>
                <w:rFonts w:ascii="Times New Roman" w:hAnsi="Times New Roman" w:eastAsia="宋体"/>
                <w:b w:val="0"/>
                <w:i w:val="0"/>
                <w:sz w:val="18"/>
              </w:rPr>
              <w:t>器:同义词缺失</w:t>
            </w:r>
          </w:p>
        </w:tc>
        <w:tc>
          <w:tcPr>
            <w:tcW w:type="dxa" w:w="2161"/>
          </w:tcPr>
          <w:p>
            <w:pPr>
              <w:jc w:val="center"/>
            </w:pPr>
            <w:r/>
            <w:r>
              <w:rPr>
                <w:rFonts w:ascii="Times New Roman" w:hAnsi="Times New Roman" w:eastAsia="宋体"/>
                <w:b w:val="0"/>
                <w:i w:val="0"/>
                <w:sz w:val="18"/>
              </w:rPr>
              <w:t>添加vault→safe</w:t>
            </w:r>
          </w:p>
        </w:tc>
        <w:tc>
          <w:tcPr>
            <w:tcW w:type="dxa" w:w="2161"/>
          </w:tcPr>
          <w:p>
            <w:pPr>
              <w:jc w:val="center"/>
            </w:pPr>
            <w:r/>
            <w:r>
              <w:rPr>
                <w:rFonts w:ascii="Times New Roman" w:hAnsi="Times New Roman" w:eastAsia="宋体"/>
                <w:b w:val="0"/>
                <w:i w:val="0"/>
                <w:sz w:val="18"/>
              </w:rPr>
              <w:t>50→11步</w:t>
            </w:r>
          </w:p>
        </w:tc>
      </w:tr>
    </w:tbl>
    <w:p>
      <w:r>
        <w:rPr>
          <w:rFonts w:ascii="Times New Roman" w:hAnsi="Times New Roman" w:eastAsia="宋体"/>
          <w:b w:val="0"/>
          <w:i w:val="0"/>
          <w:sz w:val="21"/>
        </w:rPr>
        <w:t>以游戏#99为例：系统在任务"put some object in safe"中反复失败（耗尽50步），知几学习分析失败轨迹后精确归因——器中的同义词映射表缺少"vault→safe"的条目，导致系统无法理解任务目标。添加这一条映射后，同一任务从50步减少到5步完成。这体现了"1次精确归因≥10000次统计平均"的信息效率优势。</w:t>
      </w:r>
    </w:p>
    <w:p>
      <w:r>
        <w:rPr>
          <w:rFonts w:ascii="Times New Roman" w:hAnsi="Times New Roman" w:eastAsia="宋体"/>
          <w:b w:val="0"/>
          <w:i w:val="0"/>
          <w:sz w:val="21"/>
        </w:rPr>
        <w:t>游戏#41、#116、#118的失败均归因于道中NL解析器的方向性缺陷：当任务描述包含"put X from Y to Z"的结构时，解析器未能正确识别from/to的方向性。知几学习将这一系统性问题标记为"道"的缺陷（而非"器"的数据问题），修复后三个任务同时改善。</w:t>
      </w:r>
    </w:p>
    <w:p>
      <w:pPr>
        <w:pStyle w:val="Heading2"/>
        <w:spacing w:before="160" w:after="80"/>
        <w:ind w:firstLine="0"/>
        <w:jc w:val="left"/>
      </w:pPr>
      <w:r>
        <w:rPr>
          <w:rFonts w:ascii="Times New Roman" w:hAnsi="Times New Roman" w:eastAsia="黑体"/>
          <w:b/>
          <w:i w:val="0"/>
          <w:sz w:val="24"/>
        </w:rPr>
        <w:t>5.4  收敛实验</w:t>
      </w:r>
    </w:p>
    <w:p>
      <w:r>
        <w:rPr>
          <w:rFonts w:ascii="Times New Roman" w:hAnsi="Times New Roman" w:eastAsia="宋体"/>
          <w:b w:val="0"/>
          <w:i w:val="0"/>
          <w:sz w:val="21"/>
        </w:rPr>
        <w:t>为验证经验持久化的收敛性，我们进行了连续5轮实验。每轮结束后将ΔK保存为新的先验，下一轮在新先验基础上继续校准。</w:t>
      </w:r>
    </w:p>
    <w:p>
      <w:pPr>
        <w:spacing w:before="120"/>
        <w:ind w:firstLine="0"/>
        <w:jc w:val="center"/>
      </w:pPr>
      <w:r>
        <w:rPr>
          <w:rFonts w:ascii="Times New Roman" w:hAnsi="Times New Roman" w:eastAsia="宋体"/>
          <w:b/>
          <w:i w:val="0"/>
          <w:sz w:val="18"/>
        </w:rPr>
        <w:t>表3  经验持久化收敛实验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i w:val="0"/>
                <w:sz w:val="18"/>
              </w:rPr>
              <w:t>轮次</w:t>
            </w:r>
          </w:p>
        </w:tc>
        <w:tc>
          <w:tcPr>
            <w:tcW w:type="dxa" w:w="2161"/>
          </w:tcPr>
          <w:p>
            <w:pPr>
              <w:jc w:val="center"/>
            </w:pPr>
            <w:r/>
            <w:r>
              <w:rPr>
                <w:rFonts w:ascii="Times New Roman" w:hAnsi="Times New Roman" w:eastAsia="宋体"/>
                <w:b/>
                <w:i w:val="0"/>
                <w:sz w:val="18"/>
              </w:rPr>
              <w:t>成功率</w:t>
            </w:r>
          </w:p>
        </w:tc>
        <w:tc>
          <w:tcPr>
            <w:tcW w:type="dxa" w:w="2161"/>
          </w:tcPr>
          <w:p>
            <w:pPr>
              <w:jc w:val="center"/>
            </w:pPr>
            <w:r/>
            <w:r>
              <w:rPr>
                <w:rFonts w:ascii="Times New Roman" w:hAnsi="Times New Roman" w:eastAsia="宋体"/>
                <w:b/>
                <w:i w:val="0"/>
                <w:sz w:val="18"/>
              </w:rPr>
              <w:t>平均步数</w:t>
            </w:r>
          </w:p>
        </w:tc>
        <w:tc>
          <w:tcPr>
            <w:tcW w:type="dxa" w:w="2161"/>
          </w:tcPr>
          <w:p>
            <w:pPr>
              <w:jc w:val="center"/>
            </w:pPr>
            <w:r/>
            <w:r>
              <w:rPr>
                <w:rFonts w:ascii="Times New Roman" w:hAnsi="Times New Roman" w:eastAsia="宋体"/>
                <w:b/>
                <w:i w:val="0"/>
                <w:sz w:val="18"/>
              </w:rPr>
              <w:t>累计校准次数</w:t>
            </w:r>
          </w:p>
        </w:tc>
      </w:tr>
      <w:tr>
        <w:tc>
          <w:tcPr>
            <w:tcW w:type="dxa" w:w="2161"/>
          </w:tcPr>
          <w:p>
            <w:pPr>
              <w:jc w:val="center"/>
            </w:pPr>
            <w:r/>
            <w:r>
              <w:rPr>
                <w:rFonts w:ascii="Times New Roman" w:hAnsi="Times New Roman" w:eastAsia="宋体"/>
                <w:b w:val="0"/>
                <w:i w:val="0"/>
                <w:sz w:val="18"/>
              </w:rPr>
              <w:t>V9基线</w:t>
            </w:r>
          </w:p>
        </w:tc>
        <w:tc>
          <w:tcPr>
            <w:tcW w:type="dxa" w:w="2161"/>
          </w:tcPr>
          <w:p>
            <w:pPr>
              <w:jc w:val="center"/>
            </w:pPr>
            <w:r/>
            <w:r>
              <w:rPr>
                <w:rFonts w:ascii="Times New Roman" w:hAnsi="Times New Roman" w:eastAsia="宋体"/>
                <w:b w:val="0"/>
                <w:i w:val="0"/>
                <w:sz w:val="18"/>
              </w:rPr>
              <w:t>94/134 (70.1%)</w:t>
            </w:r>
          </w:p>
        </w:tc>
        <w:tc>
          <w:tcPr>
            <w:tcW w:type="dxa" w:w="2161"/>
          </w:tcPr>
          <w:p>
            <w:pPr>
              <w:jc w:val="center"/>
            </w:pPr>
            <w:r/>
            <w:r>
              <w:rPr>
                <w:rFonts w:ascii="Times New Roman" w:hAnsi="Times New Roman" w:eastAsia="宋体"/>
                <w:b w:val="0"/>
                <w:i w:val="0"/>
                <w:sz w:val="18"/>
              </w:rPr>
              <w:t>21.5</w:t>
            </w:r>
          </w:p>
        </w:tc>
        <w:tc>
          <w:tcPr>
            <w:tcW w:type="dxa" w:w="2161"/>
          </w:tcPr>
          <w:p>
            <w:pPr>
              <w:jc w:val="center"/>
            </w:pPr>
            <w:r/>
            <w:r>
              <w:rPr>
                <w:rFonts w:ascii="Times New Roman" w:hAnsi="Times New Roman" w:eastAsia="宋体"/>
                <w:b w:val="0"/>
                <w:i w:val="0"/>
                <w:sz w:val="18"/>
              </w:rPr>
              <w:t>18</w:t>
            </w:r>
          </w:p>
        </w:tc>
      </w:tr>
      <w:tr>
        <w:tc>
          <w:tcPr>
            <w:tcW w:type="dxa" w:w="2161"/>
          </w:tcPr>
          <w:p>
            <w:pPr>
              <w:jc w:val="center"/>
            </w:pPr>
            <w:r/>
            <w:r>
              <w:rPr>
                <w:rFonts w:ascii="Times New Roman" w:hAnsi="Times New Roman" w:eastAsia="宋体"/>
                <w:b w:val="0"/>
                <w:i w:val="0"/>
                <w:sz w:val="18"/>
              </w:rPr>
              <w:t>R1</w:t>
            </w:r>
          </w:p>
        </w:tc>
        <w:tc>
          <w:tcPr>
            <w:tcW w:type="dxa" w:w="2161"/>
          </w:tcPr>
          <w:p>
            <w:pPr>
              <w:jc w:val="center"/>
            </w:pPr>
            <w:r/>
            <w:r>
              <w:rPr>
                <w:rFonts w:ascii="Times New Roman" w:hAnsi="Times New Roman" w:eastAsia="宋体"/>
                <w:b w:val="0"/>
                <w:i w:val="0"/>
                <w:sz w:val="18"/>
              </w:rPr>
              <w:t>98/134 (73.1%)</w:t>
            </w:r>
          </w:p>
        </w:tc>
        <w:tc>
          <w:tcPr>
            <w:tcW w:type="dxa" w:w="2161"/>
          </w:tcPr>
          <w:p>
            <w:pPr>
              <w:jc w:val="center"/>
            </w:pPr>
            <w:r/>
            <w:r>
              <w:rPr>
                <w:rFonts w:ascii="Times New Roman" w:hAnsi="Times New Roman" w:eastAsia="宋体"/>
                <w:b w:val="0"/>
                <w:i w:val="0"/>
                <w:sz w:val="18"/>
              </w:rPr>
              <w:t>20.5</w:t>
            </w:r>
          </w:p>
        </w:tc>
        <w:tc>
          <w:tcPr>
            <w:tcW w:type="dxa" w:w="2161"/>
          </w:tcPr>
          <w:p>
            <w:pPr>
              <w:jc w:val="center"/>
            </w:pPr>
            <w:r/>
            <w:r>
              <w:rPr>
                <w:rFonts w:ascii="Times New Roman" w:hAnsi="Times New Roman" w:eastAsia="宋体"/>
                <w:b w:val="0"/>
                <w:i w:val="0"/>
                <w:sz w:val="18"/>
              </w:rPr>
              <w:t>15</w:t>
            </w:r>
          </w:p>
        </w:tc>
      </w:tr>
      <w:tr>
        <w:tc>
          <w:tcPr>
            <w:tcW w:type="dxa" w:w="2161"/>
          </w:tcPr>
          <w:p>
            <w:pPr>
              <w:jc w:val="center"/>
            </w:pPr>
            <w:r/>
            <w:r>
              <w:rPr>
                <w:rFonts w:ascii="Times New Roman" w:hAnsi="Times New Roman" w:eastAsia="宋体"/>
                <w:b w:val="0"/>
                <w:i w:val="0"/>
                <w:sz w:val="18"/>
              </w:rPr>
              <w:t>R2</w:t>
            </w:r>
          </w:p>
        </w:tc>
        <w:tc>
          <w:tcPr>
            <w:tcW w:type="dxa" w:w="2161"/>
          </w:tcPr>
          <w:p>
            <w:pPr>
              <w:jc w:val="center"/>
            </w:pPr>
            <w:r/>
            <w:r>
              <w:rPr>
                <w:rFonts w:ascii="Times New Roman" w:hAnsi="Times New Roman" w:eastAsia="宋体"/>
                <w:b w:val="0"/>
                <w:i w:val="0"/>
                <w:sz w:val="18"/>
              </w:rPr>
              <w:t>99/134 (73.9%)</w:t>
            </w:r>
          </w:p>
        </w:tc>
        <w:tc>
          <w:tcPr>
            <w:tcW w:type="dxa" w:w="2161"/>
          </w:tcPr>
          <w:p>
            <w:pPr>
              <w:jc w:val="center"/>
            </w:pPr>
            <w:r/>
            <w:r>
              <w:rPr>
                <w:rFonts w:ascii="Times New Roman" w:hAnsi="Times New Roman" w:eastAsia="宋体"/>
                <w:b w:val="0"/>
                <w:i w:val="0"/>
                <w:sz w:val="18"/>
              </w:rPr>
              <w:t>20.1</w:t>
            </w:r>
          </w:p>
        </w:tc>
        <w:tc>
          <w:tcPr>
            <w:tcW w:type="dxa" w:w="2161"/>
          </w:tcPr>
          <w:p>
            <w:pPr>
              <w:jc w:val="center"/>
            </w:pPr>
            <w:r/>
            <w:r>
              <w:rPr>
                <w:rFonts w:ascii="Times New Roman" w:hAnsi="Times New Roman" w:eastAsia="宋体"/>
                <w:b w:val="0"/>
                <w:i w:val="0"/>
                <w:sz w:val="18"/>
              </w:rPr>
              <w:t>38</w:t>
            </w:r>
          </w:p>
        </w:tc>
      </w:tr>
      <w:tr>
        <w:tc>
          <w:tcPr>
            <w:tcW w:type="dxa" w:w="2161"/>
          </w:tcPr>
          <w:p>
            <w:pPr>
              <w:jc w:val="center"/>
            </w:pPr>
            <w:r/>
            <w:r>
              <w:rPr>
                <w:rFonts w:ascii="Times New Roman" w:hAnsi="Times New Roman" w:eastAsia="宋体"/>
                <w:b w:val="0"/>
                <w:i w:val="0"/>
                <w:sz w:val="18"/>
              </w:rPr>
              <w:t>R3</w:t>
            </w:r>
          </w:p>
        </w:tc>
        <w:tc>
          <w:tcPr>
            <w:tcW w:type="dxa" w:w="2161"/>
          </w:tcPr>
          <w:p>
            <w:pPr>
              <w:jc w:val="center"/>
            </w:pPr>
            <w:r/>
            <w:r>
              <w:rPr>
                <w:rFonts w:ascii="Times New Roman" w:hAnsi="Times New Roman" w:eastAsia="宋体"/>
                <w:b w:val="0"/>
                <w:i w:val="0"/>
                <w:sz w:val="18"/>
              </w:rPr>
              <w:t>99/134 (73.9%)</w:t>
            </w:r>
          </w:p>
        </w:tc>
        <w:tc>
          <w:tcPr>
            <w:tcW w:type="dxa" w:w="2161"/>
          </w:tcPr>
          <w:p>
            <w:pPr>
              <w:jc w:val="center"/>
            </w:pPr>
            <w:r/>
            <w:r>
              <w:rPr>
                <w:rFonts w:ascii="Times New Roman" w:hAnsi="Times New Roman" w:eastAsia="宋体"/>
                <w:b w:val="0"/>
                <w:i w:val="0"/>
                <w:sz w:val="18"/>
              </w:rPr>
              <w:t>20.1</w:t>
            </w:r>
          </w:p>
        </w:tc>
        <w:tc>
          <w:tcPr>
            <w:tcW w:type="dxa" w:w="2161"/>
          </w:tcPr>
          <w:p>
            <w:pPr>
              <w:jc w:val="center"/>
            </w:pPr>
            <w:r/>
            <w:r>
              <w:rPr>
                <w:rFonts w:ascii="Times New Roman" w:hAnsi="Times New Roman" w:eastAsia="宋体"/>
                <w:b w:val="0"/>
                <w:i w:val="0"/>
                <w:sz w:val="18"/>
              </w:rPr>
              <w:t>61</w:t>
            </w:r>
          </w:p>
        </w:tc>
      </w:tr>
      <w:tr>
        <w:tc>
          <w:tcPr>
            <w:tcW w:type="dxa" w:w="2161"/>
          </w:tcPr>
          <w:p>
            <w:pPr>
              <w:jc w:val="center"/>
            </w:pPr>
            <w:r/>
            <w:r>
              <w:rPr>
                <w:rFonts w:ascii="Times New Roman" w:hAnsi="Times New Roman" w:eastAsia="宋体"/>
                <w:b w:val="0"/>
                <w:i w:val="0"/>
                <w:sz w:val="18"/>
              </w:rPr>
              <w:t>R4</w:t>
            </w:r>
          </w:p>
        </w:tc>
        <w:tc>
          <w:tcPr>
            <w:tcW w:type="dxa" w:w="2161"/>
          </w:tcPr>
          <w:p>
            <w:pPr>
              <w:jc w:val="center"/>
            </w:pPr>
            <w:r/>
            <w:r>
              <w:rPr>
                <w:rFonts w:ascii="Times New Roman" w:hAnsi="Times New Roman" w:eastAsia="宋体"/>
                <w:b w:val="0"/>
                <w:i w:val="0"/>
                <w:sz w:val="18"/>
              </w:rPr>
              <w:t>99/134 (73.9%)</w:t>
            </w:r>
          </w:p>
        </w:tc>
        <w:tc>
          <w:tcPr>
            <w:tcW w:type="dxa" w:w="2161"/>
          </w:tcPr>
          <w:p>
            <w:pPr>
              <w:jc w:val="center"/>
            </w:pPr>
            <w:r/>
            <w:r>
              <w:rPr>
                <w:rFonts w:ascii="Times New Roman" w:hAnsi="Times New Roman" w:eastAsia="宋体"/>
                <w:b w:val="0"/>
                <w:i w:val="0"/>
                <w:sz w:val="18"/>
              </w:rPr>
              <w:t>20.2</w:t>
            </w:r>
          </w:p>
        </w:tc>
        <w:tc>
          <w:tcPr>
            <w:tcW w:type="dxa" w:w="2161"/>
          </w:tcPr>
          <w:p>
            <w:pPr>
              <w:jc w:val="center"/>
            </w:pPr>
            <w:r/>
            <w:r>
              <w:rPr>
                <w:rFonts w:ascii="Times New Roman" w:hAnsi="Times New Roman" w:eastAsia="宋体"/>
                <w:b w:val="0"/>
                <w:i w:val="0"/>
                <w:sz w:val="18"/>
              </w:rPr>
              <w:t>84</w:t>
            </w:r>
          </w:p>
        </w:tc>
      </w:tr>
      <w:tr>
        <w:tc>
          <w:tcPr>
            <w:tcW w:type="dxa" w:w="2161"/>
          </w:tcPr>
          <w:p>
            <w:pPr>
              <w:jc w:val="center"/>
            </w:pPr>
            <w:r/>
            <w:r>
              <w:rPr>
                <w:rFonts w:ascii="Times New Roman" w:hAnsi="Times New Roman" w:eastAsia="宋体"/>
                <w:b w:val="0"/>
                <w:i w:val="0"/>
                <w:sz w:val="18"/>
              </w:rPr>
              <w:t>R5</w:t>
            </w:r>
          </w:p>
        </w:tc>
        <w:tc>
          <w:tcPr>
            <w:tcW w:type="dxa" w:w="2161"/>
          </w:tcPr>
          <w:p>
            <w:pPr>
              <w:jc w:val="center"/>
            </w:pPr>
            <w:r/>
            <w:r>
              <w:rPr>
                <w:rFonts w:ascii="Times New Roman" w:hAnsi="Times New Roman" w:eastAsia="宋体"/>
                <w:b w:val="0"/>
                <w:i w:val="0"/>
                <w:sz w:val="18"/>
              </w:rPr>
              <w:t>99/134 (73.9%)</w:t>
            </w:r>
          </w:p>
        </w:tc>
        <w:tc>
          <w:tcPr>
            <w:tcW w:type="dxa" w:w="2161"/>
          </w:tcPr>
          <w:p>
            <w:pPr>
              <w:jc w:val="center"/>
            </w:pPr>
            <w:r/>
            <w:r>
              <w:rPr>
                <w:rFonts w:ascii="Times New Roman" w:hAnsi="Times New Roman" w:eastAsia="宋体"/>
                <w:b w:val="0"/>
                <w:i w:val="0"/>
                <w:sz w:val="18"/>
              </w:rPr>
              <w:t>20.2</w:t>
            </w:r>
          </w:p>
        </w:tc>
        <w:tc>
          <w:tcPr>
            <w:tcW w:type="dxa" w:w="2161"/>
          </w:tcPr>
          <w:p>
            <w:pPr>
              <w:jc w:val="center"/>
            </w:pPr>
            <w:r/>
            <w:r>
              <w:rPr>
                <w:rFonts w:ascii="Times New Roman" w:hAnsi="Times New Roman" w:eastAsia="宋体"/>
                <w:b w:val="0"/>
                <w:i w:val="0"/>
                <w:sz w:val="18"/>
              </w:rPr>
              <w:t>107</w:t>
            </w:r>
          </w:p>
        </w:tc>
      </w:tr>
    </w:tbl>
    <w:p>
      <w:r>
        <w:rPr>
          <w:rFonts w:ascii="Times New Roman" w:hAnsi="Times New Roman" w:eastAsia="宋体"/>
          <w:b w:val="0"/>
          <w:i w:val="0"/>
          <w:sz w:val="21"/>
        </w:rPr>
        <w:t>表3显示：系统在R2轮达到73.9%后完全收敛，R3至R5的成功率和平均步数不再变化。累计校准次数持续增加但未带来性能提升，表明先验知识的"信息容量"已满——当前道和器的表达能力已充分利用。</w:t>
      </w:r>
    </w:p>
    <w:p>
      <w:pPr>
        <w:spacing w:before="240" w:after="240"/>
        <w:ind w:firstLine="0"/>
        <w:jc w:val="center"/>
      </w:pPr>
      <w:r>
        <w:rPr>
          <w:rFonts w:ascii="Times New Roman" w:hAnsi="Times New Roman" w:eastAsia="宋体"/>
          <w:b w:val="0"/>
          <w:i w:val="0"/>
          <w:sz w:val="18"/>
        </w:rPr>
        <w:t>[图3位置] 图3  收敛曲线图</w:t>
        <w:br/>
        <w:t>（描述：横轴标注V7/V9/R1/R2/R3/R4/R5，纵轴为成功率67%-74%。折线从V7的67.2%上升到V9的70.1%，再到R1的73.1%，R2的73.9%，之后R3/R4/R5保持水平。关键节点标注："道+器"(V7)、"+法(阳)"(V9)、"+法(阴阳)"(R1)、"收敛"(R2-)。）</w:t>
      </w:r>
    </w:p>
    <w:p>
      <w:r>
        <w:rPr>
          <w:rFonts w:ascii="Times New Roman" w:hAnsi="Times New Roman" w:eastAsia="宋体"/>
          <w:b w:val="0"/>
          <w:i w:val="0"/>
          <w:sz w:val="21"/>
        </w:rPr>
        <w:t>一轮收敛的深层含义是：突破73.9%的瓶颈不需要更多的"法"（学习轮次），而需要升级"道"（增加更精细的推理规则）或扩充"器"（引入更丰富的知识源）。这验证了"道-器-法"框架的诊断价值——它能清晰地指出性能瓶颈在哪一层。</w:t>
      </w:r>
    </w:p>
    <w:p>
      <w:pPr>
        <w:pStyle w:val="Heading2"/>
        <w:spacing w:before="160" w:after="80"/>
        <w:ind w:firstLine="0"/>
        <w:jc w:val="left"/>
      </w:pPr>
      <w:r>
        <w:rPr>
          <w:rFonts w:ascii="Times New Roman" w:hAnsi="Times New Roman" w:eastAsia="黑体"/>
          <w:b/>
          <w:i w:val="0"/>
          <w:sz w:val="24"/>
        </w:rPr>
        <w:t>5.5  方法对比</w:t>
      </w:r>
    </w:p>
    <w:p>
      <w:r>
        <w:rPr>
          <w:rFonts w:ascii="Times New Roman" w:hAnsi="Times New Roman" w:eastAsia="宋体"/>
          <w:b w:val="0"/>
          <w:i w:val="0"/>
          <w:sz w:val="21"/>
        </w:rPr>
        <w:t>为将知几学习置于更广泛的方法论视角中，我们与当前主流方法进行了比较。</w:t>
      </w:r>
    </w:p>
    <w:p>
      <w:pPr>
        <w:spacing w:before="120"/>
        <w:ind w:firstLine="0"/>
        <w:jc w:val="center"/>
      </w:pPr>
      <w:r>
        <w:rPr>
          <w:rFonts w:ascii="Times New Roman" w:hAnsi="Times New Roman" w:eastAsia="宋体"/>
          <w:b/>
          <w:i w:val="0"/>
          <w:sz w:val="18"/>
        </w:rPr>
        <w:t>表4  方法对比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Times New Roman" w:hAnsi="Times New Roman" w:eastAsia="宋体"/>
                <w:b/>
                <w:i w:val="0"/>
                <w:sz w:val="18"/>
              </w:rPr>
              <w:t>方法</w:t>
            </w:r>
          </w:p>
        </w:tc>
        <w:tc>
          <w:tcPr>
            <w:tcW w:type="dxa" w:w="1729"/>
          </w:tcPr>
          <w:p>
            <w:pPr>
              <w:jc w:val="center"/>
            </w:pPr>
            <w:r/>
            <w:r>
              <w:rPr>
                <w:rFonts w:ascii="Times New Roman" w:hAnsi="Times New Roman" w:eastAsia="宋体"/>
                <w:b/>
                <w:i w:val="0"/>
                <w:sz w:val="18"/>
              </w:rPr>
              <w:t>成功率</w:t>
            </w:r>
          </w:p>
        </w:tc>
        <w:tc>
          <w:tcPr>
            <w:tcW w:type="dxa" w:w="1729"/>
          </w:tcPr>
          <w:p>
            <w:pPr>
              <w:jc w:val="center"/>
            </w:pPr>
            <w:r/>
            <w:r>
              <w:rPr>
                <w:rFonts w:ascii="Times New Roman" w:hAnsi="Times New Roman" w:eastAsia="宋体"/>
                <w:b/>
                <w:i w:val="0"/>
                <w:sz w:val="18"/>
              </w:rPr>
              <w:t>需LLM</w:t>
            </w:r>
          </w:p>
        </w:tc>
        <w:tc>
          <w:tcPr>
            <w:tcW w:type="dxa" w:w="1729"/>
          </w:tcPr>
          <w:p>
            <w:pPr>
              <w:jc w:val="center"/>
            </w:pPr>
            <w:r/>
            <w:r>
              <w:rPr>
                <w:rFonts w:ascii="Times New Roman" w:hAnsi="Times New Roman" w:eastAsia="宋体"/>
                <w:b/>
                <w:i w:val="0"/>
                <w:sz w:val="18"/>
              </w:rPr>
              <w:t>可解释</w:t>
            </w:r>
          </w:p>
        </w:tc>
        <w:tc>
          <w:tcPr>
            <w:tcW w:type="dxa" w:w="1729"/>
          </w:tcPr>
          <w:p>
            <w:pPr>
              <w:jc w:val="center"/>
            </w:pPr>
            <w:r/>
            <w:r>
              <w:rPr>
                <w:rFonts w:ascii="Times New Roman" w:hAnsi="Times New Roman" w:eastAsia="宋体"/>
                <w:b/>
                <w:i w:val="0"/>
                <w:sz w:val="18"/>
              </w:rPr>
              <w:t>参数量</w:t>
            </w:r>
          </w:p>
        </w:tc>
      </w:tr>
      <w:tr>
        <w:tc>
          <w:tcPr>
            <w:tcW w:type="dxa" w:w="1729"/>
          </w:tcPr>
          <w:p>
            <w:pPr>
              <w:jc w:val="center"/>
            </w:pPr>
            <w:r/>
            <w:r>
              <w:rPr>
                <w:rFonts w:ascii="Times New Roman" w:hAnsi="Times New Roman" w:eastAsia="宋体"/>
                <w:b w:val="0"/>
                <w:i w:val="0"/>
                <w:sz w:val="18"/>
              </w:rPr>
              <w:t>ReAct (GPT-4)</w:t>
            </w:r>
          </w:p>
        </w:tc>
        <w:tc>
          <w:tcPr>
            <w:tcW w:type="dxa" w:w="1729"/>
          </w:tcPr>
          <w:p>
            <w:pPr>
              <w:jc w:val="center"/>
            </w:pPr>
            <w:r/>
            <w:r>
              <w:rPr>
                <w:rFonts w:ascii="Times New Roman" w:hAnsi="Times New Roman" w:eastAsia="宋体"/>
                <w:b w:val="0"/>
                <w:i w:val="0"/>
                <w:sz w:val="18"/>
              </w:rPr>
              <w:t>71%</w:t>
            </w:r>
          </w:p>
        </w:tc>
        <w:tc>
          <w:tcPr>
            <w:tcW w:type="dxa" w:w="1729"/>
          </w:tcPr>
          <w:p>
            <w:pPr>
              <w:jc w:val="center"/>
            </w:pPr>
            <w:r/>
            <w:r>
              <w:rPr>
                <w:rFonts w:ascii="Times New Roman" w:hAnsi="Times New Roman" w:eastAsia="宋体"/>
                <w:b w:val="0"/>
                <w:i w:val="0"/>
                <w:sz w:val="18"/>
              </w:rPr>
              <w:t>是</w:t>
            </w:r>
          </w:p>
        </w:tc>
        <w:tc>
          <w:tcPr>
            <w:tcW w:type="dxa" w:w="1729"/>
          </w:tcPr>
          <w:p>
            <w:pPr>
              <w:jc w:val="center"/>
            </w:pPr>
            <w:r/>
            <w:r>
              <w:rPr>
                <w:rFonts w:ascii="Times New Roman" w:hAnsi="Times New Roman" w:eastAsia="宋体"/>
                <w:b w:val="0"/>
                <w:i w:val="0"/>
                <w:sz w:val="18"/>
              </w:rPr>
              <w:t>否</w:t>
            </w:r>
          </w:p>
        </w:tc>
        <w:tc>
          <w:tcPr>
            <w:tcW w:type="dxa" w:w="1729"/>
          </w:tcPr>
          <w:p>
            <w:pPr>
              <w:jc w:val="center"/>
            </w:pPr>
            <w:r/>
            <w:r>
              <w:rPr>
                <w:rFonts w:ascii="Times New Roman" w:hAnsi="Times New Roman" w:eastAsia="宋体"/>
                <w:b w:val="0"/>
                <w:i w:val="0"/>
                <w:sz w:val="18"/>
              </w:rPr>
              <w:t>1750亿</w:t>
            </w:r>
          </w:p>
        </w:tc>
      </w:tr>
      <w:tr>
        <w:tc>
          <w:tcPr>
            <w:tcW w:type="dxa" w:w="1729"/>
          </w:tcPr>
          <w:p>
            <w:pPr>
              <w:jc w:val="center"/>
            </w:pPr>
            <w:r/>
            <w:r>
              <w:rPr>
                <w:rFonts w:ascii="Times New Roman" w:hAnsi="Times New Roman" w:eastAsia="宋体"/>
                <w:b w:val="0"/>
                <w:i w:val="0"/>
                <w:sz w:val="18"/>
              </w:rPr>
              <w:t>Reflexion</w:t>
            </w:r>
          </w:p>
        </w:tc>
        <w:tc>
          <w:tcPr>
            <w:tcW w:type="dxa" w:w="1729"/>
          </w:tcPr>
          <w:p>
            <w:pPr>
              <w:jc w:val="center"/>
            </w:pPr>
            <w:r/>
            <w:r>
              <w:rPr>
                <w:rFonts w:ascii="Times New Roman" w:hAnsi="Times New Roman" w:eastAsia="宋体"/>
                <w:b w:val="0"/>
                <w:i w:val="0"/>
                <w:sz w:val="18"/>
              </w:rPr>
              <w:t>77%</w:t>
            </w:r>
          </w:p>
        </w:tc>
        <w:tc>
          <w:tcPr>
            <w:tcW w:type="dxa" w:w="1729"/>
          </w:tcPr>
          <w:p>
            <w:pPr>
              <w:jc w:val="center"/>
            </w:pPr>
            <w:r/>
            <w:r>
              <w:rPr>
                <w:rFonts w:ascii="Times New Roman" w:hAnsi="Times New Roman" w:eastAsia="宋体"/>
                <w:b w:val="0"/>
                <w:i w:val="0"/>
                <w:sz w:val="18"/>
              </w:rPr>
              <w:t>是</w:t>
            </w:r>
          </w:p>
        </w:tc>
        <w:tc>
          <w:tcPr>
            <w:tcW w:type="dxa" w:w="1729"/>
          </w:tcPr>
          <w:p>
            <w:pPr>
              <w:jc w:val="center"/>
            </w:pPr>
            <w:r/>
            <w:r>
              <w:rPr>
                <w:rFonts w:ascii="Times New Roman" w:hAnsi="Times New Roman" w:eastAsia="宋体"/>
                <w:b w:val="0"/>
                <w:i w:val="0"/>
                <w:sz w:val="18"/>
              </w:rPr>
              <w:t>否</w:t>
            </w:r>
          </w:p>
        </w:tc>
        <w:tc>
          <w:tcPr>
            <w:tcW w:type="dxa" w:w="1729"/>
          </w:tcPr>
          <w:p>
            <w:pPr>
              <w:jc w:val="center"/>
            </w:pPr>
            <w:r/>
            <w:r>
              <w:rPr>
                <w:rFonts w:ascii="Times New Roman" w:hAnsi="Times New Roman" w:eastAsia="宋体"/>
                <w:b w:val="0"/>
                <w:i w:val="0"/>
                <w:sz w:val="18"/>
              </w:rPr>
              <w:t>1750亿</w:t>
            </w:r>
          </w:p>
        </w:tc>
      </w:tr>
      <w:tr>
        <w:tc>
          <w:tcPr>
            <w:tcW w:type="dxa" w:w="1729"/>
          </w:tcPr>
          <w:p>
            <w:pPr>
              <w:jc w:val="center"/>
            </w:pPr>
            <w:r/>
            <w:r>
              <w:rPr>
                <w:rFonts w:ascii="Times New Roman" w:hAnsi="Times New Roman" w:eastAsia="宋体"/>
                <w:b w:val="0"/>
                <w:i w:val="0"/>
                <w:sz w:val="18"/>
              </w:rPr>
              <w:t>EmbodiSkill (27B)</w:t>
            </w:r>
          </w:p>
        </w:tc>
        <w:tc>
          <w:tcPr>
            <w:tcW w:type="dxa" w:w="1729"/>
          </w:tcPr>
          <w:p>
            <w:pPr>
              <w:jc w:val="center"/>
            </w:pPr>
            <w:r/>
            <w:r>
              <w:rPr>
                <w:rFonts w:ascii="Times New Roman" w:hAnsi="Times New Roman" w:eastAsia="宋体"/>
                <w:b w:val="0"/>
                <w:i w:val="0"/>
                <w:sz w:val="18"/>
              </w:rPr>
              <w:t>93.28%</w:t>
            </w:r>
          </w:p>
        </w:tc>
        <w:tc>
          <w:tcPr>
            <w:tcW w:type="dxa" w:w="1729"/>
          </w:tcPr>
          <w:p>
            <w:pPr>
              <w:jc w:val="center"/>
            </w:pPr>
            <w:r/>
            <w:r>
              <w:rPr>
                <w:rFonts w:ascii="Times New Roman" w:hAnsi="Times New Roman" w:eastAsia="宋体"/>
                <w:b w:val="0"/>
                <w:i w:val="0"/>
                <w:sz w:val="18"/>
              </w:rPr>
              <w:t>是</w:t>
            </w:r>
          </w:p>
        </w:tc>
        <w:tc>
          <w:tcPr>
            <w:tcW w:type="dxa" w:w="1729"/>
          </w:tcPr>
          <w:p>
            <w:pPr>
              <w:jc w:val="center"/>
            </w:pPr>
            <w:r/>
            <w:r>
              <w:rPr>
                <w:rFonts w:ascii="Times New Roman" w:hAnsi="Times New Roman" w:eastAsia="宋体"/>
                <w:b w:val="0"/>
                <w:i w:val="0"/>
                <w:sz w:val="18"/>
              </w:rPr>
              <w:t>否</w:t>
            </w:r>
          </w:p>
        </w:tc>
        <w:tc>
          <w:tcPr>
            <w:tcW w:type="dxa" w:w="1729"/>
          </w:tcPr>
          <w:p>
            <w:pPr>
              <w:jc w:val="center"/>
            </w:pPr>
            <w:r/>
            <w:r>
              <w:rPr>
                <w:rFonts w:ascii="Times New Roman" w:hAnsi="Times New Roman" w:eastAsia="宋体"/>
                <w:b w:val="0"/>
                <w:i w:val="0"/>
                <w:sz w:val="18"/>
              </w:rPr>
              <w:t>270亿</w:t>
            </w:r>
          </w:p>
        </w:tc>
      </w:tr>
      <w:tr>
        <w:tc>
          <w:tcPr>
            <w:tcW w:type="dxa" w:w="1729"/>
          </w:tcPr>
          <w:p>
            <w:pPr>
              <w:jc w:val="center"/>
            </w:pPr>
            <w:r/>
            <w:r>
              <w:rPr>
                <w:rFonts w:ascii="Times New Roman" w:hAnsi="Times New Roman" w:eastAsia="宋体"/>
                <w:b w:val="0"/>
                <w:i w:val="0"/>
                <w:sz w:val="18"/>
              </w:rPr>
              <w:t>YLYW+知几学习(本文)</w:t>
            </w:r>
          </w:p>
        </w:tc>
        <w:tc>
          <w:tcPr>
            <w:tcW w:type="dxa" w:w="1729"/>
          </w:tcPr>
          <w:p>
            <w:pPr>
              <w:jc w:val="center"/>
            </w:pPr>
            <w:r/>
            <w:r>
              <w:rPr>
                <w:rFonts w:ascii="Times New Roman" w:hAnsi="Times New Roman" w:eastAsia="宋体"/>
                <w:b w:val="0"/>
                <w:i w:val="0"/>
                <w:sz w:val="18"/>
              </w:rPr>
              <w:t>73.9%</w:t>
            </w:r>
          </w:p>
        </w:tc>
        <w:tc>
          <w:tcPr>
            <w:tcW w:type="dxa" w:w="1729"/>
          </w:tcPr>
          <w:p>
            <w:pPr>
              <w:jc w:val="center"/>
            </w:pPr>
            <w:r/>
            <w:r>
              <w:rPr>
                <w:rFonts w:ascii="Times New Roman" w:hAnsi="Times New Roman" w:eastAsia="宋体"/>
                <w:b w:val="0"/>
                <w:i w:val="0"/>
                <w:sz w:val="18"/>
              </w:rPr>
              <w:t>否</w:t>
            </w:r>
          </w:p>
        </w:tc>
        <w:tc>
          <w:tcPr>
            <w:tcW w:type="dxa" w:w="1729"/>
          </w:tcPr>
          <w:p>
            <w:pPr>
              <w:jc w:val="center"/>
            </w:pPr>
            <w:r/>
            <w:r>
              <w:rPr>
                <w:rFonts w:ascii="Times New Roman" w:hAnsi="Times New Roman" w:eastAsia="宋体"/>
                <w:b w:val="0"/>
                <w:i w:val="0"/>
                <w:sz w:val="18"/>
              </w:rPr>
              <w:t>是</w:t>
            </w:r>
          </w:p>
        </w:tc>
        <w:tc>
          <w:tcPr>
            <w:tcW w:type="dxa" w:w="1729"/>
          </w:tcPr>
          <w:p>
            <w:pPr>
              <w:jc w:val="center"/>
            </w:pPr>
            <w:r/>
            <w:r>
              <w:rPr>
                <w:rFonts w:ascii="Times New Roman" w:hAnsi="Times New Roman" w:eastAsia="宋体"/>
                <w:b w:val="0"/>
                <w:i w:val="0"/>
                <w:sz w:val="18"/>
              </w:rPr>
              <w:t>0(纯规则)</w:t>
            </w:r>
          </w:p>
        </w:tc>
      </w:tr>
    </w:tbl>
    <w:p>
      <w:r>
        <w:rPr>
          <w:rFonts w:ascii="Times New Roman" w:hAnsi="Times New Roman" w:eastAsia="宋体"/>
          <w:b w:val="0"/>
          <w:i w:val="0"/>
          <w:sz w:val="21"/>
        </w:rPr>
        <w:t>表4的比较揭示了一个有趣的格局。在绝对成功率上，基于大型语言模型（LLM）的方法（特别是EmbodiSkill</w:t>
      </w:r>
      <w:r>
        <w:rPr>
          <w:rFonts w:ascii="Times New Roman" w:hAnsi="Times New Roman" w:eastAsia="宋体"/>
          <w:b w:val="0"/>
          <w:i w:val="0"/>
          <w:sz w:val="16"/>
          <w:vertAlign w:val="superscript"/>
        </w:rPr>
        <w:t>[9]</w:t>
      </w:r>
      <w:r>
        <w:rPr>
          <w:rFonts w:ascii="Times New Roman" w:hAnsi="Times New Roman" w:eastAsia="宋体"/>
          <w:b w:val="0"/>
          <w:i w:val="0"/>
          <w:sz w:val="21"/>
        </w:rPr>
        <w:t>）表现最优，但代价是270亿至1750亿参数的计算开销。YLYW+知几学习以零参数（纯规则系统）达到73.9%，超越了使用GPT-4的ReAct</w:t>
      </w:r>
      <w:r>
        <w:rPr>
          <w:rFonts w:ascii="Times New Roman" w:hAnsi="Times New Roman" w:eastAsia="宋体"/>
          <w:b w:val="0"/>
          <w:i w:val="0"/>
          <w:sz w:val="16"/>
          <w:vertAlign w:val="superscript"/>
        </w:rPr>
        <w:t>[10]</w:t>
      </w:r>
      <w:r>
        <w:rPr>
          <w:rFonts w:ascii="Times New Roman" w:hAnsi="Times New Roman" w:eastAsia="宋体"/>
          <w:b w:val="0"/>
          <w:i w:val="0"/>
          <w:sz w:val="21"/>
        </w:rPr>
        <w:t>方法（71%），接近Reflexion</w:t>
      </w:r>
      <w:r>
        <w:rPr>
          <w:rFonts w:ascii="Times New Roman" w:hAnsi="Times New Roman" w:eastAsia="宋体"/>
          <w:b w:val="0"/>
          <w:i w:val="0"/>
          <w:sz w:val="16"/>
          <w:vertAlign w:val="superscript"/>
        </w:rPr>
        <w:t>[11]</w:t>
      </w:r>
      <w:r>
        <w:rPr>
          <w:rFonts w:ascii="Times New Roman" w:hAnsi="Times New Roman" w:eastAsia="宋体"/>
          <w:b w:val="0"/>
          <w:i w:val="0"/>
          <w:sz w:val="21"/>
        </w:rPr>
        <w:t>（77%）。</w:t>
      </w:r>
    </w:p>
    <w:p>
      <w:r>
        <w:rPr>
          <w:rFonts w:ascii="Times New Roman" w:hAnsi="Times New Roman" w:eastAsia="宋体"/>
          <w:b w:val="0"/>
          <w:i w:val="0"/>
          <w:sz w:val="21"/>
        </w:rPr>
        <w:t>更重要的是，知几学习提供了LLM方法不具备的属性：完全可解释性（每个决策可追溯到卦爻级别）、确定性（相同输入总产生相同输出）、零计算资源需求（可在单核CPU上运行）。这些属性在安全关键场景（如机器人手术、自动驾驶）中可能比几个百分点的成功率提升更有价值。</w:t>
      </w:r>
    </w:p>
    <w:p>
      <w:pPr>
        <w:pStyle w:val="Heading1"/>
        <w:spacing w:before="240" w:after="120"/>
        <w:ind w:firstLine="0"/>
        <w:jc w:val="left"/>
      </w:pPr>
      <w:r>
        <w:rPr>
          <w:rFonts w:ascii="Times New Roman" w:hAnsi="Times New Roman" w:eastAsia="黑体"/>
          <w:b/>
          <w:i w:val="0"/>
          <w:sz w:val="28"/>
        </w:rPr>
        <w:t>6  讨论</w:t>
      </w:r>
    </w:p>
    <w:p>
      <w:pPr>
        <w:pStyle w:val="Heading2"/>
        <w:spacing w:before="160" w:after="80"/>
        <w:ind w:firstLine="0"/>
        <w:jc w:val="left"/>
      </w:pPr>
      <w:r>
        <w:rPr>
          <w:rFonts w:ascii="Times New Roman" w:hAnsi="Times New Roman" w:eastAsia="黑体"/>
          <w:b/>
          <w:i w:val="0"/>
          <w:sz w:val="24"/>
        </w:rPr>
        <w:t>6.1  知几学习的通用性</w:t>
      </w:r>
    </w:p>
    <w:p>
      <w:r>
        <w:rPr>
          <w:rFonts w:ascii="Times New Roman" w:hAnsi="Times New Roman" w:eastAsia="宋体"/>
          <w:b w:val="0"/>
          <w:i w:val="0"/>
          <w:sz w:val="21"/>
        </w:rPr>
        <w:t>本文以YLYW为载体阐述了知几学习框架，但必须强调：知几学习不绑定于YLYW或64卦。YLYW只是将中国古代易学作为"道"的一种实例化方式。知几学习的通用条件是三个：</w:t>
      </w:r>
    </w:p>
    <w:p>
      <w:r>
        <w:rPr>
          <w:rFonts w:ascii="Times New Roman" w:hAnsi="Times New Roman" w:eastAsia="宋体"/>
          <w:b w:val="0"/>
          <w:i w:val="0"/>
          <w:sz w:val="21"/>
        </w:rPr>
        <w:t>(1) 有先验知识（不从白纸开始）——这排除了纯RL方法，但包括大多数实际工程系统。任何经过设计的系统都内含工程师的先验知识。</w:t>
      </w:r>
    </w:p>
    <w:p>
      <w:r>
        <w:rPr>
          <w:rFonts w:ascii="Times New Roman" w:hAnsi="Times New Roman" w:eastAsia="宋体"/>
          <w:b w:val="0"/>
          <w:i w:val="0"/>
          <w:sz w:val="21"/>
        </w:rPr>
        <w:t>(2) 决策过程可追溯（不是黑箱）——这排除了不可解释的深度学习模型，但包括规则系统、因果模型、物理引擎、知识图谱等广泛的方法。</w:t>
      </w:r>
    </w:p>
    <w:p>
      <w:r>
        <w:rPr>
          <w:rFonts w:ascii="Times New Roman" w:hAnsi="Times New Roman" w:eastAsia="宋体"/>
          <w:b w:val="0"/>
          <w:i w:val="0"/>
          <w:sz w:val="21"/>
        </w:rPr>
        <w:t>(3) 参数可精确定位（不需要全局搜索）——这要求参数具有明确的语义含义，可以根据失败原因直接定位到需要修改的条目。</w:t>
      </w:r>
    </w:p>
    <w:p>
      <w:r>
        <w:rPr>
          <w:rFonts w:ascii="Times New Roman" w:hAnsi="Times New Roman" w:eastAsia="宋体"/>
          <w:b w:val="0"/>
          <w:i w:val="0"/>
          <w:sz w:val="21"/>
        </w:rPr>
        <w:t>满足这三条的系统在工程实践中并不罕见。事实上，大多数工业级机器人系统都满足这些条件——它们基于规则和参数化模型，决策过程透明，参数有明确物理含义。知几学习为这些系统提供了一种系统性的在线学习方法论。</w:t>
      </w:r>
    </w:p>
    <w:p>
      <w:pPr>
        <w:pStyle w:val="Heading2"/>
        <w:spacing w:before="160" w:after="80"/>
        <w:ind w:firstLine="0"/>
        <w:jc w:val="left"/>
      </w:pPr>
      <w:r>
        <w:rPr>
          <w:rFonts w:ascii="Times New Roman" w:hAnsi="Times New Roman" w:eastAsia="黑体"/>
          <w:b/>
          <w:i w:val="0"/>
          <w:sz w:val="24"/>
        </w:rPr>
        <w:t>6.2  与RL的互补关系</w:t>
      </w:r>
    </w:p>
    <w:p>
      <w:r>
        <w:rPr>
          <w:rFonts w:ascii="Times New Roman" w:hAnsi="Times New Roman" w:eastAsia="宋体"/>
          <w:b w:val="0"/>
          <w:i w:val="0"/>
          <w:sz w:val="21"/>
        </w:rPr>
        <w:t>知几学习并非要替代强化学习，而是与之互补。借用Kahneman的双系统理论</w:t>
      </w:r>
      <w:r>
        <w:rPr>
          <w:rFonts w:ascii="Times New Roman" w:hAnsi="Times New Roman" w:eastAsia="宋体"/>
          <w:b w:val="0"/>
          <w:i w:val="0"/>
          <w:sz w:val="16"/>
          <w:vertAlign w:val="superscript"/>
        </w:rPr>
        <w:t>[12]</w:t>
      </w:r>
      <w:r>
        <w:rPr>
          <w:rFonts w:ascii="Times New Roman" w:hAnsi="Times New Roman" w:eastAsia="宋体"/>
          <w:b w:val="0"/>
          <w:i w:val="0"/>
          <w:sz w:val="21"/>
        </w:rPr>
        <w:t>：</w:t>
      </w:r>
    </w:p>
    <w:p>
      <w:r>
        <w:rPr>
          <w:rFonts w:ascii="Times New Roman" w:hAnsi="Times New Roman" w:eastAsia="宋体"/>
          <w:b w:val="0"/>
          <w:i w:val="0"/>
          <w:sz w:val="21"/>
        </w:rPr>
        <w:t>知几学习对应"系统1"（快速直觉）：基于先验驱动，适用于95%的常规场景，响应迅速，资源消耗极低，决策可解释。</w:t>
      </w:r>
    </w:p>
    <w:p>
      <w:r>
        <w:rPr>
          <w:rFonts w:ascii="Times New Roman" w:hAnsi="Times New Roman" w:eastAsia="宋体"/>
          <w:b w:val="0"/>
          <w:i w:val="0"/>
          <w:sz w:val="21"/>
        </w:rPr>
        <w:t>强化学习对应"系统2"（慢速推理）：通过大量探索发现新规律，适用于5%的未知场景，需要大量计算资源，但能发现先验未覆盖的新知识。</w:t>
      </w:r>
    </w:p>
    <w:p>
      <w:r>
        <w:rPr>
          <w:rFonts w:ascii="Times New Roman" w:hAnsi="Times New Roman" w:eastAsia="宋体"/>
          <w:b w:val="0"/>
          <w:i w:val="0"/>
          <w:sz w:val="21"/>
        </w:rPr>
        <w:t>理想的具身智能系统应当融合两者：对常规场景使用知几学习（快速、精确、可解释），当知几学习检测到先验覆盖不足（如连续失败且无法归因）时，切换到RL模式进行探索式学习。这种混合架构可能比单一范式更接近人类的学习方式——我们大部分时间依赖直觉和经验（系统1），只在遇到真正新颖的问题时才进行慢速思考和系统探索（系统2）。</w:t>
      </w:r>
    </w:p>
    <w:p>
      <w:pPr>
        <w:pStyle w:val="Heading2"/>
        <w:spacing w:before="160" w:after="80"/>
        <w:ind w:firstLine="0"/>
        <w:jc w:val="left"/>
      </w:pPr>
      <w:r>
        <w:rPr>
          <w:rFonts w:ascii="Times New Roman" w:hAnsi="Times New Roman" w:eastAsia="黑体"/>
          <w:b/>
          <w:i w:val="0"/>
          <w:sz w:val="24"/>
        </w:rPr>
        <w:t>6.3  "1次精确归因≥10000次统计平均"</w:t>
      </w:r>
    </w:p>
    <w:p>
      <w:r>
        <w:rPr>
          <w:rFonts w:ascii="Times New Roman" w:hAnsi="Times New Roman" w:eastAsia="宋体"/>
          <w:b w:val="0"/>
          <w:i w:val="0"/>
          <w:sz w:val="21"/>
        </w:rPr>
        <w:t>知几学习的信息效率可以用一个不等式概括："1次精确归因的信息量≥10000次统计平均的信息量。"</w:t>
      </w:r>
    </w:p>
    <w:p>
      <w:r>
        <w:rPr>
          <w:rFonts w:ascii="Times New Roman" w:hAnsi="Times New Roman" w:eastAsia="宋体"/>
          <w:b w:val="0"/>
          <w:i w:val="0"/>
          <w:sz w:val="21"/>
        </w:rPr>
        <w:t>这一不等式背后的信息论直觉是：当参数空间有N个维度时，一次随机探索只能将不确定性降低约1/N（因为不知道结果应归因于哪个维度）。需要约O(N)次探索才能定位到具体维度——这是RL的"归功"（credit assignment）困难的本质。</w:t>
      </w:r>
    </w:p>
    <w:p>
      <w:r>
        <w:rPr>
          <w:rFonts w:ascii="Times New Roman" w:hAnsi="Times New Roman" w:eastAsia="宋体"/>
          <w:b w:val="0"/>
          <w:i w:val="0"/>
          <w:sz w:val="21"/>
        </w:rPr>
        <w:t>而一次精确归因直接定位到具体维度，相当于一步跨越了O(N)次探索的信息积累。当N很大时（如神经网络的数十亿参数），这种效率差异是指数级的。</w:t>
      </w:r>
    </w:p>
    <w:p>
      <w:r>
        <w:rPr>
          <w:rFonts w:ascii="Times New Roman" w:hAnsi="Times New Roman" w:eastAsia="宋体"/>
          <w:b w:val="0"/>
          <w:i w:val="0"/>
          <w:sz w:val="21"/>
        </w:rPr>
        <w:t>精确归因的前提是可解释性——只有当决策过程透明时，才能从失败结果反推到具体参数。这再次证明：可解释性不仅是"好特性"，更是学习效率的根本保障。</w:t>
      </w:r>
    </w:p>
    <w:p>
      <w:pPr>
        <w:pStyle w:val="Heading2"/>
        <w:spacing w:before="160" w:after="80"/>
        <w:ind w:firstLine="0"/>
        <w:jc w:val="left"/>
      </w:pPr>
      <w:r>
        <w:rPr>
          <w:rFonts w:ascii="Times New Roman" w:hAnsi="Times New Roman" w:eastAsia="黑体"/>
          <w:b/>
          <w:i w:val="0"/>
          <w:sz w:val="24"/>
        </w:rPr>
        <w:t>6.4  局限性</w:t>
      </w:r>
    </w:p>
    <w:p>
      <w:r>
        <w:rPr>
          <w:rFonts w:ascii="Times New Roman" w:hAnsi="Times New Roman" w:eastAsia="宋体"/>
          <w:b w:val="0"/>
          <w:i w:val="0"/>
          <w:sz w:val="21"/>
        </w:rPr>
        <w:t>知几学习框架存在以下局限性，需要诚实面对：</w:t>
      </w:r>
    </w:p>
    <w:p>
      <w:r>
        <w:rPr>
          <w:rFonts w:ascii="Times New Roman" w:hAnsi="Times New Roman" w:eastAsia="宋体"/>
          <w:b w:val="0"/>
          <w:i w:val="0"/>
          <w:sz w:val="21"/>
        </w:rPr>
        <w:t>第一，依赖可解释的先验体系。知几学习不能独立存在——它必须作用于一个已有的先验体系之上。这意味着系统设计者需要事先构建足够丰富的"道"和"器"。对于完全未知的新领域，仍需要其他方法（如RL或人类指导）建立初始先验。</w:t>
      </w:r>
    </w:p>
    <w:p>
      <w:r>
        <w:rPr>
          <w:rFonts w:ascii="Times New Roman" w:hAnsi="Times New Roman" w:eastAsia="宋体"/>
          <w:b w:val="0"/>
          <w:i w:val="0"/>
          <w:sz w:val="21"/>
        </w:rPr>
        <w:t>第二，先验覆盖不到的新领域。当智能体面对与所有先验模式都不匹配的全新情境时，知几学习无法提供帮助——因为没有可校准的先验条目。此时需要切换到探索式学习或请求人类指导。</w:t>
      </w:r>
    </w:p>
    <w:p>
      <w:r>
        <w:rPr>
          <w:rFonts w:ascii="Times New Roman" w:hAnsi="Times New Roman" w:eastAsia="宋体"/>
          <w:b w:val="0"/>
          <w:i w:val="0"/>
          <w:sz w:val="21"/>
        </w:rPr>
        <w:t>第三，实验范围有限。当前实验限于ALFWorld文本环境</w:t>
      </w:r>
      <w:r>
        <w:rPr>
          <w:rFonts w:ascii="Times New Roman" w:hAnsi="Times New Roman" w:eastAsia="宋体"/>
          <w:b w:val="0"/>
          <w:i w:val="0"/>
          <w:sz w:val="16"/>
          <w:vertAlign w:val="superscript"/>
        </w:rPr>
        <w:t>[8]</w:t>
      </w:r>
      <w:r>
        <w:rPr>
          <w:rFonts w:ascii="Times New Roman" w:hAnsi="Times New Roman" w:eastAsia="宋体"/>
          <w:b w:val="0"/>
          <w:i w:val="0"/>
          <w:sz w:val="21"/>
        </w:rPr>
        <w:t>。虽然物理域仿真（92.7%合理率）提供了额外支持，但在真实机器人平台上的验证仍是未来工作。</w:t>
      </w:r>
    </w:p>
    <w:p>
      <w:r>
        <w:rPr>
          <w:rFonts w:ascii="Times New Roman" w:hAnsi="Times New Roman" w:eastAsia="宋体"/>
          <w:b w:val="0"/>
          <w:i w:val="0"/>
          <w:sz w:val="21"/>
        </w:rPr>
        <w:t>第四，道器的构建成本。64卦推理引擎的设计和调试需要大量领域知识工程，先验矩阵的初始化需要常识知识的系统化整理。这种一次性成本在某些快速变化的场景中可能难以摊销。</w:t>
      </w:r>
    </w:p>
    <w:p>
      <w:pPr>
        <w:pStyle w:val="Heading1"/>
        <w:spacing w:before="240" w:after="120"/>
        <w:ind w:firstLine="0"/>
        <w:jc w:val="left"/>
      </w:pPr>
      <w:r>
        <w:rPr>
          <w:rFonts w:ascii="Times New Roman" w:hAnsi="Times New Roman" w:eastAsia="黑体"/>
          <w:b/>
          <w:i w:val="0"/>
          <w:sz w:val="28"/>
        </w:rPr>
        <w:t>7  结论</w:t>
      </w:r>
    </w:p>
    <w:p>
      <w:r>
        <w:rPr>
          <w:rFonts w:ascii="Times New Roman" w:hAnsi="Times New Roman" w:eastAsia="宋体"/>
          <w:b w:val="0"/>
          <w:i w:val="0"/>
          <w:sz w:val="21"/>
        </w:rPr>
        <w:t>本文提出知几学习——一种作用于先验知识体系之上的通用具身学习框架，并以YLYW系统为载体进行了系统阐述和实验验证。核心贡献总结如下：</w:t>
      </w:r>
    </w:p>
    <w:p>
      <w:r>
        <w:rPr>
          <w:rFonts w:ascii="Times New Roman" w:hAnsi="Times New Roman" w:eastAsia="宋体"/>
          <w:b w:val="0"/>
          <w:i w:val="0"/>
          <w:sz w:val="21"/>
        </w:rPr>
        <w:t>第一，知几学习是通用的学习"法"。它不依赖于特定的先验体系或应用领域，而是适用于任何满足"有先验、可追溯、可定位"三条件的系统。本文以YLYW的64卦为实例，但知几学习的适用范围远超YLYW。</w:t>
      </w:r>
    </w:p>
    <w:p>
      <w:r>
        <w:rPr>
          <w:rFonts w:ascii="Times New Roman" w:hAnsi="Times New Roman" w:eastAsia="宋体"/>
          <w:b w:val="0"/>
          <w:i w:val="0"/>
          <w:sz w:val="21"/>
        </w:rPr>
        <w:t>第二，"道-器-法"三位一体架构为具身智能提供了一种完整的知识组织范式。道（推理模型）提供逻辑骨架，器（知识库）提供事实数据，法（知几学习）提供校准机制。三者相互依存、不可分割，共同构成一个自适应的智能系统。</w:t>
      </w:r>
    </w:p>
    <w:p>
      <w:r>
        <w:rPr>
          <w:rFonts w:ascii="Times New Roman" w:hAnsi="Times New Roman" w:eastAsia="宋体"/>
          <w:b w:val="0"/>
          <w:i w:val="0"/>
          <w:sz w:val="21"/>
        </w:rPr>
        <w:t>第三，对称校准机制统一了成功学习和失败学习。"吉之几"（+α）和"凶之几"（-β）以完全对称的方式作用于同一套参数，如同多巴胺系统对同一套突触做双向调制。这种简洁统一的设计避免了为成功和失败设计不同学习机制的复杂性。</w:t>
      </w:r>
    </w:p>
    <w:p>
      <w:r>
        <w:rPr>
          <w:rFonts w:ascii="Times New Roman" w:hAnsi="Times New Roman" w:eastAsia="宋体"/>
          <w:b w:val="0"/>
          <w:i w:val="0"/>
          <w:sz w:val="21"/>
        </w:rPr>
        <w:t>第四，可解释性被论证为精确学习的前提条件，而非锦上添花的附加特性。没有决策链的透明性，就不可能精确定位需要校准的参数，知几学习也就退化为全局更新——即回归传统RL的低效路径。</w:t>
      </w:r>
    </w:p>
    <w:p>
      <w:r>
        <w:rPr>
          <w:rFonts w:ascii="Times New Roman" w:hAnsi="Times New Roman" w:eastAsia="宋体"/>
          <w:b w:val="0"/>
          <w:i w:val="0"/>
          <w:sz w:val="21"/>
        </w:rPr>
        <w:t>第五，ALFWorld实验验证了框架的有效性：从道+器的67.2%逐步提升到道+器+法的73.9%，一轮收敛。纯CPU运行、800行Python实现，展示了可解释系统的工程价值。</w:t>
      </w:r>
    </w:p>
    <w:p>
      <w:r>
        <w:rPr>
          <w:rFonts w:ascii="Times New Roman" w:hAnsi="Times New Roman" w:eastAsia="宋体"/>
          <w:b w:val="0"/>
          <w:i w:val="0"/>
          <w:sz w:val="21"/>
        </w:rPr>
        <w:t>展望未来，知几学习的发展方向包括：(1)将框架应用于真实机器人平台（如Unitree人形机器人）；(2)探索知几学习与RL的混合架构（系统1+系统2）；(3)扩展"道"的实例化方式（如用因果模型或物理引擎替代64卦）；(4)研究先验知识的自动化构建方法，降低道器的初始化成本。</w:t>
      </w:r>
    </w:p>
    <w:p>
      <w:r>
        <w:rPr>
          <w:rFonts w:ascii="Times New Roman" w:hAnsi="Times New Roman" w:eastAsia="宋体"/>
          <w:b w:val="0"/>
          <w:i w:val="0"/>
          <w:sz w:val="21"/>
        </w:rPr>
        <w:t>结语：道器法合一。"形而上者谓之道，形而下者谓之器"，知几学习是作用于道器之上的"法"——让先验知识体系在运行中不断自我完善的通用机制。当人工智能从"白纸开始"的范式转向"先验加校准"的范式时，知几学习提供了一条可解释、可信赖、高效率的学习路径。</w:t>
      </w:r>
    </w:p>
    <w:p>
      <w:pPr>
        <w:pStyle w:val="Heading1"/>
        <w:spacing w:before="240" w:after="120"/>
        <w:ind w:firstLine="0"/>
        <w:jc w:val="left"/>
      </w:pPr>
      <w:r>
        <w:rPr>
          <w:rFonts w:ascii="Times New Roman" w:hAnsi="Times New Roman" w:eastAsia="黑体"/>
          <w:b/>
          <w:i w:val="0"/>
          <w:sz w:val="28"/>
        </w:rPr>
        <w:t>参考文献</w:t>
      </w:r>
    </w:p>
    <w:p>
      <w:pPr>
        <w:ind w:firstLine="0"/>
      </w:pPr>
      <w:r>
        <w:rPr>
          <w:rFonts w:ascii="Times New Roman" w:hAnsi="Times New Roman" w:eastAsia="宋体"/>
          <w:b w:val="0"/>
          <w:i w:val="0"/>
          <w:sz w:val="18"/>
        </w:rPr>
        <w:t>[1] Levine S, Finn C, Darrell T, et al. End-to-end training of deep visuomotor policies[J]. Journal of Machine Learning Research, 2016, 17(1): 1334-1373.</w:t>
      </w:r>
    </w:p>
    <w:p>
      <w:pPr>
        <w:ind w:firstLine="0"/>
      </w:pPr>
      <w:r>
        <w:rPr>
          <w:rFonts w:ascii="Times New Roman" w:hAnsi="Times New Roman" w:eastAsia="宋体"/>
          <w:b w:val="0"/>
          <w:i w:val="0"/>
          <w:sz w:val="18"/>
        </w:rPr>
        <w:t>[2] Guidotti R, Monreale A, Ruggieri S, et al. A survey of methods for explaining black box models[J]. ACM Computing Surveys, 2018, 51(5): 1-42.</w:t>
      </w:r>
    </w:p>
    <w:p>
      <w:pPr>
        <w:ind w:firstLine="0"/>
      </w:pPr>
      <w:r>
        <w:rPr>
          <w:rFonts w:ascii="Times New Roman" w:hAnsi="Times New Roman" w:eastAsia="宋体"/>
          <w:b w:val="0"/>
          <w:i w:val="0"/>
          <w:sz w:val="18"/>
        </w:rPr>
        <w:t>[3] Amodei D, Olah C, Steinhardt J, et al. Concrete problems in AI safety[J]. arXiv preprint arXiv:1606.06565, 2016.</w:t>
      </w:r>
    </w:p>
    <w:p>
      <w:pPr>
        <w:ind w:firstLine="0"/>
      </w:pPr>
      <w:r>
        <w:rPr>
          <w:rFonts w:ascii="Times New Roman" w:hAnsi="Times New Roman" w:eastAsia="宋体"/>
          <w:b w:val="0"/>
          <w:i w:val="0"/>
          <w:sz w:val="18"/>
        </w:rPr>
        <w:t>[4] Wilhelm R. The I Ching or Book of Changes[M]. Princeton University Press, 1967.</w:t>
      </w:r>
    </w:p>
    <w:p>
      <w:pPr>
        <w:ind w:firstLine="0"/>
      </w:pPr>
      <w:r>
        <w:rPr>
          <w:rFonts w:ascii="Times New Roman" w:hAnsi="Times New Roman" w:eastAsia="宋体"/>
          <w:b w:val="0"/>
          <w:i w:val="0"/>
          <w:sz w:val="18"/>
        </w:rPr>
        <w:t>[5] 马兴录, 李金函, 张国安, 等. YLYW: 基于易理的具身智能决策框架[C]. 2025.</w:t>
      </w:r>
    </w:p>
    <w:p>
      <w:pPr>
        <w:ind w:firstLine="0"/>
      </w:pPr>
      <w:r>
        <w:rPr>
          <w:rFonts w:ascii="Times New Roman" w:hAnsi="Times New Roman" w:eastAsia="宋体"/>
          <w:b w:val="0"/>
          <w:i w:val="0"/>
          <w:sz w:val="18"/>
        </w:rPr>
        <w:t>[6] 马兴录, 李金函, 等. YLYW物理域仿真验证报告[R]. 青岛科技大学, 2025.</w:t>
      </w:r>
    </w:p>
    <w:p>
      <w:pPr>
        <w:ind w:firstLine="0"/>
      </w:pPr>
      <w:r>
        <w:rPr>
          <w:rFonts w:ascii="Times New Roman" w:hAnsi="Times New Roman" w:eastAsia="宋体"/>
          <w:b w:val="0"/>
          <w:i w:val="0"/>
          <w:sz w:val="18"/>
        </w:rPr>
        <w:t>[7] Schultz W, Dayan P, Montague P R. A neural substrate of prediction and reward[J]. Science, 1997, 275(5306): 1593-1599.</w:t>
      </w:r>
    </w:p>
    <w:p>
      <w:pPr>
        <w:ind w:firstLine="0"/>
      </w:pPr>
      <w:r>
        <w:rPr>
          <w:rFonts w:ascii="Times New Roman" w:hAnsi="Times New Roman" w:eastAsia="宋体"/>
          <w:b w:val="0"/>
          <w:i w:val="0"/>
          <w:sz w:val="18"/>
        </w:rPr>
        <w:t>[8] Shridhar M, Thomason J, Gordon D, et al. ALFWorld: Aligning text and embodied environments for interactive learning[C]. ICLR, 2021.</w:t>
      </w:r>
    </w:p>
    <w:p>
      <w:pPr>
        <w:ind w:firstLine="0"/>
      </w:pPr>
      <w:r>
        <w:rPr>
          <w:rFonts w:ascii="Times New Roman" w:hAnsi="Times New Roman" w:eastAsia="宋体"/>
          <w:b w:val="0"/>
          <w:i w:val="0"/>
          <w:sz w:val="18"/>
        </w:rPr>
        <w:t>[9] Huang Z, Chen J, Li Z, et al. EmbodiSkill: Embodied skill learning with large language models[C]. 2024.</w:t>
      </w:r>
    </w:p>
    <w:p>
      <w:pPr>
        <w:ind w:firstLine="0"/>
      </w:pPr>
      <w:r>
        <w:rPr>
          <w:rFonts w:ascii="Times New Roman" w:hAnsi="Times New Roman" w:eastAsia="宋体"/>
          <w:b w:val="0"/>
          <w:i w:val="0"/>
          <w:sz w:val="18"/>
        </w:rPr>
        <w:t>[10] Yao S, Zhao J, Yu D, et al. ReAct: Synergizing reasoning and acting in language models[C]. ICLR, 2023.</w:t>
      </w:r>
    </w:p>
    <w:p>
      <w:pPr>
        <w:ind w:firstLine="0"/>
      </w:pPr>
      <w:r>
        <w:rPr>
          <w:rFonts w:ascii="Times New Roman" w:hAnsi="Times New Roman" w:eastAsia="宋体"/>
          <w:b w:val="0"/>
          <w:i w:val="0"/>
          <w:sz w:val="18"/>
        </w:rPr>
        <w:t>[11] Shinn N, Cassano F, Gopinath A, et al. Reflexion: Language agents with verbal reinforcement learning[C]. NeurIPS, 2023.</w:t>
      </w:r>
    </w:p>
    <w:p>
      <w:pPr>
        <w:ind w:firstLine="0"/>
      </w:pPr>
      <w:r>
        <w:rPr>
          <w:rFonts w:ascii="Times New Roman" w:hAnsi="Times New Roman" w:eastAsia="宋体"/>
          <w:b w:val="0"/>
          <w:i w:val="0"/>
          <w:sz w:val="18"/>
        </w:rPr>
        <w:t>[12] Kahneman D. Thinking, Fast and Slow[M]. Farrar, Straus and Giroux, 2011.</w:t>
      </w:r>
    </w:p>
    <w:p>
      <w:pPr>
        <w:ind w:firstLine="0"/>
      </w:pPr>
      <w:r>
        <w:rPr>
          <w:rFonts w:ascii="Times New Roman" w:hAnsi="Times New Roman" w:eastAsia="宋体"/>
          <w:b w:val="0"/>
          <w:i w:val="0"/>
          <w:sz w:val="18"/>
        </w:rPr>
        <w:t>[13] Sutton R S, Barto A G. Reinforcement Learning: An Introduction[M]. MIT Press, 2018.</w:t>
      </w:r>
    </w:p>
    <w:p>
      <w:pPr>
        <w:ind w:firstLine="0"/>
      </w:pPr>
      <w:r>
        <w:rPr>
          <w:rFonts w:ascii="Times New Roman" w:hAnsi="Times New Roman" w:eastAsia="宋体"/>
          <w:b w:val="0"/>
          <w:i w:val="0"/>
          <w:sz w:val="18"/>
        </w:rPr>
        <w:t>[14] Lake B M, Ullman T D, Tenenbaum J B, et al. Building machines that learn and think like people[J]. Behavioral and Brain Sciences, 2017, 40: e253.</w:t>
      </w:r>
    </w:p>
    <w:p>
      <w:pPr>
        <w:ind w:firstLine="0"/>
      </w:pPr>
      <w:r>
        <w:rPr>
          <w:rFonts w:ascii="Times New Roman" w:hAnsi="Times New Roman" w:eastAsia="宋体"/>
          <w:b w:val="0"/>
          <w:i w:val="0"/>
          <w:sz w:val="18"/>
        </w:rPr>
        <w:t>[15] Marcus G. The next decade in AI: Four steps towards robust artificial intelligence[J]. arXiv preprint arXiv:2002.06177, 2020.</w:t>
      </w:r>
    </w:p>
    <w:p>
      <w:pPr>
        <w:ind w:firstLine="0"/>
      </w:pPr>
      <w:r>
        <w:rPr>
          <w:rFonts w:ascii="Times New Roman" w:hAnsi="Times New Roman" w:eastAsia="宋体"/>
          <w:b w:val="0"/>
          <w:i w:val="0"/>
          <w:sz w:val="18"/>
        </w:rPr>
        <w:t>[16] Bengio Y, Lecun Y, Hinton G. Deep learning for AI[J]. Communications of the ACM, 2021, 64(7): 58-65.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