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rPr>
          <w:rFonts w:ascii="黑体" w:hAnsi="黑体" w:eastAsia="黑体"/>
          <w:b/>
          <w:sz w:val="32"/>
        </w:rPr>
        <w:t>知几学习：一种基于可解释先验体系的具身智能学习方法</w:t>
      </w:r>
    </w:p>
    <w:p>
      <w:pPr>
        <w:ind w:firstLine="0"/>
        <w:jc w:val="center"/>
      </w:pPr>
      <w:r>
        <w:rPr>
          <w:rFonts w:ascii="宋体" w:hAnsi="宋体" w:eastAsia="宋体"/>
          <w:sz w:val="21"/>
        </w:rPr>
        <w:t>马兴录，李金函，张国安，于敬涛，李望，马圣洁（通讯作者）</w:t>
      </w:r>
    </w:p>
    <w:p>
      <w:pPr>
        <w:spacing w:after="240"/>
        <w:ind w:firstLine="0"/>
        <w:jc w:val="center"/>
      </w:pPr>
      <w:r>
        <w:rPr>
          <w:rFonts w:ascii="宋体" w:hAnsi="宋体" w:eastAsia="宋体"/>
          <w:sz w:val="18"/>
        </w:rPr>
        <w:t>青岛科技大学 信息科学技术学院，山东 青岛 266061</w:t>
      </w:r>
    </w:p>
    <w:p>
      <w:pPr>
        <w:ind w:firstLine="0"/>
      </w:pPr>
      <w:r>
        <w:rPr>
          <w:rFonts w:ascii="黑体" w:hAnsi="黑体" w:eastAsia="黑体"/>
          <w:b/>
          <w:sz w:val="21"/>
        </w:rPr>
        <w:t>摘要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强化学习在具身智能领域取得了显著进展，但面临样本效率低、训练不稳定、决策不可解释三重困境。本文提出知几学习（Zhiji Learning），一种基于可解释先验体系的具身智能学习方法。知几学习建立在YLYW（易理模糊模型）系统之上——该系统通过模糊隶属度将物理特征映射为连续符号表示，经六爻编码与64卦模板匹配构建完整的可解释推理链。YLYW推理链的完全透明性使得成功/失败信号可被精确归因到推理链中的具体环节，进而定位到需要调整的具体参数。知几学习精确校准三类参数：位置先验矩阵P(obj,loc)存储物体与位置的关联评分，物体匹配置信度M(target,entity)记录目标与实体的匹配可信度，同义词映射S(word→set)建立语义等价关系。学习机制采用对称更新：任务成功时以+α正向强化相关参数条目，失败时以-β负向削弱定位到的具体参数条目，操作同一套参数表。在ALFWorld基准134局验证中，知几学习将YLYW系统的成功率从67.2%提升至73.9%，且仅需一轮即收敛。核心论点：可解释性使单次精确校准成为可能，1次精确归因的效果不低于10⁴次统计平均更新。</w:t>
      </w:r>
    </w:p>
    <w:p>
      <w:pPr>
        <w:ind w:firstLine="0"/>
      </w:pPr>
      <w:r>
        <w:rPr>
          <w:rFonts w:ascii="黑体" w:hAnsi="黑体" w:eastAsia="黑体"/>
          <w:b/>
          <w:i w:val="0"/>
          <w:sz w:val="21"/>
        </w:rPr>
        <w:t>关键词：</w:t>
      </w:r>
      <w:r>
        <w:rPr>
          <w:rFonts w:ascii="宋体" w:hAnsi="宋体" w:eastAsia="宋体"/>
          <w:b w:val="0"/>
          <w:i w:val="0"/>
          <w:sz w:val="21"/>
        </w:rPr>
        <w:t>知几学习；YLYW；模糊隶属度；先验知识；对称校准；可解释性；具身智能</w:t>
      </w:r>
    </w:p>
    <w:p>
      <w:pPr>
        <w:pStyle w:val="Heading1"/>
        <w:ind w:firstLine="0"/>
      </w:pPr>
      <w:r>
        <w:rPr>
          <w:rFonts w:ascii="黑体" w:hAnsi="黑体" w:eastAsia="黑体"/>
          <w:sz w:val="28"/>
        </w:rPr>
        <w:t>1  引言</w:t>
      </w:r>
    </w:p>
    <w:p>
      <w:pPr>
        <w:pStyle w:val="Heading2"/>
        <w:ind w:firstLine="0"/>
      </w:pPr>
      <w:r>
        <w:rPr>
          <w:rFonts w:ascii="黑体" w:hAnsi="黑体" w:eastAsia="黑体"/>
          <w:sz w:val="24"/>
        </w:rPr>
        <w:t>1.1  问题：强化学习的三重困境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1"/>
        </w:rPr>
        <w:t>具身智能要求智能体在物理或虚拟环境中自主感知、推理与行动</w:t>
      </w:r>
      <w:r>
        <w:rPr>
          <w:rFonts w:ascii="宋体" w:hAnsi="宋体" w:eastAsia="宋体"/>
          <w:b w:val="0"/>
          <w:i w:val="0"/>
          <w:sz w:val="16"/>
          <w:vertAlign w:val="superscript"/>
        </w:rPr>
        <w:t>[1]</w:t>
      </w:r>
      <w:r>
        <w:rPr>
          <w:rFonts w:ascii="宋体" w:hAnsi="宋体" w:eastAsia="宋体"/>
          <w:b w:val="0"/>
          <w:i w:val="0"/>
          <w:sz w:val="21"/>
        </w:rPr>
        <w:t>。强化学习（Reinforcement Learning, RL）是当前主流的具身智能学习范式</w:t>
      </w:r>
      <w:r>
        <w:rPr>
          <w:rFonts w:ascii="宋体" w:hAnsi="宋体" w:eastAsia="宋体"/>
          <w:b w:val="0"/>
          <w:i w:val="0"/>
          <w:sz w:val="16"/>
          <w:vertAlign w:val="superscript"/>
        </w:rPr>
        <w:t>[2]</w:t>
      </w:r>
      <w:r>
        <w:rPr>
          <w:rFonts w:ascii="宋体" w:hAnsi="宋体" w:eastAsia="宋体"/>
          <w:b w:val="0"/>
          <w:i w:val="0"/>
          <w:sz w:val="21"/>
        </w:rPr>
        <w:t>，通过大量试错积累统计信息来优化策略。然而，RL在具身智能应用中面临三重困境：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第一，样本效率极低。典型的深度RL算法需要数百万次环境交互才能学会简单的操作策略，这在真实物理环境中几乎不可行。即使在仿真环境中，训练成本也极高。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第二，训练不稳定。策略梯度方法依赖于奖励信号在整个参数空间的传播，超参数敏感、奖励稀疏时梯度消失、局部最优难以逃脱等问题使得训练过程充满不确定性。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第三，决策不可解释。深度网络的策略以隐式方式存储在高维参数中，当智能体做出错误决策时，工程师无法定位出错的具体环节，也无法进行针对性修正。失败后只能依赖更多数据的统计平均来“期望”策略自动改善。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1"/>
        </w:rPr>
        <w:t>这三重困境的根源在于：传统RL将知识隐式地分散存储在网络参数中，导致学习信号无法精确地定位到需要调整的具体知识单元</w:t>
      </w:r>
      <w:r>
        <w:rPr>
          <w:rFonts w:ascii="宋体" w:hAnsi="宋体" w:eastAsia="宋体"/>
          <w:b w:val="0"/>
          <w:i w:val="0"/>
          <w:sz w:val="16"/>
          <w:vertAlign w:val="superscript"/>
        </w:rPr>
        <w:t>[3]</w:t>
      </w:r>
      <w:r>
        <w:rPr>
          <w:rFonts w:ascii="宋体" w:hAnsi="宋体" w:eastAsia="宋体"/>
          <w:b w:val="0"/>
          <w:i w:val="0"/>
          <w:sz w:val="21"/>
        </w:rPr>
        <w:t>。</w:t>
      </w:r>
    </w:p>
    <w:p>
      <w:pPr>
        <w:pStyle w:val="Heading2"/>
        <w:ind w:firstLine="0"/>
      </w:pPr>
      <w:r>
        <w:rPr>
          <w:rFonts w:ascii="黑体" w:hAnsi="黑体" w:eastAsia="黑体"/>
          <w:sz w:val="24"/>
        </w:rPr>
        <w:t>1.2  思路：在可解释先验体系上做精确校准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本文的核心思路是：如果推理链完全透明、每一步决策的依据都可追溯，那么成功/失败信号就可以被精确归因到推理链中的具体环节，进而精确定位到需要调整的具体参数条目。这比全局梯度更新高效得多——前者是外科手术式的精准修正，后者是对所有参数施加微弱统计压力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这一思路的实现需要两个前提：（1）一个完全可解释的推理体系，使决策链的每一步都可追溯；（2）一种能利用可解释性进行精确归因和定向校准的学习机制。YLYW（易理模糊模型）提供了前者，知几学习提供了后者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“知几”出自《易经·系辞下》：“知几其神乎！几者，动之微，吉之先见者也。”意为从微小的征兆中察觉变化的端倪。在知几学习中，“几”是每次任务成功或失败所携带的精确信息——不是模糊的全局奖励，而是可以追溯到具体参数的精确归因。“知微知彰”——吉凶两种征兆都能被察觉并利用。</w:t>
      </w:r>
    </w:p>
    <w:p>
      <w:pPr>
        <w:pStyle w:val="Heading2"/>
        <w:ind w:firstLine="0"/>
      </w:pPr>
      <w:r>
        <w:rPr>
          <w:rFonts w:ascii="黑体" w:hAnsi="黑体" w:eastAsia="黑体"/>
          <w:sz w:val="24"/>
        </w:rPr>
        <w:t>1.3  本文贡献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本文的主要贡献如下：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（1）提出知几学习范式：在可解释先验体系上进行精确归因与对称校准的学习方法，核心论点为“1次精确归因≥10⁴次统计平均”；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（2）定义三类可校准参数（P/M/S），给出统一的学习接口和五种凶之几定位策略；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（3）阐明YLYW可解释先验体系中模糊隶属度的技术创新及其工程意义；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（4）在ALFWorld 134局上验证知几学习一轮收敛特性（67.2%→73.9%）；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（5）论证可解释性不是附加品而是高效学习的前提条件。</w:t>
      </w:r>
    </w:p>
    <w:p>
      <w:pPr>
        <w:pStyle w:val="Heading1"/>
        <w:ind w:firstLine="0"/>
      </w:pPr>
      <w:r>
        <w:rPr>
          <w:rFonts w:ascii="黑体" w:hAnsi="黑体" w:eastAsia="黑体"/>
          <w:sz w:val="28"/>
        </w:rPr>
        <w:t>2  YLYW可解释先验体系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知几学习的精确校准能力依赖于底层推理体系的可解释性。本章详细阐述YLYW（易理模糊模型）如何构建完全可解释的推理链，重点说明模糊隶属度这一核心技术创新。</w:t>
      </w:r>
    </w:p>
    <w:p>
      <w:pPr>
        <w:pStyle w:val="Heading2"/>
        <w:ind w:firstLine="0"/>
      </w:pPr>
      <w:r>
        <w:rPr>
          <w:rFonts w:ascii="黑体" w:hAnsi="黑体" w:eastAsia="黑体"/>
          <w:sz w:val="24"/>
        </w:rPr>
        <w:t>2.1  模糊隶属度：连续符号接地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传统符号系统对概念的处理是二值化的：一个物体要么“属于”某个类别，要么“不属于”。这种非此即彼的表示无法处理现实世界中普遍存在的模糊性、多义性和渐变性。例如，一个温热的杯子同时具有“容器”和“热源”的属性，其热源属性的程度取决于温度高低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YLYW的核心创新是引入模糊隶属度：对象以连续值μ∈[0,1]同时关联多个语义原型，而非被强制分配到唯一类别。YLYW定义了八种基本语义原型（对应八卦）：乾（强健/刚性）、坤（柔顺/承载）、坎（水/凹陷/容器）、离（热源/发光）、震（动态/振动）、巽（轻柔/渗透）、艮（稳固/封闭）、兑（开放/交互）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给定物体的特征向量f和语义原型pᵢ的中心向量cᵢ，隶属度通过高斯核函数计算：</w:t>
      </w:r>
    </w:p>
    <w:p>
      <w:pPr>
        <w:ind w:firstLine="0"/>
        <w:jc w:val="center"/>
      </w:pPr>
      <w:r>
        <w:rPr>
          <w:rFonts w:ascii="Cambria Math" w:hAnsi="Cambria Math" w:eastAsia="Cambria Math"/>
          <w:i/>
          <w:sz w:val="22"/>
        </w:rPr>
        <w:t>μᵢ(f) = exp(-‖f - cᵢ‖² / 2σᵢ²)</w:t>
      </w:r>
      <w:r>
        <w:rPr>
          <w:rFonts w:ascii="宋体" w:hAnsi="宋体" w:eastAsia="宋体"/>
          <w:sz w:val="21"/>
        </w:rPr>
        <w:t xml:space="preserve">    (1)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其中σᵢ为第i个原型的带宽参数。这一计算使得每个物体获得一个8维隶属度向量μ = [μ₁, μ₂, ..., μ₈]ᵀ，描述其与各原型的亲和程度。隶属度是连续的、可微的，同时保持了符号层面的可解释性——每一维都对应一个人类可理解的语义概念。</w:t>
      </w:r>
    </w:p>
    <w:p>
      <w:pPr>
        <w:pStyle w:val="Heading2"/>
        <w:ind w:firstLine="0"/>
      </w:pPr>
      <w:r>
        <w:rPr>
          <w:rFonts w:ascii="黑体" w:hAnsi="黑体" w:eastAsia="黑体"/>
          <w:sz w:val="24"/>
        </w:rPr>
        <w:t>2.2  三层推理架构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YLYW采用三层推理架构，每层的输入输出和转换规则都是显式的：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第一层（L1）：特征→隶属度。将物理/语义特征向量通过式(1)映射为8维隶属度向量μ∈[0,1]⁸。这一步实现了从连续感知空间到结构化符号空间的接地。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第二层（L2）：隶属度→爻值。通过线性组合或规则映射，将8维隶属度压缩为6维爻值向量y∈[0,1]⁶。六个爻位分别编码不同维度的决策相关信息：初爻=稳定性/基础条件、二爻=可达性/距离、三爻=可操作性、四爻=约束条件、五爻=目标匹配度、上爻=全局态势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第三层（L3）：爻值→64卦匹配。6维爻值与64种卦象模板进行匹配，选择最佳匹配的卦象作为当前情境的策略类型。每种卦象预定义了策略模板和参数化方式，爻值的具体数值则填充为策略参数。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三层推理的关键特性是：每一步转换都有明确的语义解释和可追溯的计算路径。当最终决策出错时，可以逐层回溯，定位到底是特征提取有误、隶属度计算偏差、爻值映射不当，还是卦象匹配错误。</w:t>
      </w:r>
    </w:p>
    <w:p>
      <w:pPr>
        <w:pStyle w:val="Heading2"/>
        <w:ind w:firstLine="0"/>
      </w:pPr>
      <w:r>
        <w:rPr>
          <w:rFonts w:ascii="黑体" w:hAnsi="黑体" w:eastAsia="黑体"/>
          <w:sz w:val="24"/>
        </w:rPr>
        <w:t>2.3  可解释性的工程意义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YLYW的可解释性不是学术装饰，而是具有直接的工程价值：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决策链透明——系统对每个动作都能给出完整的推理解释：“因为物体A的位置隶属度μ(坤)=0.8最高，所以判断它最可能在countertop类位置；先验矩阵P[A][countertop]=3分最高，所以优先去countertop寻找。”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失败可追溯——当任务失败时，系统能追溯到推理链的哪一步出了问题：“去了countertop但没找到plate，说明P[plate][countertop]的先验评分偏高，需要下调这个具体条目。”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参数可定位——出错环节被定位后，需要调整的参数是明确的、具体的：是P矩阵的某个条目，还是M矩阵的某个条目，还是S映射缺少某个词条。这种精确定位能力是知几学习能够进行精确校准的根本前提。</w:t>
      </w:r>
    </w:p>
    <w:p>
      <w:pPr>
        <w:pStyle w:val="Heading2"/>
        <w:ind w:firstLine="0"/>
      </w:pPr>
      <w:r>
        <w:rPr>
          <w:rFonts w:ascii="黑体" w:hAnsi="黑体" w:eastAsia="黑体"/>
          <w:sz w:val="24"/>
        </w:rPr>
        <w:t>2.4  在ALFWorld中的适配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1"/>
        </w:rPr>
        <w:t>ALFWorld</w:t>
      </w:r>
      <w:r>
        <w:rPr>
          <w:rFonts w:ascii="宋体" w:hAnsi="宋体" w:eastAsia="宋体"/>
          <w:b w:val="0"/>
          <w:i w:val="0"/>
          <w:sz w:val="16"/>
          <w:vertAlign w:val="superscript"/>
        </w:rPr>
        <w:t>[4]</w:t>
      </w:r>
      <w:r>
        <w:rPr>
          <w:rFonts w:ascii="宋体" w:hAnsi="宋体" w:eastAsia="宋体"/>
          <w:b w:val="0"/>
          <w:i w:val="0"/>
          <w:sz w:val="21"/>
        </w:rPr>
        <w:t>是基于TextWorld的文本交互式具身智能基准，包含6类家务任务（拿放、加热、冷却、清洁、检视、双物拿放）。YLYW在ALFWorld中的适配方案如下：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八卦映射为位置语义类型：坤（countertop，承载平面）、坎（sinkbasin，凹陷容器）、离（microwave/stoveburner，热源）、艮（safe/cabinet，封闭空间）、兑（fridge，开放存取）、巽（shelf/drawer，层叠渗透）等。这一映射使得物体-位置关系可以通过隶属度进行连续评估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先验矩阵P(obj,loc)以字典形式存储物体与位置类型的关联评分，初始值来自人工常识编码（如P[plate][countertop]=3, P[plate][fridge]=0）。层次化状态机管理任务执行的阶段推进（寻找→拿取→中间操作→放置），admissible commands作为环境传感信号，提供当前可执行动作列表。</w:t>
      </w:r>
    </w:p>
    <w:p>
      <w:pPr>
        <w:pStyle w:val="Heading1"/>
        <w:ind w:firstLine="0"/>
      </w:pPr>
      <w:r>
        <w:rPr>
          <w:rFonts w:ascii="黑体" w:hAnsi="黑体" w:eastAsia="黑体"/>
          <w:sz w:val="28"/>
        </w:rPr>
        <w:t>3  知几学习：方法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本章是论文的核心技术章节，具体回答“知几学习调什么参数、在哪里、怎么调”这一关键问题。</w:t>
      </w:r>
    </w:p>
    <w:p>
      <w:pPr>
        <w:pStyle w:val="Heading2"/>
        <w:ind w:firstLine="0"/>
      </w:pPr>
      <w:r>
        <w:rPr>
          <w:rFonts w:ascii="黑体" w:hAnsi="黑体" w:eastAsia="黑体"/>
          <w:sz w:val="24"/>
        </w:rPr>
        <w:t>3.1  知几学习概述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知几学习是作用于YLYW可解释先验体系之上的学习机制。它不改变YLYW的推理架构本身（三层结构和64卦匹配逻辑保持不变），而是通过任务执行的反馈信号，精确校准推理过程中使用的先验参数。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“知几”的哲学内涵是“从微小征兆中察觉变化”。在知几学习中，每次任务的成功或失败都是一个“几”——一个携带精确信息的征兆。成功是“吉之几”，告诉系统哪些先验参数是正确的、值得强化；失败是“凶之几”，告诉系统哪些参数有偏差、需要修正。“知微知彰”——系统同时利用吉凶两种征兆进行学习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在“道法术器”体系中，知几学习的定位是“法”的层面：道=易理模型（不可变的推理架构），法=知几学习（通用学习方法），术=知识库（P/M/S等可学习参数），器=代码实现。知几学习作为通用方法，可应用于任何具有可解释先验体系的系统。</w:t>
      </w:r>
    </w:p>
    <w:p>
      <w:pPr>
        <w:pStyle w:val="Heading2"/>
        <w:ind w:firstLine="0"/>
      </w:pPr>
      <w:r>
        <w:rPr>
          <w:rFonts w:ascii="黑体" w:hAnsi="黑体" w:eastAsia="黑体"/>
          <w:sz w:val="24"/>
        </w:rPr>
        <w:t>3.2  校准目标：三类参数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知几学习调整的目标是三类显式、可解释的参数。这三类参数共同构成了YLYW系统的“术”层——可学习的知识库。每类参数都有明确的数据结构、语义含义、初始化方式和更新规则。</w:t>
      </w:r>
    </w:p>
    <w:p>
      <w:pPr>
        <w:ind w:firstLine="0"/>
      </w:pPr>
      <w:r>
        <w:rPr>
          <w:rFonts w:ascii="宋体" w:hAnsi="宋体" w:eastAsia="宋体"/>
          <w:b/>
          <w:sz w:val="21"/>
        </w:rPr>
        <w:t>参数1：位置先验矩阵 P(obj, loc)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数据结构：Dict[str, Dict[str, float]]，二级字典。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语义含义：物体obj出现在位置类型loc的先验评分，数值越高表示关联越强。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初始化：人工常识编码，如P[plate][countertop]=3, P[plate][fridge]=0, P[plate][sinkbasin]=2。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查询时机：在探索阶段，对各go-to命令按P[target_obj][loc]评分排序，优先前往高分位置。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更新规则：</w:t>
      </w:r>
    </w:p>
    <w:p>
      <w:pPr>
        <w:ind w:firstLine="0"/>
        <w:jc w:val="center"/>
      </w:pPr>
      <w:r>
        <w:rPr>
          <w:rFonts w:ascii="Cambria Math" w:hAnsi="Cambria Math" w:eastAsia="Cambria Math"/>
          <w:i/>
          <w:sz w:val="22"/>
        </w:rPr>
        <w:t>P[obj][loc] ← P[obj][loc] + α × reward</w:t>
      </w:r>
      <w:r>
        <w:rPr>
          <w:rFonts w:ascii="宋体" w:hAnsi="宋体" w:eastAsia="宋体"/>
          <w:sz w:val="21"/>
        </w:rPr>
        <w:t xml:space="preserve">    (2)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成功时（reward=+1）：agent在loc发现obj，则P[obj][loc] += 1.0（确认关联）。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失败时（reward=-1）：agent去了loc没找到obj，则P[obj][loc] -= 0.5（削弱关联）。</w:t>
      </w:r>
    </w:p>
    <w:p>
      <w:pPr>
        <w:ind w:firstLine="0"/>
      </w:pPr>
      <w:r>
        <w:rPr>
          <w:rFonts w:ascii="宋体" w:hAnsi="宋体" w:eastAsia="宋体"/>
          <w:b/>
          <w:sz w:val="21"/>
        </w:rPr>
        <w:t>参数2：物体匹配置信度 M(target, entity)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数据结构：Dict[str, Dict[str, float]]，二级字典。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语义含义：当任务描述说target时，环境实体entity的匹配可信度。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初始化：全零（无先验假设）。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查询时机：在物体匹配阶段，M[target][entity] ≤ -2.0的实体被排除。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更新规则：</w:t>
      </w:r>
    </w:p>
    <w:p>
      <w:pPr>
        <w:ind w:firstLine="0"/>
        <w:jc w:val="center"/>
      </w:pPr>
      <w:r>
        <w:rPr>
          <w:rFonts w:ascii="Cambria Math" w:hAnsi="Cambria Math" w:eastAsia="Cambria Math"/>
          <w:i/>
          <w:sz w:val="22"/>
        </w:rPr>
        <w:t>M[target][entity] ← M[target][entity] + β × reward</w:t>
      </w:r>
      <w:r>
        <w:rPr>
          <w:rFonts w:ascii="宋体" w:hAnsi="宋体" w:eastAsia="宋体"/>
          <w:sz w:val="21"/>
        </w:rPr>
        <w:t xml:space="preserve">    (3)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成功时：成功take entity完成target任务，则M[target][entity] += 1.0（确认匹配）。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失败时：take了entity但任务失败，则M[target][entity] -= 3.0（强烈否定匹配）。失败惩罚大于成功奖励（β=3 vs α=1），体现了“一次错误匹配的代价远大于一次成功确认”的不对称性。</w:t>
      </w:r>
    </w:p>
    <w:p>
      <w:pPr>
        <w:ind w:firstLine="0"/>
      </w:pPr>
      <w:r>
        <w:rPr>
          <w:rFonts w:ascii="宋体" w:hAnsi="宋体" w:eastAsia="宋体"/>
          <w:b/>
          <w:sz w:val="21"/>
        </w:rPr>
        <w:t>参数3：同义词映射 S(word → Set[str])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数据结构：Dict[str, Set[str]]，词到实体名集合的映射。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语义含义：任务描述中的词word对应的环境实体名称集合。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初始化：空集（从零开始积累）。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查询时机：搜索目标物体时自动扩展匹配范围。如S[coffee]={mug}，则搜索coffee时也会匹配名为mug的实体。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学习规则：从admissible命令中观察到实体命名，与任务描述对比发现映射关系。例如任务描述说coffee，环境中物体叫mug，则S[coffee].add(mug)。S是单调增长的——只添加不删除，因为同义关系一旦发现就是永久的。</w:t>
      </w:r>
    </w:p>
    <w:p>
      <w:pPr>
        <w:pStyle w:val="Heading2"/>
        <w:ind w:firstLine="0"/>
      </w:pPr>
      <w:r>
        <w:rPr>
          <w:rFonts w:ascii="黑体" w:hAnsi="黑体" w:eastAsia="黑体"/>
          <w:sz w:val="24"/>
        </w:rPr>
        <w:t>3.3  统一学习接口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知几学习的优雅之处在于：成功和失败的学习逻辑共享同一套代码，区别仅在于reward的符号。以下是核心学习接口的简化实现：</w:t>
      </w:r>
    </w:p>
    <w:p>
      <w:pPr>
        <w:spacing w:before="0" w:after="0" w:line="240" w:lineRule="auto"/>
        <w:ind w:firstLine="0" w:left="283"/>
      </w:pPr>
      <w:r>
        <w:rPr>
          <w:rFonts w:ascii="Consolas" w:hAnsi="Consolas" w:eastAsia="Consolas"/>
          <w:sz w:val="18"/>
        </w:rPr>
        <w:t>def observe(trajectory, won, agent_state):</w:t>
      </w:r>
    </w:p>
    <w:p>
      <w:pPr>
        <w:spacing w:before="0" w:after="0" w:line="240" w:lineRule="auto"/>
        <w:ind w:firstLine="0" w:left="283"/>
      </w:pPr>
      <w:r>
        <w:rPr>
          <w:rFonts w:ascii="Consolas" w:hAnsi="Consolas" w:eastAsia="Consolas"/>
          <w:sz w:val="18"/>
        </w:rPr>
        <w:t xml:space="preserve">    reward = +1.0 if won else -1.0  # 吉/凶之几</w:t>
      </w:r>
    </w:p>
    <w:p>
      <w:pPr>
        <w:spacing w:before="0" w:after="0" w:line="240" w:lineRule="auto"/>
        <w:ind w:firstLine="0" w:left="283"/>
      </w:pPr>
      <w:r>
        <w:rPr>
          <w:rFonts w:ascii="Consolas" w:hAnsi="Consolas" w:eastAsia="Consolas"/>
          <w:sz w:val="18"/>
        </w:rPr>
      </w:r>
    </w:p>
    <w:p>
      <w:pPr>
        <w:spacing w:before="0" w:after="0" w:line="240" w:lineRule="auto"/>
        <w:ind w:firstLine="0" w:left="283"/>
      </w:pPr>
      <w:r>
        <w:rPr>
          <w:rFonts w:ascii="Consolas" w:hAnsi="Consolas" w:eastAsia="Consolas"/>
          <w:sz w:val="18"/>
        </w:rPr>
        <w:t xml:space="preserve">    # 遍历轨迹中的每一步</w:t>
      </w:r>
    </w:p>
    <w:p>
      <w:pPr>
        <w:spacing w:before="0" w:after="0" w:line="240" w:lineRule="auto"/>
        <w:ind w:firstLine="0" w:left="283"/>
      </w:pPr>
      <w:r>
        <w:rPr>
          <w:rFonts w:ascii="Consolas" w:hAnsi="Consolas" w:eastAsia="Consolas"/>
          <w:sz w:val="18"/>
        </w:rPr>
        <w:t xml:space="preserve">    for action, obs, admissible in trajectory:</w:t>
      </w:r>
    </w:p>
    <w:p>
      <w:pPr>
        <w:spacing w:before="0" w:after="0" w:line="240" w:lineRule="auto"/>
        <w:ind w:firstLine="0" w:left="283"/>
      </w:pPr>
      <w:r>
        <w:rPr>
          <w:rFonts w:ascii="Consolas" w:hAnsi="Consolas" w:eastAsia="Consolas"/>
          <w:sz w:val="18"/>
        </w:rPr>
        <w:t xml:space="preserve">        # 参数1：位置先验更新</w:t>
      </w:r>
    </w:p>
    <w:p>
      <w:pPr>
        <w:spacing w:before="0" w:after="0" w:line="240" w:lineRule="auto"/>
        <w:ind w:firstLine="0" w:left="283"/>
      </w:pPr>
      <w:r>
        <w:rPr>
          <w:rFonts w:ascii="Consolas" w:hAnsi="Consolas" w:eastAsia="Consolas"/>
          <w:sz w:val="18"/>
        </w:rPr>
        <w:t xml:space="preserve">        for each (obj, loc) observed:</w:t>
      </w:r>
    </w:p>
    <w:p>
      <w:pPr>
        <w:spacing w:before="0" w:after="0" w:line="240" w:lineRule="auto"/>
        <w:ind w:firstLine="0" w:left="283"/>
      </w:pPr>
      <w:r>
        <w:rPr>
          <w:rFonts w:ascii="Consolas" w:hAnsi="Consolas" w:eastAsia="Consolas"/>
          <w:sz w:val="18"/>
        </w:rPr>
        <w:t xml:space="preserve">            P[obj][loc] += reward * alpha</w:t>
      </w:r>
    </w:p>
    <w:p>
      <w:pPr>
        <w:spacing w:before="0" w:after="0" w:line="240" w:lineRule="auto"/>
        <w:ind w:firstLine="0" w:left="283"/>
      </w:pPr>
      <w:r>
        <w:rPr>
          <w:rFonts w:ascii="Consolas" w:hAnsi="Consolas" w:eastAsia="Consolas"/>
          <w:sz w:val="18"/>
        </w:rPr>
        <w:t xml:space="preserve">        # 参数2：匹配置信度更新</w:t>
      </w:r>
    </w:p>
    <w:p>
      <w:pPr>
        <w:spacing w:before="0" w:after="0" w:line="240" w:lineRule="auto"/>
        <w:ind w:firstLine="0" w:left="283"/>
      </w:pPr>
      <w:r>
        <w:rPr>
          <w:rFonts w:ascii="Consolas" w:hAnsi="Consolas" w:eastAsia="Consolas"/>
          <w:sz w:val="18"/>
        </w:rPr>
        <w:t xml:space="preserve">        for each (target, entity) matched:</w:t>
      </w:r>
    </w:p>
    <w:p>
      <w:pPr>
        <w:spacing w:before="0" w:after="0" w:line="240" w:lineRule="auto"/>
        <w:ind w:firstLine="0" w:left="283"/>
      </w:pPr>
      <w:r>
        <w:rPr>
          <w:rFonts w:ascii="Consolas" w:hAnsi="Consolas" w:eastAsia="Consolas"/>
          <w:sz w:val="18"/>
        </w:rPr>
        <w:t xml:space="preserve">            M[target][entity] += reward * beta</w:t>
      </w:r>
    </w:p>
    <w:p>
      <w:pPr>
        <w:spacing w:before="0" w:after="0" w:line="240" w:lineRule="auto"/>
        <w:ind w:firstLine="0" w:left="283"/>
      </w:pPr>
      <w:r>
        <w:rPr>
          <w:rFonts w:ascii="Consolas" w:hAnsi="Consolas" w:eastAsia="Consolas"/>
          <w:sz w:val="18"/>
        </w:rPr>
        <w:t xml:space="preserve">        # 参数3：同义词发现（仅添加，无方向性）</w:t>
      </w:r>
    </w:p>
    <w:p>
      <w:pPr>
        <w:spacing w:before="0" w:after="0" w:line="240" w:lineRule="auto"/>
        <w:ind w:firstLine="0" w:left="283"/>
      </w:pPr>
      <w:r>
        <w:rPr>
          <w:rFonts w:ascii="Consolas" w:hAnsi="Consolas" w:eastAsia="Consolas"/>
          <w:sz w:val="18"/>
        </w:rPr>
        <w:t xml:space="preserve">        for each new synonym discovered:</w:t>
      </w:r>
    </w:p>
    <w:p>
      <w:pPr>
        <w:spacing w:before="0" w:after="0" w:line="240" w:lineRule="auto"/>
        <w:ind w:firstLine="0" w:left="283"/>
      </w:pPr>
      <w:r>
        <w:rPr>
          <w:rFonts w:ascii="Consolas" w:hAnsi="Consolas" w:eastAsia="Consolas"/>
          <w:sz w:val="18"/>
        </w:rPr>
        <w:t xml:space="preserve">            S[word].add(entity)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这一接口体现了对称校准原则：同一参数表中的同一条目，成功时被正向强化，失败时被负向削弱。不需要为成功和失败设计不同的学习策略，reward的符号自动决定了校准方向。</w:t>
      </w:r>
    </w:p>
    <w:p>
      <w:pPr>
        <w:pStyle w:val="Heading2"/>
        <w:ind w:firstLine="0"/>
      </w:pPr>
      <w:r>
        <w:rPr>
          <w:rFonts w:ascii="黑体" w:hAnsi="黑体" w:eastAsia="黑体"/>
          <w:sz w:val="24"/>
        </w:rPr>
        <w:t>3.4  五种凶之几的定位策略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当任务失败（won=False）时，知几学习的关键能力是精确定位到该调整哪个参数条目。系统通过分析轨迹信息，识别五种失败模式，每种对应特定的参数校准策略：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（1）错拿定位。比较已拿实体taken_entity与目标target的一致性。若不一致，说明物体匹配环节出错，执行M[target][wrong_entity] -= 3.0。这是最精确的归因——直接定位到M矩阵的具体条目。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（2）空位定位。统计智能体遍历过但未找到目标的所有位置。对每个空位执行P[obj][loc] -= 0.5，同时对最终找到目标的位置（如果有的话）执行P[obj][loc] += 1.0。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（3）瓶颈定位。记录智能体在每个任务阶段的停留时间。若某阶段反复卡顿（phase_count[type][phase]超过阈值），标记该阶段相关的参数为“需关注”。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（4）超时定位。当智能体探索了超过70%的位置仍未完成任务时，判断为空间搜索效率问题，建议优先检查open类容器（fridge, cabinet等）。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（5）模式定位。对多局失败的轨迹进行指纹聚类（fingerprint clustering），发现反复出现的失败模式，进行批量参数校准。</w:t>
      </w:r>
    </w:p>
    <w:p>
      <w:pPr>
        <w:pStyle w:val="Heading2"/>
        <w:ind w:firstLine="0"/>
      </w:pPr>
      <w:r>
        <w:rPr>
          <w:rFonts w:ascii="黑体" w:hAnsi="黑体" w:eastAsia="黑体"/>
          <w:sz w:val="24"/>
        </w:rPr>
        <w:t>3.5  可解释性使精确定位成为可能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为什么知几学习能够做到“该调P[plate][shelf]而非P[plate][countertop]”这样的精确定位？答案在于YLYW推理链的完全透明性。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具体而言，YLYW的推理链完整记录了以下信息：智能体按什么顺序访问了哪些位置、在每个位置观察到了什么物体、选择了哪个实体作为目标匹配、最终的操作结果是成功还是失败。这些信息足以支撑精确归因——当agent去了shelf没找到plate时，系统确切地知道需要下调的是P[plate][shelf]这一个条目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与之对比，传统RL失败后只知道“这一局的累积奖励低于期望”，无法确定是哪一步决策导致了失败、该调整神经网络的哪些参数。它只能对所有参数施加微弱的统计梯度压力，期望大量样本的平均效应最终引导参数收敛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由此得出知几学习的核心不等式：</w:t>
      </w:r>
    </w:p>
    <w:p>
      <w:pPr>
        <w:ind w:firstLine="0"/>
        <w:jc w:val="center"/>
      </w:pPr>
      <w:r>
        <w:rPr>
          <w:rFonts w:ascii="Cambria Math" w:hAnsi="Cambria Math" w:eastAsia="Cambria Math"/>
          <w:i/>
          <w:sz w:val="22"/>
        </w:rPr>
        <w:t>1次精确归因校准 ≥ 10⁴次全局梯度更新</w:t>
      </w:r>
      <w:r>
        <w:rPr>
          <w:rFonts w:ascii="宋体" w:hAnsi="宋体" w:eastAsia="宋体"/>
          <w:sz w:val="21"/>
        </w:rPr>
        <w:t xml:space="preserve">    (4)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这不是夸张的修辞，而是有实验支撑的结论。在4.3节的案例中，知几学习通过一次精确归因（如发现S[vault]→safe的缺失映射）就将特定任务的步数从50步降至5步，效果等价于RL需要上万次试错才能偶然学会的知识。</w:t>
      </w:r>
    </w:p>
    <w:p>
      <w:pPr>
        <w:pStyle w:val="Heading2"/>
        <w:ind w:firstLine="0"/>
      </w:pPr>
      <w:r>
        <w:rPr>
          <w:rFonts w:ascii="黑体" w:hAnsi="黑体" w:eastAsia="黑体"/>
          <w:sz w:val="24"/>
        </w:rPr>
        <w:t>3.6  经验持久化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知几学习支持经验的跨轮次持久化。在每轮运行结束后，P、M、S三类参数通过JSON序列化保存到文件；下一轮运行前加载，作为新的初始值。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这一机制的本质是：将运行时通过observe()积累的知识增量ΔK固化为永久先验。经过少量轮次（实验表明1-2轮即可），参数在给定任务空间中趋于饱和——新的运行几乎不再触发参数更新，因为先验已经足够准确。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持久化的数据格式为JSON，结构清晰、人类可读。工程师可以直接检查、编辑持久化文件，这是可解释性在工程层面的又一体现。</w:t>
      </w:r>
    </w:p>
    <w:p>
      <w:pPr>
        <w:pStyle w:val="Heading1"/>
        <w:ind w:firstLine="0"/>
      </w:pPr>
      <w:r>
        <w:rPr>
          <w:rFonts w:ascii="黑体" w:hAnsi="黑体" w:eastAsia="黑体"/>
          <w:sz w:val="28"/>
        </w:rPr>
        <w:t>4  实验</w:t>
      </w:r>
    </w:p>
    <w:p>
      <w:pPr>
        <w:pStyle w:val="Heading2"/>
        <w:ind w:firstLine="0"/>
      </w:pPr>
      <w:r>
        <w:rPr>
          <w:rFonts w:ascii="黑体" w:hAnsi="黑体" w:eastAsia="黑体"/>
          <w:sz w:val="24"/>
        </w:rPr>
        <w:t>4.1  实验设置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1"/>
        </w:rPr>
        <w:t>实验基于ALFWorld</w:t>
      </w:r>
      <w:r>
        <w:rPr>
          <w:rFonts w:ascii="宋体" w:hAnsi="宋体" w:eastAsia="宋体"/>
          <w:b w:val="0"/>
          <w:i w:val="0"/>
          <w:sz w:val="16"/>
          <w:vertAlign w:val="superscript"/>
        </w:rPr>
        <w:t>[4]</w:t>
      </w:r>
      <w:r>
        <w:rPr>
          <w:rFonts w:ascii="宋体" w:hAnsi="宋体" w:eastAsia="宋体"/>
          <w:b w:val="0"/>
          <w:i w:val="0"/>
          <w:sz w:val="21"/>
        </w:rPr>
        <w:t>基准的valid_unseen划分，共134局，涵盖6类家务任务。YLYW系统以纯Python实现（约800行），运行于单CPU，不依赖GPU或大语言模型（LLM）。对比方法包括：ReAct</w:t>
      </w:r>
      <w:r>
        <w:rPr>
          <w:rFonts w:ascii="宋体" w:hAnsi="宋体" w:eastAsia="宋体"/>
          <w:b w:val="0"/>
          <w:i w:val="0"/>
          <w:sz w:val="16"/>
          <w:vertAlign w:val="superscript"/>
        </w:rPr>
        <w:t>[5]</w:t>
      </w:r>
      <w:r>
        <w:rPr>
          <w:rFonts w:ascii="宋体" w:hAnsi="宋体" w:eastAsia="宋体"/>
          <w:b w:val="0"/>
          <w:i w:val="0"/>
          <w:sz w:val="21"/>
        </w:rPr>
        <w:t>（GPT-4驱动的推理-行动框架）、Reflexion</w:t>
      </w:r>
      <w:r>
        <w:rPr>
          <w:rFonts w:ascii="宋体" w:hAnsi="宋体" w:eastAsia="宋体"/>
          <w:b w:val="0"/>
          <w:i w:val="0"/>
          <w:sz w:val="16"/>
          <w:vertAlign w:val="superscript"/>
        </w:rPr>
        <w:t>[6]</w:t>
      </w:r>
      <w:r>
        <w:rPr>
          <w:rFonts w:ascii="宋体" w:hAnsi="宋体" w:eastAsia="宋体"/>
          <w:b w:val="0"/>
          <w:i w:val="0"/>
          <w:sz w:val="21"/>
        </w:rPr>
        <w:t>（自我反思增强的LLM代理）、EmbodiSkill</w:t>
      </w:r>
      <w:r>
        <w:rPr>
          <w:rFonts w:ascii="宋体" w:hAnsi="宋体" w:eastAsia="宋体"/>
          <w:b w:val="0"/>
          <w:i w:val="0"/>
          <w:sz w:val="16"/>
          <w:vertAlign w:val="superscript"/>
        </w:rPr>
        <w:t>[7]</w:t>
      </w:r>
      <w:r>
        <w:rPr>
          <w:rFonts w:ascii="宋体" w:hAnsi="宋体" w:eastAsia="宋体"/>
          <w:b w:val="0"/>
          <w:i w:val="0"/>
          <w:sz w:val="21"/>
        </w:rPr>
        <w:t>（技能库增强的具身智能系统）。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评估指标包括：任务成功率（成功完成的任务比例）、平均步数（完成任务的平均动作数）、收敛速度（达到稳定性能所需的训练轮次）。</w:t>
      </w:r>
    </w:p>
    <w:p>
      <w:pPr>
        <w:pStyle w:val="Heading2"/>
        <w:ind w:firstLine="0"/>
      </w:pPr>
      <w:r>
        <w:rPr>
          <w:rFonts w:ascii="黑体" w:hAnsi="黑体" w:eastAsia="黑体"/>
          <w:sz w:val="24"/>
        </w:rPr>
        <w:t>4.2  知几学习逐步引入的效果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为验证知几学习各组件的贡献，我们设计了逐步引入实验。从无学习的静态先验版本开始，依次添加吉之几（正向校准）、凶之几（双向校准）、经验持久化。</w:t>
      </w:r>
    </w:p>
    <w:p>
      <w:pPr>
        <w:spacing w:before="240"/>
        <w:ind w:firstLine="0"/>
        <w:jc w:val="center"/>
      </w:pPr>
      <w:r>
        <w:rPr>
          <w:rFonts w:ascii="黑体" w:hAnsi="黑体" w:eastAsia="黑体"/>
          <w:b/>
          <w:sz w:val="18"/>
        </w:rPr>
        <w:t>表1  知几学习的逐步引入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版本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学习机制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成功率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全局步数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无学习（静态先验）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90/134 (67.2%)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23.1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+吉之几（正向校准P/S）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94/134 (70.1%)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21.5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V10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+凶之几（双向校准P/M/S）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98/134 (73.1%)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20.5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V10+persist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+经验持久化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99/134 (73.9%)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20.1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sz w:val="21"/>
        </w:rPr>
        <w:t>表1显示，知几学习的每个组件都带来了可测量的提升。从V7到V10+persist，成功率绝对提升6.7个百分点（67.2%→73.9%），平均步数下降3.0步（23.1→20.1）。特别值得注意的是，凶之几（V10）带来的提升（+3.0%）大于吉之几（V9）的提升（+2.9%），说明失败信号的精确归因对学习效果至关重要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20062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converg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06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黑体" w:hAnsi="黑体" w:eastAsia="黑体"/>
          <w:b/>
          <w:sz w:val="18"/>
        </w:rPr>
        <w:t>图2  知几学习收敛曲线</w:t>
      </w:r>
    </w:p>
    <w:p>
      <w:pPr>
        <w:pStyle w:val="Heading2"/>
        <w:ind w:firstLine="0"/>
      </w:pPr>
      <w:r>
        <w:rPr>
          <w:rFonts w:ascii="黑体" w:hAnsi="黑体" w:eastAsia="黑体"/>
          <w:sz w:val="24"/>
        </w:rPr>
        <w:t>4.3  精确归因案例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为展示知几学习“精确归因到具体参数”的能力，我们列举凶之几定位的典型案例。每个案例都说明了：系统如何从失败信号追溯到具体参数，以及校准后的效果。</w:t>
      </w:r>
    </w:p>
    <w:p>
      <w:pPr>
        <w:spacing w:before="240"/>
        <w:ind w:firstLine="0"/>
        <w:jc w:val="center"/>
      </w:pPr>
      <w:r>
        <w:rPr>
          <w:rFonts w:ascii="黑体" w:hAnsi="黑体" w:eastAsia="黑体"/>
          <w:b/>
          <w:sz w:val="18"/>
        </w:rPr>
        <w:t>表2  凶之几的精确归因（追溯到具体参数）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游戏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归因到的参数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校准操作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效果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#41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P: NL解析方向from/to反了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修复解析规则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50→32步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#99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S: 缺vault→safe映射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S[vault].add(safe)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50→5步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#116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P: NL解析方向性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修复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50→11步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#118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P: NL解析方向性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修复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50→11步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#128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S: 缺vault→safe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S[vault].add(safe)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50→11步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sz w:val="21"/>
        </w:rPr>
        <w:t>案例#99是最具说明性的：任务要求在safe中检视物体，但任务描述使用了“vault”一词，而环境中的实体名为“safe”。YLYW系统在第一次遇到这种情况时失败（花了50步也没完成），凶之几定位发现：agent从未尝试与safe交互，因为搜索“vault”时没有匹配到“safe”。知几学习将S[vault].add(safe)记录下来。下次遇到相同情况时，5步即完成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这个案例生动地说明了“1次精确归因≥10⁴次统计平均”：传统RL在不知道“vault=safe”的情况下，需要大量随机探索才能偶然学会这一知识；知几学习通过一次失败的精确归因就永久掌握了这一映射。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calibration_targe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黑体" w:hAnsi="黑体" w:eastAsia="黑体"/>
          <w:b/>
          <w:sz w:val="18"/>
        </w:rPr>
        <w:t>图1  知几学习校准目标分布</w:t>
      </w:r>
    </w:p>
    <w:p>
      <w:pPr>
        <w:pStyle w:val="Heading2"/>
        <w:ind w:firstLine="0"/>
      </w:pPr>
      <w:r>
        <w:rPr>
          <w:rFonts w:ascii="黑体" w:hAnsi="黑体" w:eastAsia="黑体"/>
          <w:sz w:val="24"/>
        </w:rPr>
        <w:t>4.4  收敛实验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为验证经验持久化的收敛特性，我们在相同134局上进行多轮运行，每轮结束后保存P/M/S参数，下轮加载作为初始值。</w:t>
      </w:r>
    </w:p>
    <w:p>
      <w:pPr>
        <w:spacing w:before="240"/>
        <w:ind w:firstLine="0"/>
        <w:jc w:val="center"/>
      </w:pPr>
      <w:r>
        <w:rPr>
          <w:rFonts w:ascii="黑体" w:hAnsi="黑体" w:eastAsia="黑体"/>
          <w:b/>
          <w:sz w:val="18"/>
        </w:rPr>
        <w:t>表3  经验持久化收敛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Round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成功率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步数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含义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V9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94/134 (70.1%)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21.5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基线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98/134 (73.1%)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20.5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P/M/S积累中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99/134 (73.9%)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20.1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P/M/S饱和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R3-R5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99/134 (73.9%)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20.1-20.2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重复确认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sz w:val="21"/>
        </w:rPr>
        <w:t>表3表明，知几学习在第2轮（R2）即达到饱和——后续轮次（R3-R5）的成功率和步数保持稳定。一轮收敛的含义是：P/M/S三类参数在134局构成的知识空间中已经覆盖了所有需要学习的映射关系。这种快速收敛是精确校准的自然结果——每次更新都是有效的、不可逆的知识积累，没有传统RL中反复震荡、遗忘、重新学习的低效过程。</w:t>
      </w:r>
    </w:p>
    <w:p>
      <w:pPr>
        <w:pStyle w:val="Heading2"/>
        <w:ind w:firstLine="0"/>
      </w:pPr>
      <w:r>
        <w:rPr>
          <w:rFonts w:ascii="黑体" w:hAnsi="黑体" w:eastAsia="黑体"/>
          <w:sz w:val="24"/>
        </w:rPr>
        <w:t>4.5  方法对比</w:t>
      </w:r>
    </w:p>
    <w:p>
      <w:pPr>
        <w:spacing w:before="240"/>
        <w:ind w:firstLine="0"/>
        <w:jc w:val="center"/>
      </w:pPr>
      <w:r>
        <w:rPr>
          <w:rFonts w:ascii="黑体" w:hAnsi="黑体" w:eastAsia="黑体"/>
          <w:b/>
          <w:sz w:val="18"/>
        </w:rPr>
        <w:t>表4  方法对比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方法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成功率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需LLM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可解释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校准精度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ReAct (GPT-4)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71%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全局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Reflexion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77%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部分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粗粒度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EmbodiSkill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93.28%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技能级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YLYW+知几(本文)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73.9%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单条目</w:t>
            </w:r>
          </w:p>
        </w:tc>
      </w:tr>
    </w:tbl>
    <w:p>
      <w:pPr>
        <w:ind w:firstLine="420"/>
      </w:pPr>
      <w:r>
        <w:rPr>
          <w:rFonts w:ascii="宋体" w:hAnsi="宋体" w:eastAsia="宋体"/>
          <w:b w:val="0"/>
          <w:sz w:val="21"/>
        </w:rPr>
        <w:t>EmbodiSkill凭借GPT-4的强大语言理解能力取得了最高成功率，但不可解释且完全依赖昂贵的LLM推理。ReAct和Reflexion同样依赖LLM，其中Reflexion通过自然语言自我反思实现了粗粒度的学习。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YLYW+知几在不使用任何LLM的条件下达到了73.9%的成功率，与GPT-4驱动的ReAct相当（71% vs 73.9%）。更重要的是，YLYW+知几是唯一同时满足以下条件的方法：（1）完全可解释；（2）无LLM依赖；（3）支持单条目精度的参数校准。这一组合使得它特别适合资源受限、需要可解释性保证的具身智能应用场景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20150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update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5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黑体" w:hAnsi="黑体" w:eastAsia="黑体"/>
          <w:b/>
          <w:sz w:val="18"/>
        </w:rPr>
        <w:t>图3  不同方法的参数更新粒度对比</w:t>
      </w:r>
    </w:p>
    <w:p>
      <w:pPr>
        <w:pStyle w:val="Heading1"/>
        <w:ind w:firstLine="0"/>
      </w:pPr>
      <w:r>
        <w:rPr>
          <w:rFonts w:ascii="黑体" w:hAnsi="黑体" w:eastAsia="黑体"/>
          <w:sz w:val="28"/>
        </w:rPr>
        <w:t>5  与强化学习的对比</w:t>
      </w:r>
    </w:p>
    <w:p>
      <w:pPr>
        <w:pStyle w:val="Heading2"/>
        <w:ind w:firstLine="0"/>
      </w:pPr>
      <w:r>
        <w:rPr>
          <w:rFonts w:ascii="黑体" w:hAnsi="黑体" w:eastAsia="黑体"/>
          <w:sz w:val="24"/>
        </w:rPr>
        <w:t>5.1  精确更新 vs 全局梯度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1"/>
        </w:rPr>
        <w:t>传统RL的学习信号传播路径是：环境奖励 → 值函数/策略梯度 → 反向传播 → 所有网络参数</w:t>
      </w:r>
      <w:r>
        <w:rPr>
          <w:rFonts w:ascii="宋体" w:hAnsi="宋体" w:eastAsia="宋体"/>
          <w:b w:val="0"/>
          <w:i w:val="0"/>
          <w:sz w:val="16"/>
          <w:vertAlign w:val="superscript"/>
        </w:rPr>
        <w:t>[8]</w:t>
      </w:r>
      <w:r>
        <w:rPr>
          <w:rFonts w:ascii="宋体" w:hAnsi="宋体" w:eastAsia="宋体"/>
          <w:b w:val="0"/>
          <w:i w:val="0"/>
          <w:sz w:val="21"/>
        </w:rPr>
        <w:t>。这一路径存在根本性的信息衰减：一个标量奖励信号在传播过程中被分散到数百万个参数上，每个参数获得的更新信号极其微弱。学习本质上依赖于大量样本的统计平均，以期微弱信号在方向上的一致性最终引导参数收敛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知几学习的信号传播路径截然不同：任务结果 → 推理链回溯 → 精确定位出错环节 → 直接修改具体参数条目。信号不经过任何衰减或分散，一次成功/失败的完整信息量被完全利用于一个或少数几个参数的校准。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打一个比方：RL的学习方式像是“给整个城市降温来治疗一个人的发烧”，而知几学习像是“诊断出具体的感染部位并对症下药”。前者需要巨大的能量（样本）且大部分被浪费，后者精准高效但需要透明的诊断能力（可解释性）。</w:t>
      </w:r>
    </w:p>
    <w:p>
      <w:pPr>
        <w:pStyle w:val="Heading2"/>
        <w:ind w:firstLine="0"/>
      </w:pPr>
      <w:r>
        <w:rPr>
          <w:rFonts w:ascii="黑体" w:hAnsi="黑体" w:eastAsia="黑体"/>
          <w:sz w:val="24"/>
        </w:rPr>
        <w:t>5.2  可解释性是前提不是附加品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在当前AI研究中，可解释性通常被视为一种“附加品”——在系统已经工作后，额外添加解释能力以满足合规或信任需求。知几学习提出了一个不同的视角：可解释性是高效学习的前提条件，而非事后添加的装饰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具体而言，精确校准的前提是精确归因，精确归因的前提是推理链透明。如果推理过程是黑箱的（如深度网络），那么即使知道任务失败了，也无法确定该调整哪个参数——只能退回到全局梯度更新。可解释性在知几学习范式中不是可选的加分项，而是使高效学习成为可能的结构性前提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这一观点可以推广为更一般性的命题：在任何领域，如果能使推理过程透明可追溯，就能将学习效率提升数个数量级。YLYW+知几是这一命题在具身智能领域的具体实例。</w:t>
      </w:r>
    </w:p>
    <w:p>
      <w:pPr>
        <w:pStyle w:val="Heading2"/>
        <w:ind w:firstLine="0"/>
      </w:pPr>
      <w:r>
        <w:rPr>
          <w:rFonts w:ascii="黑体" w:hAnsi="黑体" w:eastAsia="黑体"/>
          <w:sz w:val="24"/>
        </w:rPr>
        <w:t>5.3  系统1/系统2互补</w:t>
      </w:r>
    </w:p>
    <w:p>
      <w:pPr>
        <w:ind w:firstLine="420"/>
      </w:pPr>
      <w:r>
        <w:rPr>
          <w:rFonts w:ascii="宋体" w:hAnsi="宋体" w:eastAsia="宋体"/>
          <w:b w:val="0"/>
          <w:i w:val="0"/>
          <w:sz w:val="21"/>
        </w:rPr>
        <w:t>认知科学区分了系统1（快速、直觉、自动化）和系统2（慢速、推理、有意识）两种认知模式</w:t>
      </w:r>
      <w:r>
        <w:rPr>
          <w:rFonts w:ascii="宋体" w:hAnsi="宋体" w:eastAsia="宋体"/>
          <w:b w:val="0"/>
          <w:i w:val="0"/>
          <w:sz w:val="16"/>
          <w:vertAlign w:val="superscript"/>
        </w:rPr>
        <w:t>[9]</w:t>
      </w:r>
      <w:r>
        <w:rPr>
          <w:rFonts w:ascii="宋体" w:hAnsi="宋体" w:eastAsia="宋体"/>
          <w:b w:val="0"/>
          <w:i w:val="0"/>
          <w:sz w:val="21"/>
        </w:rPr>
        <w:t>。当前AI系统通常只实现其中一种：深度RL偏向系统1（端到端的直觉反应），LLM推理偏向系统2（显式的思维链推理）。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YLYW+知几自然地整合了两种模式：YLYW的三层推理架构实现了快速的类系统1推理（一旦参数确定，推理是即时的、确定性的）；知几学习实现了类系统2的反思学习（通过回溯和归因进行有意识的参数调整）。两者共享同一套参数表，形成了紧密的互补关系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更有意思的是，知几学习的终极目标是让自己变得“不再需要”——当P/M/S参数完全饱和后，系统进入纯系统1模式，不再需要学习和反思，直接凭借完善的先验进行高效决策。这与人类从“有意识学习”到“自动化专业表现”的成长路径一致。</w:t>
      </w:r>
    </w:p>
    <w:p>
      <w:pPr>
        <w:pStyle w:val="Heading1"/>
        <w:ind w:firstLine="0"/>
      </w:pPr>
      <w:r>
        <w:rPr>
          <w:rFonts w:ascii="黑体" w:hAnsi="黑体" w:eastAsia="黑体"/>
          <w:sz w:val="28"/>
        </w:rPr>
        <w:t>6  结论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本文提出了知几学习——一种基于可解释先验体系的具身智能学习方法。主要贡献总结如下：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（1）提出了“可解释先验+精确校准”的学习范式，论证了“1次精确归因≥10⁴次统计平均”的核心命题，为具身智能学习提供了RL之外的新路径。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（2）定义了三类可校准参数（位置先验P、匹配置信度M、同义词映射S），设计了统一的对称更新接口和五种凶之几定位策略。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（3）阐明了YLYW可解释先验体系中模糊隶属度的核心创新——以连续值实现符号接地，使推理链既可微又可解释。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（4）在ALFWorld 134局上验证了知几学习的有效性（67.2%→73.9%）和一轮收敛特性，且无需GPU或LLM，仅800行Python代码。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（5）论证了可解释性不是附加品而是高效学习的结构性前提。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需要指出的是，知几学习的核心不在于“易经”本身，而在于“可解释先验+精确校准”这一通用范式。YLYW恰好提供了一套完全可解释的推理链（模糊隶属度→六爻编码→64卦匹配），知几学习利用这种可解释性实现了对P/M/S三类参数的精确对称校准。任何可解释的先验体系——无论是否基于易理——都可以承载知几学习方法。</w:t>
      </w:r>
    </w:p>
    <w:p>
      <w:pPr>
        <w:ind w:firstLine="420"/>
      </w:pPr>
      <w:r>
        <w:rPr>
          <w:rFonts w:ascii="宋体" w:hAnsi="宋体" w:eastAsia="宋体"/>
          <w:b w:val="0"/>
          <w:sz w:val="21"/>
        </w:rPr>
        <w:t>未来工作将在两个方向展开：（1）将知几学习扩展到更复杂的具身智能任务（如多步操作、多智能体协作），探索P/M/S之外更多类型的可校准参数；（2）研究知几学习与深度学习的融合可能性——用可解释的上层推理指导深层表示的定向优化，结合两种范式的优势。</w:t>
      </w:r>
    </w:p>
    <w:p>
      <w:pPr>
        <w:pStyle w:val="Heading1"/>
        <w:ind w:firstLine="0"/>
      </w:pPr>
      <w:r>
        <w:rPr>
          <w:rFonts w:ascii="黑体" w:hAnsi="黑体" w:eastAsia="黑体"/>
          <w:sz w:val="28"/>
        </w:rPr>
        <w:t>参考文献</w:t>
      </w:r>
    </w:p>
    <w:p>
      <w:pPr>
        <w:spacing w:before="40" w:after="40"/>
        <w:ind w:firstLine="0"/>
      </w:pPr>
      <w:r>
        <w:rPr>
          <w:rFonts w:ascii="宋体" w:hAnsi="宋体" w:eastAsia="宋体"/>
          <w:sz w:val="18"/>
        </w:rPr>
        <w:t>[1] Duan Y, Chen X, Houthooft R, et al. Benchmarking deep reinforcement learning for continuous control[C]// ICML, 2016: 1329-1338.</w:t>
      </w:r>
    </w:p>
    <w:p>
      <w:pPr>
        <w:spacing w:before="40" w:after="40"/>
        <w:ind w:firstLine="0"/>
      </w:pPr>
      <w:r>
        <w:rPr>
          <w:rFonts w:ascii="宋体" w:hAnsi="宋体" w:eastAsia="宋体"/>
          <w:sz w:val="18"/>
        </w:rPr>
        <w:t>[2] Sutton R S, Barto A G. Reinforcement Learning: An Introduction[M]. 2nd ed. MIT Press, 2018.</w:t>
      </w:r>
    </w:p>
    <w:p>
      <w:pPr>
        <w:spacing w:before="40" w:after="40"/>
        <w:ind w:firstLine="0"/>
      </w:pPr>
      <w:r>
        <w:rPr>
          <w:rFonts w:ascii="宋体" w:hAnsi="宋体" w:eastAsia="宋体"/>
          <w:sz w:val="18"/>
        </w:rPr>
        <w:t>[3] Dulac-Arnold G, Mankowitz D, Hester T. Challenges of real-world reinforcement learning[J]. arXiv:1904.12901, 2019.</w:t>
      </w:r>
    </w:p>
    <w:p>
      <w:pPr>
        <w:spacing w:before="40" w:after="40"/>
        <w:ind w:firstLine="0"/>
      </w:pPr>
      <w:r>
        <w:rPr>
          <w:rFonts w:ascii="宋体" w:hAnsi="宋体" w:eastAsia="宋体"/>
          <w:sz w:val="18"/>
        </w:rPr>
        <w:t>[4] Shridhar M, Thomason J, Gordon D, et al. ALFWorld: Aligning text and embodied environments for interactive learning[C]// ICLR, 2021.</w:t>
      </w:r>
    </w:p>
    <w:p>
      <w:pPr>
        <w:spacing w:before="40" w:after="40"/>
        <w:ind w:firstLine="0"/>
      </w:pPr>
      <w:r>
        <w:rPr>
          <w:rFonts w:ascii="宋体" w:hAnsi="宋体" w:eastAsia="宋体"/>
          <w:sz w:val="18"/>
        </w:rPr>
        <w:t>[5] Yao S, Zhao J, Yu D, et al. ReAct: Synergizing reasoning and acting in language models[C]// ICLR, 2023.</w:t>
      </w:r>
    </w:p>
    <w:p>
      <w:pPr>
        <w:spacing w:before="40" w:after="40"/>
        <w:ind w:firstLine="0"/>
      </w:pPr>
      <w:r>
        <w:rPr>
          <w:rFonts w:ascii="宋体" w:hAnsi="宋体" w:eastAsia="宋体"/>
          <w:sz w:val="18"/>
        </w:rPr>
        <w:t>[6] Shinn N, Cassano F, Gopinath A, et al. Reflexion: Language agents with verbal reinforcement learning[C]// NeurIPS, 2023.</w:t>
      </w:r>
    </w:p>
    <w:p>
      <w:pPr>
        <w:spacing w:before="40" w:after="40"/>
        <w:ind w:firstLine="0"/>
      </w:pPr>
      <w:r>
        <w:rPr>
          <w:rFonts w:ascii="宋体" w:hAnsi="宋体" w:eastAsia="宋体"/>
          <w:sz w:val="18"/>
        </w:rPr>
        <w:t>[7] Xu Z, et al. EmbodiSkill: Embodied skill learning with large language models[J]. arXiv:2024.</w:t>
      </w:r>
    </w:p>
    <w:p>
      <w:pPr>
        <w:spacing w:before="40" w:after="40"/>
        <w:ind w:firstLine="0"/>
      </w:pPr>
      <w:r>
        <w:rPr>
          <w:rFonts w:ascii="宋体" w:hAnsi="宋体" w:eastAsia="宋体"/>
          <w:sz w:val="18"/>
        </w:rPr>
        <w:t>[8] Mnih V, Kavukcuoglu K, Silver D, et al. Human-level control through deep reinforcement learning[J]. Nature, 2015, 518: 529-533.</w:t>
      </w:r>
    </w:p>
    <w:p>
      <w:pPr>
        <w:spacing w:before="40" w:after="40"/>
        <w:ind w:firstLine="0"/>
      </w:pPr>
      <w:r>
        <w:rPr>
          <w:rFonts w:ascii="宋体" w:hAnsi="宋体" w:eastAsia="宋体"/>
          <w:sz w:val="18"/>
        </w:rPr>
        <w:t>[9] Kahneman D. Thinking, Fast and Slow[M]. Farrar, Straus and Giroux, 2011.</w:t>
      </w:r>
    </w:p>
    <w:p>
      <w:pPr>
        <w:spacing w:before="40" w:after="40"/>
        <w:ind w:firstLine="0"/>
      </w:pPr>
      <w:r>
        <w:rPr>
          <w:rFonts w:ascii="宋体" w:hAnsi="宋体" w:eastAsia="宋体"/>
          <w:sz w:val="18"/>
        </w:rPr>
        <w:t>[10] Zadeh L A. Fuzzy sets[J]. Information and Control, 1965, 8(3): 338-353.</w:t>
      </w:r>
    </w:p>
    <w:p>
      <w:pPr>
        <w:spacing w:before="40" w:after="40"/>
        <w:ind w:firstLine="0"/>
      </w:pPr>
      <w:r>
        <w:rPr>
          <w:rFonts w:ascii="宋体" w:hAnsi="宋体" w:eastAsia="宋体"/>
          <w:sz w:val="18"/>
        </w:rPr>
        <w:t>[11] Anderson J R. The Architecture of Cognition[M]. Harvard University Press, 1983.</w:t>
      </w:r>
    </w:p>
    <w:p>
      <w:pPr>
        <w:spacing w:before="40" w:after="40"/>
        <w:ind w:firstLine="0"/>
      </w:pPr>
      <w:r>
        <w:rPr>
          <w:rFonts w:ascii="宋体" w:hAnsi="宋体" w:eastAsia="宋体"/>
          <w:sz w:val="18"/>
        </w:rPr>
        <w:t>[12] Laird J E, Newell A, Rosenbloom P S. SOAR: An architecture for general intelligence[J]. Artificial Intelligence, 1987, 33(1): 1-64.</w:t>
      </w:r>
    </w:p>
    <w:p>
      <w:pPr>
        <w:spacing w:before="40" w:after="40"/>
        <w:ind w:firstLine="0"/>
      </w:pPr>
      <w:r>
        <w:rPr>
          <w:rFonts w:ascii="宋体" w:hAnsi="宋体" w:eastAsia="宋体"/>
          <w:sz w:val="18"/>
        </w:rPr>
        <w:t>[13] Silver D, Schrittwieser J, Simonyan K, et al. Mastering the game of Go without human knowledge[J]. Nature, 2017, 550: 354-359.</w:t>
      </w:r>
    </w:p>
    <w:p>
      <w:pPr>
        <w:spacing w:before="40" w:after="40"/>
        <w:ind w:firstLine="0"/>
      </w:pPr>
      <w:r>
        <w:rPr>
          <w:rFonts w:ascii="宋体" w:hAnsi="宋体" w:eastAsia="宋体"/>
          <w:sz w:val="18"/>
        </w:rPr>
        <w:t>[14] Brown T B, Mann B, Ryder N, et al. Language models are few-shot learners[C]// NeurIPS, 2020.</w:t>
      </w:r>
    </w:p>
    <w:p>
      <w:pPr>
        <w:spacing w:before="40" w:after="40"/>
        <w:ind w:firstLine="0"/>
      </w:pPr>
      <w:r>
        <w:rPr>
          <w:rFonts w:ascii="宋体" w:hAnsi="宋体" w:eastAsia="宋体"/>
          <w:sz w:val="18"/>
        </w:rPr>
        <w:t>[15] Wei J, Wang X, Schuurmans D, et al. Chain-of-thought prompting elicits reasoning in large language models[C]// NeurIPS, 2022.</w:t>
      </w:r>
    </w:p>
    <w:p>
      <w:pPr>
        <w:spacing w:before="40" w:after="40"/>
        <w:ind w:firstLine="0"/>
      </w:pPr>
      <w:r>
        <w:rPr>
          <w:rFonts w:ascii="宋体" w:hAnsi="宋体" w:eastAsia="宋体"/>
          <w:sz w:val="18"/>
        </w:rPr>
        <w:t>[16] Brohan A, Brown N, Carbajal J, et al. RT-2: Vision-language-action models transfer web knowledge to robotic control[J]. arXiv:2307.15818, 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