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ind w:firstLine="0"/>
        <w:jc w:val="center"/>
      </w:pPr>
      <w:r>
        <w:rPr>
          <w:rFonts w:ascii="Times New Roman" w:hAnsi="Times New Roman" w:eastAsia="黑体"/>
          <w:b/>
          <w:sz w:val="32"/>
        </w:rPr>
        <w:t>知几知耻学习：一种基于对称奖惩校准的具身学习范式</w:t>
      </w:r>
    </w:p>
    <w:p>
      <w:pPr>
        <w:spacing w:before="240"/>
        <w:ind w:firstLine="0"/>
        <w:jc w:val="center"/>
      </w:pPr>
      <w:r>
        <w:rPr>
          <w:rFonts w:ascii="Times New Roman" w:hAnsi="Times New Roman"/>
          <w:i/>
          <w:sz w:val="24"/>
        </w:rPr>
        <w:t>Zhiji-Zhichi Learning: An Embodied Learning Paradigm</w:t>
        <w:br/>
        <w:t>Based on Symmetric Reward-Punishment Calibration</w:t>
      </w:r>
    </w:p>
    <w:p>
      <w:pPr>
        <w:spacing w:before="480"/>
        <w:ind w:firstLine="0"/>
        <w:jc w:val="center"/>
      </w:pPr>
      <w:r>
        <w:rPr>
          <w:rFonts w:ascii="Times New Roman" w:hAnsi="Times New Roman" w:eastAsia="宋体"/>
          <w:sz w:val="22"/>
        </w:rPr>
        <w:t>马兴录，李金函，张国安，于敬涛，李望，马圣洁</w:t>
      </w:r>
    </w:p>
    <w:p>
      <w:pPr>
        <w:ind w:firstLine="0"/>
        <w:jc w:val="center"/>
      </w:pPr>
      <w:r>
        <w:rPr>
          <w:rFonts w:ascii="Times New Roman" w:hAnsi="Times New Roman" w:eastAsia="宋体"/>
          <w:sz w:val="18"/>
        </w:rPr>
        <w:t>（马圣洁为通讯作者）</w:t>
      </w:r>
    </w:p>
    <w:p>
      <w:pPr>
        <w:spacing w:before="240"/>
        <w:ind w:firstLine="0"/>
        <w:jc w:val="center"/>
      </w:pPr>
      <w:r>
        <w:rPr>
          <w:rFonts w:ascii="Times New Roman" w:hAnsi="Times New Roman" w:eastAsia="宋体"/>
          <w:sz w:val="21"/>
        </w:rPr>
        <w:t>青岛科技大学 信息科学技术学院，山东 青岛 266061</w:t>
      </w:r>
    </w:p>
    <w:p/>
    <w:p>
      <w:pPr>
        <w:pStyle w:val="Heading1"/>
        <w:spacing w:before="240" w:after="120"/>
        <w:ind w:firstLine="0"/>
        <w:jc w:val="left"/>
      </w:pPr>
      <w:r>
        <w:rPr>
          <w:rFonts w:ascii="Times New Roman" w:hAnsi="Times New Roman" w:eastAsia="黑体"/>
          <w:b/>
          <w:sz w:val="28"/>
        </w:rPr>
        <w:t>摘  要</w:t>
      </w:r>
    </w:p>
    <w:p>
      <w:r>
        <w:rPr>
          <w:rFonts w:ascii="Times New Roman" w:hAnsi="Times New Roman" w:eastAsia="宋体"/>
        </w:rPr>
        <w:t>具身智能体的学习效率是当前人工智能研究的核心挑战之一。强化学习方法虽然取得了显著成就，但面临样本效率低、不可解释、需要海量交互数据等根本性困难。本文提出知几知耻学习范式，其核心创新在于揭示了一个朴素而深刻的洞察：从成功中学习（知几）和从失败中学习（知耻）本质上是同一个模型的对称操作——同一张先验矩阵，成功时施加正强化，失败时施加负抑制。这一机制类似生物神经系统的多巴胺奖赏系统：同一套突触权重在正反馈时增强连接，在负反馈时减弱连接。</w:t>
      </w:r>
    </w:p>
    <w:p>
      <w:r>
        <w:rPr>
          <w:rFonts w:ascii="Times New Roman" w:hAnsi="Times New Roman" w:eastAsia="宋体"/>
          <w:b w:val="0"/>
          <w:i w:val="0"/>
        </w:rPr>
        <w:t>本文的统一学习规则为：</w:t>
      </w:r>
      <w:r>
        <w:rPr>
          <w:rFonts w:ascii="Cambria Math" w:hAnsi="Cambria Math" w:eastAsia="宋体"/>
          <w:b w:val="0"/>
          <w:i/>
        </w:rPr>
        <w:t>K = Ω ⊕ ΔK(trajectory, reward)</w:t>
      </w:r>
      <w:r>
        <w:rPr>
          <w:rFonts w:ascii="Times New Roman" w:hAnsi="Times New Roman" w:eastAsia="宋体"/>
          <w:b w:val="0"/>
          <w:i w:val="0"/>
        </w:rPr>
        <w:t>，其中ΔK是基于轨迹和奖惩信号对先验矩阵的稀疏精确更新。与强化学习在整个参数空间做梯度更新不同，知几知耻只在先验矩阵的特定条目上做精确校准——可解释性使得这种精确定位成为可能。在ALFWorld基准的134个任务上，系统从67.2%（纯静态先验）提升至73.9%（对称校准+持久化），仅需一轮交互即收敛。整个系统仅800行Python代码，零参数量，纯CPU运行，完全确定性。正所谓"一阴一阳之谓道"，知几知耻正是这一哲学在具身学习中的工程实现。</w:t>
      </w:r>
    </w:p>
    <w:p>
      <w:pPr>
        <w:spacing w:before="120"/>
        <w:ind w:firstLine="0"/>
      </w:pPr>
      <w:r>
        <w:rPr>
          <w:rFonts w:ascii="Times New Roman" w:hAnsi="Times New Roman" w:eastAsia="宋体"/>
          <w:b/>
          <w:sz w:val="21"/>
        </w:rPr>
        <w:t>关键词：</w:t>
      </w:r>
      <w:r>
        <w:rPr>
          <w:rFonts w:ascii="Times New Roman" w:hAnsi="Times New Roman" w:eastAsia="宋体"/>
          <w:sz w:val="21"/>
        </w:rPr>
        <w:t>知几知耻学习；对称校准；具身智能；先验知识；可解释性；ALFWorld</w:t>
      </w:r>
    </w:p>
    <w:p>
      <w:pPr>
        <w:pStyle w:val="Heading1"/>
        <w:spacing w:before="240" w:after="120"/>
        <w:ind w:firstLine="0"/>
        <w:jc w:val="left"/>
      </w:pPr>
      <w:r>
        <w:rPr>
          <w:rFonts w:ascii="Times New Roman" w:hAnsi="Times New Roman" w:eastAsia="黑体"/>
          <w:b/>
          <w:sz w:val="28"/>
        </w:rPr>
        <w:t>1  引言</w:t>
      </w:r>
    </w:p>
    <w:p>
      <w:pPr>
        <w:pStyle w:val="Heading2"/>
        <w:spacing w:before="240" w:after="120"/>
        <w:ind w:firstLine="0"/>
        <w:jc w:val="left"/>
      </w:pPr>
      <w:r>
        <w:rPr>
          <w:rFonts w:ascii="Times New Roman" w:hAnsi="Times New Roman" w:eastAsia="黑体"/>
          <w:b/>
          <w:sz w:val="24"/>
        </w:rPr>
        <w:t>1.1  具身学习的困境</w:t>
      </w:r>
    </w:p>
    <w:p>
      <w:r>
        <w:rPr>
          <w:rFonts w:ascii="Times New Roman" w:hAnsi="Times New Roman" w:eastAsia="宋体"/>
          <w:b w:val="0"/>
          <w:i w:val="0"/>
        </w:rPr>
        <w:t>具身智能体需要在物理或虚拟环境中通过交互完成复杂任务。当前主流方法——深度强化学习（Deep RL）——虽然在游戏</w:t>
      </w:r>
      <w:r>
        <w:rPr>
          <w:rFonts w:ascii="Times New Roman" w:hAnsi="Times New Roman" w:eastAsia="宋体"/>
          <w:b w:val="0"/>
          <w:i w:val="0"/>
          <w:vertAlign w:val="superscript"/>
        </w:rPr>
        <w:t>[1]</w:t>
      </w:r>
      <w:r>
        <w:rPr>
          <w:rFonts w:ascii="Times New Roman" w:hAnsi="Times New Roman" w:eastAsia="宋体"/>
          <w:b w:val="0"/>
          <w:i w:val="0"/>
        </w:rPr>
        <w:t>、机器人控制</w:t>
      </w:r>
      <w:r>
        <w:rPr>
          <w:rFonts w:ascii="Times New Roman" w:hAnsi="Times New Roman" w:eastAsia="宋体"/>
          <w:b w:val="0"/>
          <w:i w:val="0"/>
          <w:vertAlign w:val="superscript"/>
        </w:rPr>
        <w:t>[3,4]</w:t>
      </w:r>
      <w:r>
        <w:rPr>
          <w:rFonts w:ascii="Times New Roman" w:hAnsi="Times New Roman" w:eastAsia="宋体"/>
          <w:b w:val="0"/>
          <w:i w:val="0"/>
        </w:rPr>
        <w:t>等领域取得了令人瞩目的成就，但面临三个根本性困境：第一，样本效率极低，通常需要数百万次交互才能学会简单任务</w:t>
      </w:r>
      <w:r>
        <w:rPr>
          <w:rFonts w:ascii="Times New Roman" w:hAnsi="Times New Roman" w:eastAsia="宋体"/>
          <w:b w:val="0"/>
          <w:i w:val="0"/>
          <w:vertAlign w:val="superscript"/>
        </w:rPr>
        <w:t>[2]</w:t>
      </w:r>
      <w:r>
        <w:rPr>
          <w:rFonts w:ascii="Times New Roman" w:hAnsi="Times New Roman" w:eastAsia="宋体"/>
          <w:b w:val="0"/>
          <w:i w:val="0"/>
        </w:rPr>
        <w:t>；第二，决策过程完全不可解释，神经网络的数百万参数无法告诉我们"为什么这样做"</w:t>
      </w:r>
      <w:r>
        <w:rPr>
          <w:rFonts w:ascii="Times New Roman" w:hAnsi="Times New Roman" w:eastAsia="宋体"/>
          <w:b w:val="0"/>
          <w:i w:val="0"/>
          <w:vertAlign w:val="superscript"/>
        </w:rPr>
        <w:t>[6]</w:t>
      </w:r>
      <w:r>
        <w:rPr>
          <w:rFonts w:ascii="Times New Roman" w:hAnsi="Times New Roman" w:eastAsia="宋体"/>
          <w:b w:val="0"/>
          <w:i w:val="0"/>
        </w:rPr>
        <w:t>；第三，对硬件资源需求巨大，限制了在边缘设备上的部署。</w:t>
      </w:r>
    </w:p>
    <w:p>
      <w:r>
        <w:rPr>
          <w:rFonts w:ascii="Times New Roman" w:hAnsi="Times New Roman" w:eastAsia="宋体"/>
        </w:rPr>
        <w:t>这些困境并非工程实现问题，而是范式本身的局限。强化学习的核心假设是：智能体对环境一无所知，必须从零开始通过试错探索来发现规律。这一假设在棋类游戏中是合理的，但在大多数具身任务中过于保守——人类婴儿并不需要摔倒一万次才学会走路，他们利用了丰富的先验知识（身体结构、重力方向、模仿学习）来极大加速学习过程。</w:t>
      </w:r>
    </w:p>
    <w:p>
      <w:pPr>
        <w:pStyle w:val="Heading2"/>
        <w:spacing w:before="240" w:after="120"/>
        <w:ind w:firstLine="0"/>
        <w:jc w:val="left"/>
      </w:pPr>
      <w:r>
        <w:rPr>
          <w:rFonts w:ascii="Times New Roman" w:hAnsi="Times New Roman" w:eastAsia="黑体"/>
          <w:b/>
          <w:sz w:val="24"/>
        </w:rPr>
        <w:t>1.2  一个朴素的洞察：成功和失败是同一硬币的两面</w:t>
      </w:r>
    </w:p>
    <w:p>
      <w:r>
        <w:rPr>
          <w:rFonts w:ascii="Times New Roman" w:hAnsi="Times New Roman" w:eastAsia="宋体"/>
        </w:rPr>
        <w:t>本文的核心洞察极其朴素：成功和失败不是两种不同的学习机制，而是同一种机制的两个方向。考虑一个简单的例子：智能体在厨房中寻找盘子。如果在台面上找到了（成功），它应该增强"盘子-台面"的关联；如果在台面上没有找到（失败），它应该减弱"盘子-台面"的关联。两次学习操作作用于同一张关联表，区别仅在于更新的符号：</w:t>
      </w:r>
    </w:p>
    <w:p>
      <w:r>
        <w:rPr>
          <w:rFonts w:ascii="Times New Roman" w:hAnsi="Times New Roman" w:eastAsia="宋体"/>
          <w:b/>
          <w:i w:val="0"/>
        </w:rPr>
        <w:t>成功：</w:t>
      </w:r>
      <w:r>
        <w:rPr>
          <w:rFonts w:ascii="Times New Roman" w:hAnsi="Times New Roman" w:eastAsia="宋体"/>
          <w:b w:val="0"/>
          <w:i w:val="0"/>
        </w:rPr>
        <w:t>P(plate, countertop) += α  （正强化，告诉你"什么是对的"）</w:t>
      </w:r>
    </w:p>
    <w:p>
      <w:r>
        <w:rPr>
          <w:rFonts w:ascii="Times New Roman" w:hAnsi="Times New Roman" w:eastAsia="宋体"/>
          <w:b/>
          <w:i w:val="0"/>
        </w:rPr>
        <w:t>失败：</w:t>
      </w:r>
      <w:r>
        <w:rPr>
          <w:rFonts w:ascii="Times New Roman" w:hAnsi="Times New Roman" w:eastAsia="宋体"/>
          <w:b w:val="0"/>
          <w:i w:val="0"/>
        </w:rPr>
        <w:t>P(plate, countertop) -= β  （负抑制，告诉你"什么是错的"）</w:t>
      </w:r>
    </w:p>
    <w:p>
      <w:r>
        <w:rPr>
          <w:rFonts w:ascii="Times New Roman" w:hAnsi="Times New Roman" w:eastAsia="宋体"/>
        </w:rPr>
        <w:t>这一洞察的深刻之处在于：它揭示了知几（从成功中学）和知耻（从失败中学）并非两个独立的模块或算法，而是同一个模型的阴阳两面。就像生物神经系统中的多巴胺奖赏机制——同一套突触权重，正反馈（多巴胺释放）增强连接，负反馈（多巴胺抑制）减弱连接。硬件不变，信号方向不同而已。</w:t>
      </w:r>
    </w:p>
    <w:p>
      <w:pPr>
        <w:pStyle w:val="Heading2"/>
        <w:spacing w:before="240" w:after="120"/>
        <w:ind w:firstLine="0"/>
        <w:jc w:val="left"/>
      </w:pPr>
      <w:r>
        <w:rPr>
          <w:rFonts w:ascii="Times New Roman" w:hAnsi="Times New Roman" w:eastAsia="黑体"/>
          <w:b/>
          <w:sz w:val="24"/>
        </w:rPr>
        <w:t>1.3  东方哲学的统一表达</w:t>
      </w:r>
    </w:p>
    <w:p>
      <w:r>
        <w:rPr>
          <w:rFonts w:ascii="Times New Roman" w:hAnsi="Times New Roman" w:eastAsia="宋体"/>
          <w:b w:val="0"/>
          <w:i w:val="0"/>
        </w:rPr>
        <w:t>这一洞察在中国古典哲学中有精确的表达。《周易·系辞上》曰："一阴一阳之谓道"</w:t>
      </w:r>
      <w:r>
        <w:rPr>
          <w:rFonts w:ascii="Times New Roman" w:hAnsi="Times New Roman" w:eastAsia="宋体"/>
          <w:b w:val="0"/>
          <w:i w:val="0"/>
          <w:vertAlign w:val="superscript"/>
        </w:rPr>
        <w:t>[7]</w:t>
      </w:r>
      <w:r>
        <w:rPr>
          <w:rFonts w:ascii="Times New Roman" w:hAnsi="Times New Roman" w:eastAsia="宋体"/>
          <w:b w:val="0"/>
          <w:i w:val="0"/>
        </w:rPr>
        <w:t>——阴阳不是两个独立的实体，而是同一事物的两种状态、同一过程的两个方向。知几知耻正是学习之道的阴阳两面：</w:t>
      </w:r>
    </w:p>
    <w:p>
      <w:r>
        <w:rPr>
          <w:rFonts w:ascii="Times New Roman" w:hAnsi="Times New Roman" w:eastAsia="宋体"/>
          <w:b/>
          <w:i w:val="0"/>
        </w:rPr>
        <w:t>知几其神乎</w:t>
      </w:r>
      <w:r>
        <w:rPr>
          <w:rFonts w:ascii="Times New Roman" w:hAnsi="Times New Roman" w:eastAsia="宋体"/>
          <w:b w:val="0"/>
          <w:i w:val="0"/>
        </w:rPr>
        <w:t>（《系辞下》）——"几"是事物发展的微妙征兆。从成功的征兆中学习，洞察有利的模式并强化之。这是学习的阳面：正向积累。</w:t>
      </w:r>
    </w:p>
    <w:p>
      <w:r>
        <w:rPr>
          <w:rFonts w:ascii="Times New Roman" w:hAnsi="Times New Roman" w:eastAsia="宋体"/>
          <w:b/>
          <w:i w:val="0"/>
        </w:rPr>
        <w:t>知耻近乎勇</w:t>
      </w:r>
      <w:r>
        <w:rPr>
          <w:rFonts w:ascii="Times New Roman" w:hAnsi="Times New Roman" w:eastAsia="宋体"/>
          <w:b w:val="0"/>
          <w:i w:val="0"/>
        </w:rPr>
        <w:t>（《中庸》）——从失败和错误中学习，识别不利的模式并抑制之。这是学习的阴面：负向校正。</w:t>
      </w:r>
    </w:p>
    <w:p>
      <w:r>
        <w:rPr>
          <w:rFonts w:ascii="Times New Roman" w:hAnsi="Times New Roman" w:eastAsia="宋体"/>
        </w:rPr>
        <w:t>阴阳一体，本为同根。它们作用于同一套知识表示（先验矩阵），使用同一种更新规则（加权校准），区别仅在于信号的方向。正如太极图中阴阳鱼共处一圆，知几知耻共享一个模型。</w:t>
      </w:r>
    </w:p>
    <w:p>
      <w:pPr>
        <w:pStyle w:val="Heading2"/>
        <w:spacing w:before="240" w:after="120"/>
        <w:ind w:firstLine="0"/>
        <w:jc w:val="left"/>
      </w:pPr>
      <w:r>
        <w:rPr>
          <w:rFonts w:ascii="Times New Roman" w:hAnsi="Times New Roman" w:eastAsia="黑体"/>
          <w:b/>
          <w:sz w:val="24"/>
        </w:rPr>
        <w:t>1.4  本文贡献</w:t>
      </w:r>
    </w:p>
    <w:p>
      <w:r>
        <w:rPr>
          <w:rFonts w:ascii="Times New Roman" w:hAnsi="Times New Roman" w:eastAsia="宋体"/>
        </w:rPr>
        <w:t>本文的主要贡献如下：</w:t>
      </w:r>
    </w:p>
    <w:p>
      <w:r>
        <w:rPr>
          <w:rFonts w:ascii="Times New Roman" w:hAnsi="Times New Roman" w:eastAsia="宋体"/>
          <w:b/>
          <w:i w:val="0"/>
        </w:rPr>
        <w:t>（1）</w:t>
      </w:r>
      <w:r>
        <w:rPr>
          <w:rFonts w:ascii="Times New Roman" w:hAnsi="Times New Roman" w:eastAsia="宋体"/>
          <w:b w:val="0"/>
          <w:i w:val="0"/>
        </w:rPr>
        <w:t>提出知几知耻学习的统一模型，证明成功学习和失败学习本质是同一模型的对称奖惩操作，而非两个独立机制；</w:t>
      </w:r>
    </w:p>
    <w:p>
      <w:r>
        <w:rPr>
          <w:rFonts w:ascii="Times New Roman" w:hAnsi="Times New Roman" w:eastAsia="宋体"/>
          <w:b/>
          <w:i w:val="0"/>
        </w:rPr>
        <w:t>（2）</w:t>
      </w:r>
      <w:r>
        <w:rPr>
          <w:rFonts w:ascii="Times New Roman" w:hAnsi="Times New Roman" w:eastAsia="宋体"/>
          <w:b w:val="0"/>
          <w:i w:val="0"/>
        </w:rPr>
        <w:t>建立对称校准的数学形式化框架，统一学习规则 K = Ω ⊕ ΔK(D)，并与RL的梯度更新进行本质对比；</w:t>
      </w:r>
    </w:p>
    <w:p>
      <w:r>
        <w:rPr>
          <w:rFonts w:ascii="Times New Roman" w:hAnsi="Times New Roman" w:eastAsia="宋体"/>
          <w:b/>
          <w:i w:val="0"/>
        </w:rPr>
        <w:t>（3）</w:t>
      </w:r>
      <w:r>
        <w:rPr>
          <w:rFonts w:ascii="Times New Roman" w:hAnsi="Times New Roman" w:eastAsia="宋体"/>
          <w:b w:val="0"/>
          <w:i w:val="0"/>
        </w:rPr>
        <w:t>设计五层校准机制的统一接口，展示正向路径和负向路径如何作用于同一组矩阵，区别仅在于更新符号和幅度；</w:t>
      </w:r>
    </w:p>
    <w:p>
      <w:r>
        <w:rPr>
          <w:rFonts w:ascii="Times New Roman" w:hAnsi="Times New Roman" w:eastAsia="宋体"/>
          <w:b/>
          <w:i w:val="0"/>
        </w:rPr>
        <w:t>（4）</w:t>
      </w:r>
      <w:r>
        <w:rPr>
          <w:rFonts w:ascii="Times New Roman" w:hAnsi="Times New Roman" w:eastAsia="宋体"/>
          <w:b w:val="0"/>
          <w:i w:val="0"/>
        </w:rPr>
        <w:t>在ALFWorld基准上验证范式有效性：134个任务从67.2%提升至73.9%，一轮收敛，零参数纯CPU运行；</w:t>
      </w:r>
    </w:p>
    <w:p>
      <w:r>
        <w:rPr>
          <w:rFonts w:ascii="Times New Roman" w:hAnsi="Times New Roman" w:eastAsia="宋体"/>
          <w:b/>
          <w:i w:val="0"/>
        </w:rPr>
        <w:t>（5）</w:t>
      </w:r>
      <w:r>
        <w:rPr>
          <w:rFonts w:ascii="Times New Roman" w:hAnsi="Times New Roman" w:eastAsia="宋体"/>
          <w:b w:val="0"/>
          <w:i w:val="0"/>
        </w:rPr>
        <w:t>揭示可解释性不是附加属性而是高效学习的前提——没有可解释性就无法精确定位更新条目，对称校准将退化为RL。</w:t>
      </w:r>
    </w:p>
    <w:p>
      <w:pPr>
        <w:pStyle w:val="Heading1"/>
        <w:spacing w:before="240" w:after="120"/>
        <w:ind w:firstLine="0"/>
        <w:jc w:val="left"/>
      </w:pPr>
      <w:r>
        <w:rPr>
          <w:rFonts w:ascii="Times New Roman" w:hAnsi="Times New Roman" w:eastAsia="黑体"/>
          <w:b/>
          <w:sz w:val="28"/>
        </w:rPr>
        <w:t>2  统一模型：对称奖惩校准</w:t>
      </w:r>
    </w:p>
    <w:p>
      <w:r>
        <w:rPr>
          <w:rFonts w:ascii="Times New Roman" w:hAnsi="Times New Roman" w:eastAsia="宋体"/>
        </w:rPr>
        <w:t>本章是全文的理论核心。我们将证明：知几学习和知耻学习不是两个独立的算法模块，而是同一个数学模型在奖惩信号方向上的对称实例化。</w:t>
      </w:r>
    </w:p>
    <w:p>
      <w:pPr>
        <w:pStyle w:val="Heading2"/>
        <w:spacing w:before="240" w:after="120"/>
        <w:ind w:firstLine="0"/>
        <w:jc w:val="left"/>
      </w:pPr>
      <w:r>
        <w:rPr>
          <w:rFonts w:ascii="Times New Roman" w:hAnsi="Times New Roman" w:eastAsia="黑体"/>
          <w:b/>
          <w:sz w:val="24"/>
        </w:rPr>
        <w:t>2.1  知识表示：统一先验矩阵</w:t>
      </w:r>
    </w:p>
    <w:p>
      <w:r>
        <w:rPr>
          <w:rFonts w:ascii="Times New Roman" w:hAnsi="Times New Roman" w:eastAsia="宋体"/>
        </w:rPr>
        <w:t>知几知耻学习的知识表示采用一组结构化矩阵，所有学习操作（无论正向还是负向）都作用于这同一组矩阵：</w:t>
      </w:r>
    </w:p>
    <w:p>
      <w:r>
        <w:rPr>
          <w:rFonts w:ascii="Times New Roman" w:hAnsi="Times New Roman" w:eastAsia="宋体"/>
          <w:b/>
          <w:i w:val="0"/>
        </w:rPr>
        <w:t>位置先验矩阵 P(obj, loc)：</w:t>
      </w:r>
      <w:r>
        <w:rPr>
          <w:rFonts w:ascii="Times New Roman" w:hAnsi="Times New Roman" w:eastAsia="宋体"/>
          <w:b w:val="0"/>
          <w:i w:val="0"/>
        </w:rPr>
        <w:t>记录物体出现在特定位置的先验概率估计。每个条目P[obj][loc]是一个实数，正值表示"物体可能在此"，负值表示"物体不在此"。初始值来自人类常识（如plate通常在countertop上），运行时通过成功/失败信号动态更新。同一张表格，成功时做加法，失败时做减法。</w:t>
      </w:r>
    </w:p>
    <w:p>
      <w:r>
        <w:rPr>
          <w:rFonts w:ascii="Times New Roman" w:hAnsi="Times New Roman" w:eastAsia="宋体"/>
          <w:b/>
          <w:i w:val="0"/>
        </w:rPr>
        <w:t>物体匹配矩阵 M(target, entity)：</w:t>
      </w:r>
      <w:r>
        <w:rPr>
          <w:rFonts w:ascii="Times New Roman" w:hAnsi="Times New Roman" w:eastAsia="宋体"/>
          <w:b w:val="0"/>
          <w:i w:val="0"/>
        </w:rPr>
        <w:t>记录任务目标物体与环境中实体的匹配关系。当智能体拿了正确的物体（成功），对应条目被正强化；拿了错误的物体（失败），对应条目被负抑制。同一张表格，两个方向。</w:t>
      </w:r>
    </w:p>
    <w:p>
      <w:r>
        <w:rPr>
          <w:rFonts w:ascii="Times New Roman" w:hAnsi="Times New Roman" w:eastAsia="宋体"/>
          <w:b/>
          <w:i w:val="0"/>
        </w:rPr>
        <w:t>同义词映射 S(word → set)：</w:t>
      </w:r>
      <w:r>
        <w:rPr>
          <w:rFonts w:ascii="Times New Roman" w:hAnsi="Times New Roman" w:eastAsia="宋体"/>
          <w:b w:val="0"/>
          <w:i w:val="0"/>
        </w:rPr>
        <w:t>从观察中累积的等价名称集合。这是客观事实记录，不区分成败——无论任务成功与否，观察到"vault"和"safe"指向同一物体就记录下来。</w:t>
      </w:r>
    </w:p>
    <w:p>
      <w:r>
        <w:rPr>
          <w:rFonts w:ascii="Times New Roman" w:hAnsi="Times New Roman" w:eastAsia="宋体"/>
          <w:b/>
          <w:i w:val="0"/>
        </w:rPr>
        <w:t>场景记忆：</w:t>
      </w:r>
      <w:r>
        <w:rPr>
          <w:rFonts w:ascii="Times New Roman" w:hAnsi="Times New Roman" w:eastAsia="宋体"/>
          <w:b w:val="0"/>
          <w:i w:val="0"/>
        </w:rPr>
        <w:t>客观环境状态的快照记录，包括容器的开关状态、已探索的位置等。同样不区分成败，是纯粹的事实积累。</w:t>
      </w:r>
    </w:p>
    <w:p>
      <w:r>
        <w:rPr>
          <w:rFonts w:ascii="Times New Roman" w:hAnsi="Times New Roman" w:eastAsia="宋体"/>
        </w:rPr>
        <w:t>核心要点：P矩阵和M矩阵是知几知耻对称操作的载体，S映射和场景记忆是与成败无关的客观知识。整个知识表示是一个统一的结构，不存在"知几专用"或"知耻专用"的分离存储。</w:t>
      </w:r>
    </w:p>
    <w:p>
      <w:pPr>
        <w:pStyle w:val="Heading2"/>
        <w:spacing w:before="240" w:after="120"/>
        <w:ind w:firstLine="0"/>
        <w:jc w:val="left"/>
      </w:pPr>
      <w:r>
        <w:rPr>
          <w:rFonts w:ascii="Times New Roman" w:hAnsi="Times New Roman" w:eastAsia="黑体"/>
          <w:b/>
          <w:sz w:val="24"/>
        </w:rPr>
        <w:t>2.2  对称校准公式</w:t>
      </w:r>
    </w:p>
    <w:p>
      <w:r>
        <w:rPr>
          <w:rFonts w:ascii="Times New Roman" w:hAnsi="Times New Roman" w:eastAsia="宋体"/>
        </w:rPr>
        <w:t>统一学习规则的核心算法可以用以下伪代码精确描述：</w:t>
      </w:r>
    </w:p>
    <w:p>
      <w:pPr>
        <w:spacing w:after="0" w:before="0" w:line="240" w:lineRule="auto"/>
        <w:ind w:firstLine="0" w:left="283"/>
      </w:pPr>
      <w:r>
        <w:rPr>
          <w:rFonts w:ascii="Consolas" w:hAnsi="Consolas" w:eastAsia="Consolas"/>
          <w:sz w:val="18"/>
        </w:rPr>
        <w:t>def observe(trajectory, won):</w:t>
      </w:r>
    </w:p>
    <w:p>
      <w:pPr>
        <w:spacing w:after="0" w:before="0" w:line="240" w:lineRule="auto"/>
        <w:ind w:firstLine="0" w:left="283"/>
      </w:pPr>
      <w:r>
        <w:rPr>
          <w:rFonts w:ascii="Consolas" w:hAnsi="Consolas" w:eastAsia="Consolas"/>
          <w:sz w:val="18"/>
        </w:rPr>
        <w:t xml:space="preserve">    reward = +1.0 if won else -1.0</w:t>
      </w:r>
    </w:p>
    <w:p>
      <w:pPr>
        <w:spacing w:after="0" w:before="0" w:line="240" w:lineRule="auto"/>
        <w:ind w:firstLine="0" w:left="283"/>
      </w:pPr>
      <w:r>
        <w:rPr>
          <w:rFonts w:ascii="Consolas" w:hAnsi="Consolas" w:eastAsia="Consolas"/>
          <w:sz w:val="18"/>
        </w:rPr>
        <w:t xml:space="preserve">    for each (obj, loc) observed in trajectory:</w:t>
      </w:r>
    </w:p>
    <w:p>
      <w:pPr>
        <w:spacing w:after="0" w:before="0" w:line="240" w:lineRule="auto"/>
        <w:ind w:firstLine="0" w:left="283"/>
      </w:pPr>
      <w:r>
        <w:rPr>
          <w:rFonts w:ascii="Consolas" w:hAnsi="Consolas" w:eastAsia="Consolas"/>
          <w:sz w:val="18"/>
        </w:rPr>
        <w:t xml:space="preserve">        P[obj][loc] += reward * alpha</w:t>
      </w:r>
    </w:p>
    <w:p>
      <w:pPr>
        <w:spacing w:after="0" w:before="0" w:line="240" w:lineRule="auto"/>
        <w:ind w:firstLine="0" w:left="283"/>
      </w:pPr>
      <w:r>
        <w:rPr>
          <w:rFonts w:ascii="Consolas" w:hAnsi="Consolas" w:eastAsia="Consolas"/>
          <w:sz w:val="18"/>
        </w:rPr>
        <w:t xml:space="preserve">    for each (target, taken_entity) in trajectory:</w:t>
      </w:r>
    </w:p>
    <w:p>
      <w:pPr>
        <w:spacing w:after="0" w:before="0" w:line="240" w:lineRule="auto"/>
        <w:ind w:firstLine="0" w:left="283"/>
      </w:pPr>
      <w:r>
        <w:rPr>
          <w:rFonts w:ascii="Consolas" w:hAnsi="Consolas" w:eastAsia="Consolas"/>
          <w:sz w:val="18"/>
        </w:rPr>
        <w:t xml:space="preserve">        M[target][entity] += reward * beta</w:t>
      </w:r>
    </w:p>
    <w:p>
      <w:r>
        <w:rPr>
          <w:rFonts w:ascii="Times New Roman" w:hAnsi="Times New Roman" w:eastAsia="宋体"/>
        </w:rPr>
        <w:t>这段代码揭示了对称性的本质：无论成功还是失败，执行的是完全相同的代码路径，唯一的区别是reward的符号。成功时reward=+1，所有被观察到的条目被正强化；失败时reward=-1，所有被观察到的条目被负抑制。</w:t>
      </w:r>
    </w:p>
    <w:p>
      <w:r>
        <w:rPr>
          <w:rFonts w:ascii="Times New Roman" w:hAnsi="Times New Roman" w:eastAsia="宋体"/>
          <w:b/>
          <w:i w:val="0"/>
        </w:rPr>
        <w:t>与RL的关键区别：</w:t>
      </w:r>
    </w:p>
    <w:p>
      <w:r>
        <w:rPr>
          <w:rFonts w:ascii="Times New Roman" w:hAnsi="Times New Roman" w:eastAsia="宋体"/>
          <w:b/>
          <w:i w:val="0"/>
        </w:rPr>
        <w:t>RL的更新规则：</w:t>
      </w:r>
      <w:r>
        <w:rPr>
          <w:rFonts w:ascii="Cambria Math" w:hAnsi="Cambria Math" w:eastAsia="宋体"/>
          <w:b w:val="0"/>
          <w:i/>
        </w:rPr>
        <w:t>θ ← θ - η∇L(θ)</w:t>
      </w:r>
      <w:r>
        <w:rPr>
          <w:rFonts w:ascii="Times New Roman" w:hAnsi="Times New Roman" w:eastAsia="宋体"/>
          <w:b w:val="0"/>
          <w:i w:val="0"/>
        </w:rPr>
        <w:t xml:space="preserve"> ——对整个参数空间（通常数百万维）做梯度更新，每个参数都被微调。</w:t>
      </w:r>
    </w:p>
    <w:p>
      <w:r>
        <w:rPr>
          <w:rFonts w:ascii="Times New Roman" w:hAnsi="Times New Roman" w:eastAsia="宋体"/>
          <w:b/>
          <w:i w:val="0"/>
        </w:rPr>
        <w:t>本文的更新规则：</w:t>
      </w:r>
      <w:r>
        <w:rPr>
          <w:rFonts w:ascii="Cambria Math" w:hAnsi="Cambria Math" w:eastAsia="宋体"/>
          <w:b w:val="0"/>
          <w:i/>
        </w:rPr>
        <w:t>P[obj][loc] += reward × α</w:t>
      </w:r>
      <w:r>
        <w:rPr>
          <w:rFonts w:ascii="Times New Roman" w:hAnsi="Times New Roman" w:eastAsia="宋体"/>
          <w:b w:val="0"/>
          <w:i w:val="0"/>
        </w:rPr>
        <w:t xml:space="preserve"> ——只更新被观察到的特定条目（通常1-5个），其余条目完全不变。</w:t>
      </w:r>
    </w:p>
    <w:p>
      <w:r>
        <w:rPr>
          <w:rFonts w:ascii="Times New Roman" w:hAnsi="Times New Roman" w:eastAsia="宋体"/>
        </w:rPr>
        <w:t>本质差异：精确更新 vs 全局梯度。一个是外科手术式的定点修正，一个是对全身施加微弱电流。前者的信息效率比后者高出数个数量级。</w:t>
      </w:r>
    </w:p>
    <w:p>
      <w:pPr>
        <w:pStyle w:val="Heading2"/>
        <w:spacing w:before="240" w:after="120"/>
        <w:ind w:firstLine="0"/>
        <w:jc w:val="left"/>
      </w:pPr>
      <w:r>
        <w:rPr>
          <w:rFonts w:ascii="Times New Roman" w:hAnsi="Times New Roman" w:eastAsia="黑体"/>
          <w:b/>
          <w:sz w:val="24"/>
        </w:rPr>
        <w:t>2.3  生物学类比：多巴胺奖赏系统</w:t>
      </w:r>
    </w:p>
    <w:p>
      <w:r>
        <w:rPr>
          <w:rFonts w:ascii="Times New Roman" w:hAnsi="Times New Roman" w:eastAsia="宋体"/>
          <w:b w:val="0"/>
          <w:i w:val="0"/>
        </w:rPr>
        <w:t>知几知耻的对称机制在生物神经系统中有精确的对应物——多巴胺奖赏预测误差系统</w:t>
      </w:r>
      <w:r>
        <w:rPr>
          <w:rFonts w:ascii="Times New Roman" w:hAnsi="Times New Roman" w:eastAsia="宋体"/>
          <w:b w:val="0"/>
          <w:i w:val="0"/>
          <w:vertAlign w:val="superscript"/>
        </w:rPr>
        <w:t>[16]</w:t>
      </w:r>
      <w:r>
        <w:rPr>
          <w:rFonts w:ascii="Times New Roman" w:hAnsi="Times New Roman" w:eastAsia="宋体"/>
          <w:b w:val="0"/>
          <w:i w:val="0"/>
        </w:rPr>
        <w:t>。Schultz等人在1998年的经典研究中发现：中脑多巴胺神经元对奖赏预测误差（Reward Prediction Error, RPE）做出编码，而非对奖赏本身。具体而言：</w:t>
      </w:r>
    </w:p>
    <w:p>
      <w:r>
        <w:rPr>
          <w:rFonts w:ascii="Times New Roman" w:hAnsi="Times New Roman" w:eastAsia="宋体"/>
          <w:b/>
          <w:i w:val="0"/>
        </w:rPr>
        <w:t>正RPE（奖赏超出预期）：</w:t>
      </w:r>
      <w:r>
        <w:rPr>
          <w:rFonts w:ascii="Times New Roman" w:hAnsi="Times New Roman" w:eastAsia="宋体"/>
          <w:b w:val="0"/>
          <w:i w:val="0"/>
        </w:rPr>
        <w:t>多巴胺神经元爆发放电，释放多巴胺到突触间隙，增强相关突触连接的权重。对应知几：成功超出预期时，强化导致成功的行为-环境关联。</w:t>
      </w:r>
    </w:p>
    <w:p>
      <w:r>
        <w:rPr>
          <w:rFonts w:ascii="Times New Roman" w:hAnsi="Times New Roman" w:eastAsia="宋体"/>
          <w:b/>
          <w:i w:val="0"/>
        </w:rPr>
        <w:t>负RPE（奖赏低于预期）：</w:t>
      </w:r>
      <w:r>
        <w:rPr>
          <w:rFonts w:ascii="Times New Roman" w:hAnsi="Times New Roman" w:eastAsia="宋体"/>
          <w:b w:val="0"/>
          <w:i w:val="0"/>
        </w:rPr>
        <w:t>多巴胺神经元暂停放电，突触间隙多巴胺浓度下降，削弱相关突触连接的权重。对应知耻：失败时，削弱导致失败的行为-环境关联。</w:t>
      </w:r>
    </w:p>
    <w:p>
      <w:r>
        <w:rPr>
          <w:rFonts w:ascii="Times New Roman" w:hAnsi="Times New Roman" w:eastAsia="宋体"/>
          <w:b/>
          <w:i w:val="0"/>
        </w:rPr>
        <w:t>关键相似性：</w:t>
      </w:r>
      <w:r>
        <w:rPr>
          <w:rFonts w:ascii="Times New Roman" w:hAnsi="Times New Roman" w:eastAsia="宋体"/>
          <w:b w:val="0"/>
          <w:i w:val="0"/>
        </w:rPr>
        <w:t>同一套突触硬件，同一组突触权重，正负信号通过同一套分子机制（多巴胺受体的D1/D2通路）实现对称调制。知几知耻的先验矩阵正是这套突触权重的工程抽象——同一张表格，+α和-β通过同一行代码实现。</w:t>
      </w:r>
    </w:p>
    <w:p>
      <w:pPr>
        <w:pStyle w:val="Heading2"/>
        <w:spacing w:before="240" w:after="120"/>
        <w:ind w:firstLine="0"/>
        <w:jc w:val="left"/>
      </w:pPr>
      <w:r>
        <w:rPr>
          <w:rFonts w:ascii="Times New Roman" w:hAnsi="Times New Roman" w:eastAsia="黑体"/>
          <w:b/>
          <w:sz w:val="24"/>
        </w:rPr>
        <w:t>2.4  可解释性的关键作用</w:t>
      </w:r>
    </w:p>
    <w:p>
      <w:r>
        <w:rPr>
          <w:rFonts w:ascii="Times New Roman" w:hAnsi="Times New Roman" w:eastAsia="宋体"/>
        </w:rPr>
        <w:t>对称校准之所以能如此高效，有一个常被忽视的前提：整个决策链必须是完全透明可解释的。只有当我们能精确知道"智能体为什么去了countertop找plate"（因为P[plate][countertop]的值最高），才能在失败后精确定位到P[plate][countertop]这个条目并施加负校准。</w:t>
      </w:r>
    </w:p>
    <w:p>
      <w:r>
        <w:rPr>
          <w:rFonts w:ascii="Times New Roman" w:hAnsi="Times New Roman" w:eastAsia="宋体"/>
        </w:rPr>
        <w:t>如果决策过程是一个黑箱神经网络，我们只知道"网络输出了go-to-countertop"，但不知道这个输出依赖于数百万参数中的哪些，那么失败信号只能通过反向传播梯度的方式"模糊地"传递到所有参数上——这正是RL的做法，也是其低效的根源。</w:t>
      </w:r>
    </w:p>
    <w:p>
      <w:r>
        <w:rPr>
          <w:rFonts w:ascii="Times New Roman" w:hAnsi="Times New Roman" w:eastAsia="宋体"/>
        </w:rPr>
        <w:t>因此，可解释性在知几知耻范式中不是一个"附加的好处"，而是高效学习的逻辑前提：</w:t>
      </w:r>
    </w:p>
    <w:p>
      <w:pPr>
        <w:spacing w:before="120" w:after="120"/>
        <w:ind w:firstLine="0"/>
        <w:jc w:val="center"/>
      </w:pPr>
      <w:r>
        <w:rPr>
          <w:rFonts w:ascii="Cambria Math" w:hAnsi="Cambria Math" w:eastAsia="Cambria Math"/>
          <w:i/>
          <w:sz w:val="22"/>
        </w:rPr>
        <w:t>可解释性 → 精确定位更新条目 → 对称校准高效</w:t>
      </w:r>
    </w:p>
    <w:p>
      <w:r>
        <w:rPr>
          <w:rFonts w:ascii="Times New Roman" w:hAnsi="Times New Roman" w:eastAsia="宋体"/>
        </w:rPr>
        <w:t>没有可解释性，对称校准就退化为RL。这是一个深刻的理论结论：可解释性和学习效率不是独立的属性，而是因果关联的——前者是后者的充分条件。</w:t>
      </w:r>
    </w:p>
    <w:p>
      <w:pPr>
        <w:pStyle w:val="Heading2"/>
        <w:spacing w:before="240" w:after="120"/>
        <w:ind w:firstLine="0"/>
        <w:jc w:val="left"/>
      </w:pPr>
      <w:r>
        <w:rPr>
          <w:rFonts w:ascii="Times New Roman" w:hAnsi="Times New Roman" w:eastAsia="黑体"/>
          <w:b/>
          <w:sz w:val="24"/>
        </w:rPr>
        <w:t>2.5  数学形式化</w:t>
      </w:r>
    </w:p>
    <w:p>
      <w:r>
        <w:rPr>
          <w:rFonts w:ascii="Times New Roman" w:hAnsi="Times New Roman" w:eastAsia="宋体"/>
        </w:rPr>
        <w:t>设系统知识状态为K，初始先验为Ω，交互数据集为D = {(trajectory_i, reward_i)}，则学习过程的数学表达为：</w:t>
      </w:r>
    </w:p>
    <w:p>
      <w:pPr>
        <w:spacing w:before="120" w:after="120"/>
        <w:ind w:firstLine="0"/>
        <w:jc w:val="center"/>
      </w:pPr>
      <w:r>
        <w:rPr>
          <w:rFonts w:ascii="Cambria Math" w:hAnsi="Cambria Math" w:eastAsia="Cambria Math"/>
          <w:i/>
          <w:sz w:val="22"/>
        </w:rPr>
        <w:t>K = Ω ⊕ ΔK(D)</w:t>
      </w:r>
    </w:p>
    <w:p>
      <w:r>
        <w:rPr>
          <w:rFonts w:ascii="Times New Roman" w:hAnsi="Times New Roman" w:eastAsia="宋体"/>
        </w:rPr>
        <w:t>其中知识增量ΔK的具体形式为：</w:t>
      </w:r>
    </w:p>
    <w:p>
      <w:pPr>
        <w:spacing w:before="120" w:after="120"/>
        <w:ind w:firstLine="0"/>
        <w:jc w:val="center"/>
      </w:pPr>
      <w:r>
        <w:rPr>
          <w:rFonts w:ascii="Cambria Math" w:hAnsi="Cambria Math" w:eastAsia="Cambria Math"/>
          <w:i/>
          <w:sz w:val="22"/>
        </w:rPr>
        <w:t>ΔK(D) = Σ_i  reward_i × δ(observed_i)</w:t>
      </w:r>
    </w:p>
    <w:p>
      <w:r>
        <w:rPr>
          <w:rFonts w:ascii="Times New Roman" w:hAnsi="Times New Roman" w:eastAsia="宋体"/>
          <w:b w:val="0"/>
          <w:i w:val="0"/>
        </w:rPr>
        <w:t>这里δ(observed_i)是一个</w:t>
      </w:r>
      <w:r>
        <w:rPr>
          <w:rFonts w:ascii="Times New Roman" w:hAnsi="Times New Roman" w:eastAsia="宋体"/>
          <w:b/>
          <w:i w:val="0"/>
        </w:rPr>
        <w:t>稀疏向量</w:t>
      </w:r>
      <w:r>
        <w:rPr>
          <w:rFonts w:ascii="Times New Roman" w:hAnsi="Times New Roman" w:eastAsia="宋体"/>
          <w:b w:val="0"/>
          <w:i w:val="0"/>
        </w:rPr>
        <w:t>——只在当前轨迹中被观察到的矩阵条目上非零，其余位置为零。这意味着每次更新只影响极少数条目（通常1-5个），而非整个知识空间。</w:t>
      </w:r>
    </w:p>
    <w:p>
      <w:r>
        <w:rPr>
          <w:rFonts w:ascii="Times New Roman" w:hAnsi="Times New Roman" w:eastAsia="宋体"/>
        </w:rPr>
        <w:t>对比RL的样本复杂度。设知识空间维度为N，有效条目数为K（K远小于N）：</w:t>
      </w:r>
    </w:p>
    <w:p>
      <w:pPr>
        <w:spacing w:before="120" w:after="120"/>
        <w:ind w:firstLine="0"/>
        <w:jc w:val="center"/>
      </w:pPr>
      <w:r>
        <w:rPr>
          <w:rFonts w:ascii="Cambria Math" w:hAnsi="Cambria Math" w:eastAsia="Cambria Math"/>
          <w:i/>
          <w:sz w:val="22"/>
        </w:rPr>
        <w:t>RL样本复杂度：O(ε^{-N})  （需要遍历整个参数空间）</w:t>
      </w:r>
    </w:p>
    <w:p>
      <w:pPr>
        <w:spacing w:before="120" w:after="120"/>
        <w:ind w:firstLine="0"/>
        <w:jc w:val="center"/>
      </w:pPr>
      <w:r>
        <w:rPr>
          <w:rFonts w:ascii="Cambria Math" w:hAnsi="Cambria Math" w:eastAsia="Cambria Math"/>
          <w:i/>
          <w:sz w:val="22"/>
        </w:rPr>
        <w:t>知几知耻样本复杂度：O(ε^{-K})  （只需覆盖有效条目）</w:t>
      </w:r>
    </w:p>
    <w:p>
      <w:r>
        <w:rPr>
          <w:rFonts w:ascii="Times New Roman" w:hAnsi="Times New Roman" w:eastAsia="宋体"/>
          <w:b w:val="0"/>
          <w:i w:val="0"/>
        </w:rPr>
        <w:t>由于K ≪ N（在ALFWorld中，有效条目约200个，而等价RL参数空间为10</w:t>
      </w:r>
      <w:r>
        <w:rPr>
          <w:rFonts w:ascii="Times New Roman" w:hAnsi="Times New Roman" w:eastAsia="宋体"/>
          <w:b w:val="0"/>
          <w:i w:val="0"/>
          <w:vertAlign w:val="superscript"/>
        </w:rPr>
        <w:t>6</w:t>
      </w:r>
      <w:r>
        <w:rPr>
          <w:rFonts w:ascii="Times New Roman" w:hAnsi="Times New Roman" w:eastAsia="宋体"/>
          <w:b w:val="0"/>
          <w:i w:val="0"/>
        </w:rPr>
        <w:t>量级），知几知耻的样本效率比RL高出数个数量级。这不是常数因子的改进，而是指数级的降维。</w:t>
      </w:r>
    </w:p>
    <w:p>
      <w:pPr>
        <w:pStyle w:val="Heading1"/>
        <w:spacing w:before="240" w:after="120"/>
        <w:ind w:firstLine="0"/>
        <w:jc w:val="left"/>
      </w:pPr>
      <w:r>
        <w:rPr>
          <w:rFonts w:ascii="Times New Roman" w:hAnsi="Times New Roman" w:eastAsia="黑体"/>
          <w:b/>
          <w:sz w:val="28"/>
        </w:rPr>
        <w:t>3  五层校准机制</w:t>
      </w:r>
    </w:p>
    <w:p>
      <w:r>
        <w:rPr>
          <w:rFonts w:ascii="Times New Roman" w:hAnsi="Times New Roman" w:eastAsia="宋体"/>
        </w:rPr>
        <w:t>上一章建立了统一模型的理论框架，本章展示其工程实现：如何将对称校准原理具体化为一个优雅的五层机制。</w:t>
      </w:r>
    </w:p>
    <w:p>
      <w:pPr>
        <w:pStyle w:val="Heading2"/>
        <w:spacing w:before="240" w:after="120"/>
        <w:ind w:firstLine="0"/>
        <w:jc w:val="left"/>
      </w:pPr>
      <w:r>
        <w:rPr>
          <w:rFonts w:ascii="Times New Roman" w:hAnsi="Times New Roman" w:eastAsia="黑体"/>
          <w:b/>
          <w:sz w:val="24"/>
        </w:rPr>
        <w:t>3.1  统一接口设计</w:t>
      </w:r>
    </w:p>
    <w:p>
      <w:r>
        <w:rPr>
          <w:rFonts w:ascii="Times New Roman" w:hAnsi="Times New Roman" w:eastAsia="宋体"/>
        </w:rPr>
        <w:t>五层校准机制的入口是一个统一的observe函数，它体现了知几知耻的对称本质：</w:t>
      </w:r>
    </w:p>
    <w:p>
      <w:pPr>
        <w:spacing w:after="0" w:before="0" w:line="240" w:lineRule="auto"/>
        <w:ind w:firstLine="0" w:left="283"/>
      </w:pPr>
      <w:r>
        <w:rPr>
          <w:rFonts w:ascii="Consolas" w:hAnsi="Consolas" w:eastAsia="Consolas"/>
          <w:sz w:val="18"/>
        </w:rPr>
        <w:t>def observe(trajectory, won, agent_state, scene, task_desc):</w:t>
      </w:r>
    </w:p>
    <w:p>
      <w:pPr>
        <w:spacing w:after="0" w:before="0" w:line="240" w:lineRule="auto"/>
        <w:ind w:firstLine="0" w:left="283"/>
      </w:pPr>
      <w:r>
        <w:rPr>
          <w:rFonts w:ascii="Consolas" w:hAnsi="Consolas" w:eastAsia="Consolas"/>
          <w:sz w:val="18"/>
        </w:rPr>
        <w:t xml:space="preserve">    reward = +1.0 if won else -1.0</w:t>
      </w:r>
    </w:p>
    <w:p>
      <w:pPr>
        <w:spacing w:after="0" w:before="0" w:line="240" w:lineRule="auto"/>
        <w:ind w:firstLine="0" w:left="283"/>
      </w:pPr>
      <w:r>
        <w:rPr>
          <w:rFonts w:ascii="Consolas" w:hAnsi="Consolas" w:eastAsia="Consolas"/>
          <w:sz w:val="18"/>
        </w:rPr>
        <w:t xml:space="preserve">    shared_path(trajectory, reward)     # 成败都走：客观事实</w:t>
      </w:r>
    </w:p>
    <w:p>
      <w:pPr>
        <w:spacing w:after="0" w:before="0" w:line="240" w:lineRule="auto"/>
        <w:ind w:firstLine="0" w:left="283"/>
      </w:pPr>
      <w:r>
        <w:rPr>
          <w:rFonts w:ascii="Consolas" w:hAnsi="Consolas" w:eastAsia="Consolas"/>
          <w:sz w:val="18"/>
        </w:rPr>
        <w:t xml:space="preserve">    if won:</w:t>
      </w:r>
    </w:p>
    <w:p>
      <w:pPr>
        <w:spacing w:after="0" w:before="0" w:line="240" w:lineRule="auto"/>
        <w:ind w:firstLine="0" w:left="283"/>
      </w:pPr>
      <w:r>
        <w:rPr>
          <w:rFonts w:ascii="Consolas" w:hAnsi="Consolas" w:eastAsia="Consolas"/>
          <w:sz w:val="18"/>
        </w:rPr>
        <w:t xml:space="preserve">        zhiji_path(trajectory)          # 正向特有：知几</w:t>
      </w:r>
    </w:p>
    <w:p>
      <w:pPr>
        <w:spacing w:after="0" w:before="0" w:line="240" w:lineRule="auto"/>
        <w:ind w:firstLine="0" w:left="283"/>
      </w:pPr>
      <w:r>
        <w:rPr>
          <w:rFonts w:ascii="Consolas" w:hAnsi="Consolas" w:eastAsia="Consolas"/>
          <w:sz w:val="18"/>
        </w:rPr>
        <w:t xml:space="preserve">    if not won:</w:t>
      </w:r>
    </w:p>
    <w:p>
      <w:pPr>
        <w:spacing w:after="0" w:before="0" w:line="240" w:lineRule="auto"/>
        <w:ind w:firstLine="0" w:left="283"/>
      </w:pPr>
      <w:r>
        <w:rPr>
          <w:rFonts w:ascii="Consolas" w:hAnsi="Consolas" w:eastAsia="Consolas"/>
          <w:sz w:val="18"/>
        </w:rPr>
        <w:t xml:space="preserve">        zhichi_path(trajectory)         # 负向特有：知耻</w:t>
      </w:r>
    </w:p>
    <w:p>
      <w:r>
        <w:rPr>
          <w:rFonts w:ascii="Times New Roman" w:hAnsi="Times New Roman" w:eastAsia="宋体"/>
        </w:rPr>
        <w:t>这个接口的设计揭示了三个层次：（1）共享路径处理与成败无关的客观事实；（2）正向路径处理成功信号；（3）负向路径处理失败信号。正向和负向路径本质上操作同一组矩阵，只是更新方向不同。</w:t>
      </w:r>
    </w:p>
    <w:p>
      <w:pPr>
        <w:pStyle w:val="Heading2"/>
        <w:spacing w:before="240" w:after="120"/>
        <w:ind w:firstLine="0"/>
        <w:jc w:val="left"/>
      </w:pPr>
      <w:r>
        <w:rPr>
          <w:rFonts w:ascii="Times New Roman" w:hAnsi="Times New Roman" w:eastAsia="黑体"/>
          <w:b/>
          <w:sz w:val="24"/>
        </w:rPr>
        <w:t>3.2  共享路径：客观事实提取</w:t>
      </w:r>
    </w:p>
    <w:p>
      <w:r>
        <w:rPr>
          <w:rFonts w:ascii="Times New Roman" w:hAnsi="Times New Roman" w:eastAsia="宋体"/>
        </w:rPr>
        <w:t>无论任务成功还是失败，智能体都会观察到环境中的客观事实。共享路径负责提取这些不依赖于成败判断的信息：</w:t>
      </w:r>
    </w:p>
    <w:p>
      <w:r>
        <w:rPr>
          <w:rFonts w:ascii="Times New Roman" w:hAnsi="Times New Roman" w:eastAsia="宋体"/>
          <w:b/>
          <w:i w:val="0"/>
        </w:rPr>
        <w:t>同义词学习：</w:t>
      </w:r>
      <w:r>
        <w:rPr>
          <w:rFonts w:ascii="Times New Roman" w:hAnsi="Times New Roman" w:eastAsia="宋体"/>
          <w:b w:val="0"/>
          <w:i w:val="0"/>
        </w:rPr>
        <w:t>当智能体在环境中观察到某个实体的名称与任务描述中的目标名称指向同一物体时，记录它们的等价关系。例如，观察到"vault"实际上就是"safe"，无论任务最终成功与否，这个事实都是有价值的。</w:t>
      </w:r>
    </w:p>
    <w:p>
      <w:r>
        <w:rPr>
          <w:rFonts w:ascii="Times New Roman" w:hAnsi="Times New Roman" w:eastAsia="宋体"/>
          <w:b/>
          <w:i w:val="0"/>
        </w:rPr>
        <w:t>场景结构记忆：</w:t>
      </w:r>
      <w:r>
        <w:rPr>
          <w:rFonts w:ascii="Times New Roman" w:hAnsi="Times New Roman" w:eastAsia="宋体"/>
          <w:b w:val="0"/>
          <w:i w:val="0"/>
        </w:rPr>
        <w:t>记录容器的开关状态（如"cabinet 1 is open"）、已探索位置的物体列表、空位置标记等。这些是环境的客观描述，为后续决策提供信息基础。</w:t>
      </w:r>
    </w:p>
    <w:p>
      <w:pPr>
        <w:pStyle w:val="Heading2"/>
        <w:spacing w:before="240" w:after="120"/>
        <w:ind w:firstLine="0"/>
        <w:jc w:val="left"/>
      </w:pPr>
      <w:r>
        <w:rPr>
          <w:rFonts w:ascii="Times New Roman" w:hAnsi="Times New Roman" w:eastAsia="黑体"/>
          <w:b/>
          <w:sz w:val="24"/>
        </w:rPr>
        <w:t>3.3  正向路径（知几，reward = +1）</w:t>
      </w:r>
    </w:p>
    <w:p>
      <w:r>
        <w:rPr>
          <w:rFonts w:ascii="Times New Roman" w:hAnsi="Times New Roman" w:eastAsia="宋体"/>
        </w:rPr>
        <w:t>当任务成功时，正向路径执行以下正强化操作：</w:t>
      </w:r>
    </w:p>
    <w:p>
      <w:r>
        <w:rPr>
          <w:rFonts w:ascii="Times New Roman" w:hAnsi="Times New Roman" w:eastAsia="宋体"/>
          <w:b/>
          <w:i w:val="0"/>
        </w:rPr>
        <w:t>位置矩阵正强化：</w:t>
      </w:r>
      <w:r>
        <w:rPr>
          <w:rFonts w:ascii="Times New Roman" w:hAnsi="Times New Roman" w:eastAsia="宋体"/>
          <w:b w:val="0"/>
          <w:i w:val="0"/>
        </w:rPr>
        <w:t>对于轨迹中成功找到物体的每个(obj, loc)对，执行P[obj][loc] += 1.0。这强化了"物体在此位置"的信念。</w:t>
      </w:r>
    </w:p>
    <w:p>
      <w:r>
        <w:rPr>
          <w:rFonts w:ascii="Times New Roman" w:hAnsi="Times New Roman" w:eastAsia="宋体"/>
          <w:b/>
          <w:i w:val="0"/>
        </w:rPr>
        <w:t>物体匹配确认：</w:t>
      </w:r>
      <w:r>
        <w:rPr>
          <w:rFonts w:ascii="Times New Roman" w:hAnsi="Times New Roman" w:eastAsia="宋体"/>
          <w:b w:val="0"/>
          <w:i w:val="0"/>
        </w:rPr>
        <w:t>对于轨迹中正确拿取的物体对(target, entity)，执行M[target][entity] += 1.0。这确认了目标物体与环境实体的正确对应关系。</w:t>
      </w:r>
    </w:p>
    <w:p>
      <w:r>
        <w:rPr>
          <w:rFonts w:ascii="Times New Roman" w:hAnsi="Times New Roman" w:eastAsia="宋体"/>
          <w:b/>
          <w:i w:val="0"/>
        </w:rPr>
        <w:t>场景物体定位：</w:t>
      </w:r>
      <w:r>
        <w:rPr>
          <w:rFonts w:ascii="Times New Roman" w:hAnsi="Times New Roman" w:eastAsia="宋体"/>
          <w:b w:val="0"/>
          <w:i w:val="0"/>
        </w:rPr>
        <w:t>成功轨迹中物体的确切位置被记录为高置信度事实，为后续相同任务提供直接指引。</w:t>
      </w:r>
    </w:p>
    <w:p>
      <w:pPr>
        <w:pStyle w:val="Heading2"/>
        <w:spacing w:before="240" w:after="120"/>
        <w:ind w:firstLine="0"/>
        <w:jc w:val="left"/>
      </w:pPr>
      <w:r>
        <w:rPr>
          <w:rFonts w:ascii="Times New Roman" w:hAnsi="Times New Roman" w:eastAsia="黑体"/>
          <w:b/>
          <w:sz w:val="24"/>
        </w:rPr>
        <w:t>3.4  负向路径（知耻，reward = -1）</w:t>
      </w:r>
    </w:p>
    <w:p>
      <w:r>
        <w:rPr>
          <w:rFonts w:ascii="Times New Roman" w:hAnsi="Times New Roman" w:eastAsia="宋体"/>
        </w:rPr>
        <w:t>当任务失败时，负向路径通过五个层次的分析来精确定位失败原因并施加负校准。这五个层次对应不同的错误类型，从最具体到最抽象：</w:t>
      </w:r>
    </w:p>
    <w:p>
      <w:r>
        <w:rPr>
          <w:rFonts w:ascii="Times New Roman" w:hAnsi="Times New Roman" w:eastAsia="宋体"/>
          <w:b/>
          <w:i w:val="0"/>
        </w:rPr>
        <w:t>L1 错拿校准（对应《周易》睽卦——事物乖离）：</w:t>
      </w:r>
      <w:r>
        <w:rPr>
          <w:rFonts w:ascii="Times New Roman" w:hAnsi="Times New Roman" w:eastAsia="宋体"/>
          <w:b w:val="0"/>
          <w:i w:val="0"/>
        </w:rPr>
        <w:t>当智能体拿了错误的物体时（如需要plate却拿了bowl），精确定位到M[plate][bowl]并施加强负校准：M[plate][bowl] -= 3.0。惩罚幅度大于正强化，因为错拿是明确的错误。</w:t>
      </w:r>
    </w:p>
    <w:p>
      <w:r>
        <w:rPr>
          <w:rFonts w:ascii="Times New Roman" w:hAnsi="Times New Roman" w:eastAsia="宋体"/>
          <w:b/>
          <w:i w:val="0"/>
        </w:rPr>
        <w:t>L2 否定先验（对应困卦——困于错误认知）：</w:t>
      </w:r>
      <w:r>
        <w:rPr>
          <w:rFonts w:ascii="Times New Roman" w:hAnsi="Times New Roman" w:eastAsia="宋体"/>
          <w:b w:val="0"/>
          <w:i w:val="0"/>
        </w:rPr>
        <w:t>当智能体基于先验去某位置找物体但未找到时，说明先验有误。执行P[obj][loc] -= 0.5。抑制幅度适中，因为"不在此处"不意味着先验完全错误（物体可能已被移动）。</w:t>
      </w:r>
    </w:p>
    <w:p>
      <w:r>
        <w:rPr>
          <w:rFonts w:ascii="Times New Roman" w:hAnsi="Times New Roman" w:eastAsia="宋体"/>
          <w:b/>
          <w:i w:val="0"/>
        </w:rPr>
        <w:t>L3 阶段瓶颈（对应蹇卦——行进困难）：</w:t>
      </w:r>
      <w:r>
        <w:rPr>
          <w:rFonts w:ascii="Times New Roman" w:hAnsi="Times New Roman" w:eastAsia="宋体"/>
          <w:b w:val="0"/>
          <w:i w:val="0"/>
        </w:rPr>
        <w:t>统计智能体在任务的各个阶段（寻找、拿取、放置）的失败次数。当某阶段反复失败时，标记为瓶颈阶段，后续决策时优先处理该瓶颈。</w:t>
      </w:r>
    </w:p>
    <w:p>
      <w:r>
        <w:rPr>
          <w:rFonts w:ascii="Times New Roman" w:hAnsi="Times New Roman" w:eastAsia="宋体"/>
          <w:b/>
          <w:i w:val="0"/>
        </w:rPr>
        <w:t>L4 步数预算（对应节卦——节制资源）：</w:t>
      </w:r>
      <w:r>
        <w:rPr>
          <w:rFonts w:ascii="Times New Roman" w:hAnsi="Times New Roman" w:eastAsia="宋体"/>
          <w:b w:val="0"/>
          <w:i w:val="0"/>
        </w:rPr>
        <w:t>当任务因步数耗尽而失败时，记录步数使用模式，为后续任务提供探索策略建议：减少无效探索，优先尝试高概率位置。</w:t>
      </w:r>
    </w:p>
    <w:p>
      <w:r>
        <w:rPr>
          <w:rFonts w:ascii="Times New Roman" w:hAnsi="Times New Roman" w:eastAsia="宋体"/>
          <w:b/>
          <w:i w:val="0"/>
        </w:rPr>
        <w:t>L5 失败聚类（对应明夷卦——智慧蒙蔽）：</w:t>
      </w:r>
      <w:r>
        <w:rPr>
          <w:rFonts w:ascii="Times New Roman" w:hAnsi="Times New Roman" w:eastAsia="宋体"/>
          <w:b w:val="0"/>
          <w:i w:val="0"/>
        </w:rPr>
        <w:t>对多次失败进行模式归纳。当同一类型的失败反复出现时（如多次在同一位置找不到物体），提取为系统性问题并生成修复策略。</w:t>
      </w:r>
    </w:p>
    <w:p>
      <w:pPr>
        <w:pStyle w:val="Heading2"/>
        <w:spacing w:before="240" w:after="120"/>
        <w:ind w:firstLine="0"/>
        <w:jc w:val="left"/>
      </w:pPr>
      <w:r>
        <w:rPr>
          <w:rFonts w:ascii="Times New Roman" w:hAnsi="Times New Roman" w:eastAsia="黑体"/>
          <w:b/>
          <w:sz w:val="24"/>
        </w:rPr>
        <w:t>3.5  对称性的优美</w:t>
      </w:r>
    </w:p>
    <w:p>
      <w:r>
        <w:rPr>
          <w:rFonts w:ascii="Times New Roman" w:hAnsi="Times New Roman" w:eastAsia="宋体"/>
        </w:rPr>
        <w:t>回顾五层机制的整体设计，可以看到一个优美的对称结构：</w:t>
      </w:r>
    </w:p>
    <w:p>
      <w:r>
        <w:rPr>
          <w:rFonts w:ascii="Times New Roman" w:hAnsi="Times New Roman" w:eastAsia="宋体"/>
        </w:rPr>
        <w:t>正向路径和负向路径操作的是同一组矩阵（P矩阵和M矩阵）。正向路径对P矩阵做+1.0更新，负向路径L2对同一个P矩阵做-0.5更新；正向路径对M矩阵做+1.0更新，负向路径L1对同一个M矩阵做-3.0更新。</w:t>
      </w:r>
    </w:p>
    <w:p>
      <w:r>
        <w:rPr>
          <w:rFonts w:ascii="Times New Roman" w:hAnsi="Times New Roman" w:eastAsia="宋体"/>
        </w:rPr>
        <w:t>五层"机制"本质上是五种不同的矩阵条目定位策略。L1定位到M矩阵中的错误匹配条目，L2定位到P矩阵中的错误位置条目，L3-L5则定位到更抽象的策略参数。一旦定位完成，执行的操作统一为：</w:t>
      </w:r>
    </w:p>
    <w:p>
      <w:pPr>
        <w:spacing w:before="120" w:after="120"/>
        <w:ind w:firstLine="0"/>
        <w:jc w:val="center"/>
      </w:pPr>
      <w:r>
        <w:rPr>
          <w:rFonts w:ascii="Cambria Math" w:hAnsi="Cambria Math" w:eastAsia="Cambria Math"/>
          <w:i/>
          <w:sz w:val="22"/>
        </w:rPr>
        <w:t>entry += reward × weight</w:t>
      </w:r>
    </w:p>
    <w:p>
      <w:r>
        <w:rPr>
          <w:rFonts w:ascii="Times New Roman" w:hAnsi="Times New Roman" w:eastAsia="宋体"/>
        </w:rPr>
        <w:t>整个系统的复杂性不在于"学习算法"本身（对称校准极其简单），而在于"如何从失败轨迹中精确定位到应该校准的条目"——这正是可解释性发挥作用的地方。</w:t>
      </w:r>
    </w:p>
    <w:p>
      <w:pPr>
        <w:pStyle w:val="Heading1"/>
        <w:spacing w:before="240" w:after="120"/>
        <w:ind w:firstLine="0"/>
        <w:jc w:val="left"/>
      </w:pPr>
      <w:r>
        <w:rPr>
          <w:rFonts w:ascii="Times New Roman" w:hAnsi="Times New Roman" w:eastAsia="黑体"/>
          <w:b/>
          <w:sz w:val="28"/>
        </w:rPr>
        <w:t>4  经验持久化与收敛</w:t>
      </w:r>
    </w:p>
    <w:p>
      <w:pPr>
        <w:pStyle w:val="Heading2"/>
        <w:spacing w:before="240" w:after="120"/>
        <w:ind w:firstLine="0"/>
        <w:jc w:val="left"/>
      </w:pPr>
      <w:r>
        <w:rPr>
          <w:rFonts w:ascii="Times New Roman" w:hAnsi="Times New Roman" w:eastAsia="黑体"/>
          <w:b/>
          <w:sz w:val="24"/>
        </w:rPr>
        <w:t>4.1  持久化即先验增长</w:t>
      </w:r>
    </w:p>
    <w:p>
      <w:r>
        <w:rPr>
          <w:rFonts w:ascii="Times New Roman" w:hAnsi="Times New Roman" w:eastAsia="宋体"/>
        </w:rPr>
        <w:t>经验持久化的机制极其简单：将运行时累积的矩阵状态保存为JSON文件，下次运行时加载。从数学角度看，这等价于将当前轮的知识终态作为下一轮的先验初始值：</w:t>
      </w:r>
    </w:p>
    <w:p>
      <w:pPr>
        <w:spacing w:before="120" w:after="120"/>
        <w:ind w:firstLine="0"/>
        <w:jc w:val="center"/>
      </w:pPr>
      <w:r>
        <w:rPr>
          <w:rFonts w:ascii="Cambria Math" w:hAnsi="Cambria Math" w:eastAsia="Cambria Math"/>
          <w:i/>
          <w:sz w:val="22"/>
        </w:rPr>
        <w:t>Ω_{t+1} = Ω_t ⊕ ΔK_t = K_t</w:t>
      </w:r>
    </w:p>
    <w:p>
      <w:r>
        <w:rPr>
          <w:rFonts w:ascii="Times New Roman" w:hAnsi="Times New Roman" w:eastAsia="宋体"/>
        </w:rPr>
        <w:t>即"新先验 = 旧先验 + 本轮增量 = 本轮终态"。持久化不是一个独立的机制，而是对称校准的自然延伸——它允许知识跨轮次累积，使得先验矩阵从初始的人工设定逐步演化为数据驱动的精确估计。</w:t>
      </w:r>
    </w:p>
    <w:p>
      <w:pPr>
        <w:pStyle w:val="Heading2"/>
        <w:spacing w:before="240" w:after="120"/>
        <w:ind w:firstLine="0"/>
        <w:jc w:val="left"/>
      </w:pPr>
      <w:r>
        <w:rPr>
          <w:rFonts w:ascii="Times New Roman" w:hAnsi="Times New Roman" w:eastAsia="黑体"/>
          <w:b/>
          <w:sz w:val="24"/>
        </w:rPr>
        <w:t>4.2  收敛实验</w:t>
      </w:r>
    </w:p>
    <w:p>
      <w:pPr>
        <w:ind w:firstLine="0"/>
      </w:pPr>
      <w:r>
        <w:rPr>
          <w:rFonts w:ascii="Times New Roman" w:hAnsi="Times New Roman" w:eastAsia="宋体"/>
        </w:rPr>
        <w:t>我们在ALFWorld 134个任务上进行了5轮持久化实验，每轮使用上一轮的终态知识作为初始先验：</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417"/>
            <w:shd w:fill="D9E2F3"/>
          </w:tcPr>
          <w:p>
            <w:pPr>
              <w:ind w:firstLine="0"/>
              <w:jc w:val="center"/>
            </w:pPr>
            <w:r/>
            <w:r>
              <w:rPr>
                <w:rFonts w:ascii="Times New Roman" w:hAnsi="Times New Roman" w:eastAsia="宋体"/>
                <w:b/>
                <w:sz w:val="18"/>
              </w:rPr>
              <w:t>轮次</w:t>
            </w:r>
          </w:p>
        </w:tc>
        <w:tc>
          <w:tcPr>
            <w:tcW w:type="dxa" w:w="2268"/>
            <w:shd w:fill="D9E2F3"/>
          </w:tcPr>
          <w:p>
            <w:pPr>
              <w:ind w:firstLine="0"/>
              <w:jc w:val="center"/>
            </w:pPr>
            <w:r/>
            <w:r>
              <w:rPr>
                <w:rFonts w:ascii="Times New Roman" w:hAnsi="Times New Roman" w:eastAsia="宋体"/>
                <w:b/>
                <w:sz w:val="18"/>
              </w:rPr>
              <w:t>成功率</w:t>
            </w:r>
          </w:p>
        </w:tc>
        <w:tc>
          <w:tcPr>
            <w:tcW w:type="dxa" w:w="1984"/>
            <w:shd w:fill="D9E2F3"/>
          </w:tcPr>
          <w:p>
            <w:pPr>
              <w:ind w:firstLine="0"/>
              <w:jc w:val="center"/>
            </w:pPr>
            <w:r/>
            <w:r>
              <w:rPr>
                <w:rFonts w:ascii="Times New Roman" w:hAnsi="Times New Roman" w:eastAsia="宋体"/>
                <w:b/>
                <w:sz w:val="18"/>
              </w:rPr>
              <w:t>全局平均步数</w:t>
            </w:r>
          </w:p>
        </w:tc>
        <w:tc>
          <w:tcPr>
            <w:tcW w:type="dxa" w:w="1984"/>
            <w:shd w:fill="D9E2F3"/>
          </w:tcPr>
          <w:p>
            <w:pPr>
              <w:ind w:firstLine="0"/>
              <w:jc w:val="center"/>
            </w:pPr>
            <w:r/>
            <w:r>
              <w:rPr>
                <w:rFonts w:ascii="Times New Roman" w:hAnsi="Times New Roman" w:eastAsia="宋体"/>
                <w:b/>
                <w:sz w:val="18"/>
              </w:rPr>
              <w:t>累计校准次数</w:t>
            </w:r>
          </w:p>
        </w:tc>
      </w:tr>
      <w:tr>
        <w:tc>
          <w:tcPr>
            <w:tcW w:type="dxa" w:w="1417"/>
          </w:tcPr>
          <w:p>
            <w:pPr>
              <w:ind w:firstLine="0"/>
              <w:jc w:val="center"/>
            </w:pPr>
            <w:r/>
            <w:r>
              <w:rPr>
                <w:rFonts w:ascii="Times New Roman" w:hAnsi="Times New Roman" w:eastAsia="宋体"/>
                <w:sz w:val="18"/>
              </w:rPr>
              <w:t>V9基线</w:t>
            </w:r>
          </w:p>
        </w:tc>
        <w:tc>
          <w:tcPr>
            <w:tcW w:type="dxa" w:w="2268"/>
          </w:tcPr>
          <w:p>
            <w:pPr>
              <w:ind w:firstLine="0"/>
              <w:jc w:val="center"/>
            </w:pPr>
            <w:r/>
            <w:r>
              <w:rPr>
                <w:rFonts w:ascii="Times New Roman" w:hAnsi="Times New Roman" w:eastAsia="宋体"/>
                <w:sz w:val="18"/>
              </w:rPr>
              <w:t>94/134 (70.1%)</w:t>
            </w:r>
          </w:p>
        </w:tc>
        <w:tc>
          <w:tcPr>
            <w:tcW w:type="dxa" w:w="1984"/>
          </w:tcPr>
          <w:p>
            <w:pPr>
              <w:ind w:firstLine="0"/>
              <w:jc w:val="center"/>
            </w:pPr>
            <w:r/>
            <w:r>
              <w:rPr>
                <w:rFonts w:ascii="Times New Roman" w:hAnsi="Times New Roman" w:eastAsia="宋体"/>
                <w:sz w:val="18"/>
              </w:rPr>
              <w:t>21.5</w:t>
            </w:r>
          </w:p>
        </w:tc>
        <w:tc>
          <w:tcPr>
            <w:tcW w:type="dxa" w:w="1984"/>
          </w:tcPr>
          <w:p>
            <w:pPr>
              <w:ind w:firstLine="0"/>
              <w:jc w:val="center"/>
            </w:pPr>
            <w:r/>
            <w:r>
              <w:rPr>
                <w:rFonts w:ascii="Times New Roman" w:hAnsi="Times New Roman" w:eastAsia="宋体"/>
                <w:sz w:val="18"/>
              </w:rPr>
              <w:t>18</w:t>
            </w:r>
          </w:p>
        </w:tc>
      </w:tr>
      <w:tr>
        <w:tc>
          <w:tcPr>
            <w:tcW w:type="dxa" w:w="1417"/>
          </w:tcPr>
          <w:p>
            <w:pPr>
              <w:ind w:firstLine="0"/>
              <w:jc w:val="center"/>
            </w:pPr>
            <w:r/>
            <w:r>
              <w:rPr>
                <w:rFonts w:ascii="Times New Roman" w:hAnsi="Times New Roman" w:eastAsia="宋体"/>
                <w:sz w:val="18"/>
              </w:rPr>
              <w:t>R1</w:t>
            </w:r>
          </w:p>
        </w:tc>
        <w:tc>
          <w:tcPr>
            <w:tcW w:type="dxa" w:w="2268"/>
          </w:tcPr>
          <w:p>
            <w:pPr>
              <w:ind w:firstLine="0"/>
              <w:jc w:val="center"/>
            </w:pPr>
            <w:r/>
            <w:r>
              <w:rPr>
                <w:rFonts w:ascii="Times New Roman" w:hAnsi="Times New Roman" w:eastAsia="宋体"/>
                <w:sz w:val="18"/>
              </w:rPr>
              <w:t>98/134 (73.1%)</w:t>
            </w:r>
          </w:p>
        </w:tc>
        <w:tc>
          <w:tcPr>
            <w:tcW w:type="dxa" w:w="1984"/>
          </w:tcPr>
          <w:p>
            <w:pPr>
              <w:ind w:firstLine="0"/>
              <w:jc w:val="center"/>
            </w:pPr>
            <w:r/>
            <w:r>
              <w:rPr>
                <w:rFonts w:ascii="Times New Roman" w:hAnsi="Times New Roman" w:eastAsia="宋体"/>
                <w:sz w:val="18"/>
              </w:rPr>
              <w:t>20.5</w:t>
            </w:r>
          </w:p>
        </w:tc>
        <w:tc>
          <w:tcPr>
            <w:tcW w:type="dxa" w:w="1984"/>
          </w:tcPr>
          <w:p>
            <w:pPr>
              <w:ind w:firstLine="0"/>
              <w:jc w:val="center"/>
            </w:pPr>
            <w:r/>
            <w:r>
              <w:rPr>
                <w:rFonts w:ascii="Times New Roman" w:hAnsi="Times New Roman" w:eastAsia="宋体"/>
                <w:sz w:val="18"/>
              </w:rPr>
              <w:t>15</w:t>
            </w:r>
          </w:p>
        </w:tc>
      </w:tr>
      <w:tr>
        <w:tc>
          <w:tcPr>
            <w:tcW w:type="dxa" w:w="1417"/>
          </w:tcPr>
          <w:p>
            <w:pPr>
              <w:ind w:firstLine="0"/>
              <w:jc w:val="center"/>
            </w:pPr>
            <w:r/>
            <w:r>
              <w:rPr>
                <w:rFonts w:ascii="Times New Roman" w:hAnsi="Times New Roman" w:eastAsia="宋体"/>
                <w:sz w:val="18"/>
              </w:rPr>
              <w:t>R2</w:t>
            </w:r>
          </w:p>
        </w:tc>
        <w:tc>
          <w:tcPr>
            <w:tcW w:type="dxa" w:w="2268"/>
          </w:tcPr>
          <w:p>
            <w:pPr>
              <w:ind w:firstLine="0"/>
              <w:jc w:val="center"/>
            </w:pPr>
            <w:r/>
            <w:r>
              <w:rPr>
                <w:rFonts w:ascii="Times New Roman" w:hAnsi="Times New Roman" w:eastAsia="宋体"/>
                <w:sz w:val="18"/>
              </w:rPr>
              <w:t>99/134 (73.9%)</w:t>
            </w:r>
          </w:p>
        </w:tc>
        <w:tc>
          <w:tcPr>
            <w:tcW w:type="dxa" w:w="1984"/>
          </w:tcPr>
          <w:p>
            <w:pPr>
              <w:ind w:firstLine="0"/>
              <w:jc w:val="center"/>
            </w:pPr>
            <w:r/>
            <w:r>
              <w:rPr>
                <w:rFonts w:ascii="Times New Roman" w:hAnsi="Times New Roman" w:eastAsia="宋体"/>
                <w:sz w:val="18"/>
              </w:rPr>
              <w:t>20.1</w:t>
            </w:r>
          </w:p>
        </w:tc>
        <w:tc>
          <w:tcPr>
            <w:tcW w:type="dxa" w:w="1984"/>
          </w:tcPr>
          <w:p>
            <w:pPr>
              <w:ind w:firstLine="0"/>
              <w:jc w:val="center"/>
            </w:pPr>
            <w:r/>
            <w:r>
              <w:rPr>
                <w:rFonts w:ascii="Times New Roman" w:hAnsi="Times New Roman" w:eastAsia="宋体"/>
                <w:sz w:val="18"/>
              </w:rPr>
              <w:t>38</w:t>
            </w:r>
          </w:p>
        </w:tc>
      </w:tr>
      <w:tr>
        <w:tc>
          <w:tcPr>
            <w:tcW w:type="dxa" w:w="1417"/>
          </w:tcPr>
          <w:p>
            <w:pPr>
              <w:ind w:firstLine="0"/>
              <w:jc w:val="center"/>
            </w:pPr>
            <w:r/>
            <w:r>
              <w:rPr>
                <w:rFonts w:ascii="Times New Roman" w:hAnsi="Times New Roman" w:eastAsia="宋体"/>
                <w:sz w:val="18"/>
              </w:rPr>
              <w:t>R3</w:t>
            </w:r>
          </w:p>
        </w:tc>
        <w:tc>
          <w:tcPr>
            <w:tcW w:type="dxa" w:w="2268"/>
          </w:tcPr>
          <w:p>
            <w:pPr>
              <w:ind w:firstLine="0"/>
              <w:jc w:val="center"/>
            </w:pPr>
            <w:r/>
            <w:r>
              <w:rPr>
                <w:rFonts w:ascii="Times New Roman" w:hAnsi="Times New Roman" w:eastAsia="宋体"/>
                <w:sz w:val="18"/>
              </w:rPr>
              <w:t>99/134 (73.9%)</w:t>
            </w:r>
          </w:p>
        </w:tc>
        <w:tc>
          <w:tcPr>
            <w:tcW w:type="dxa" w:w="1984"/>
          </w:tcPr>
          <w:p>
            <w:pPr>
              <w:ind w:firstLine="0"/>
              <w:jc w:val="center"/>
            </w:pPr>
            <w:r/>
            <w:r>
              <w:rPr>
                <w:rFonts w:ascii="Times New Roman" w:hAnsi="Times New Roman" w:eastAsia="宋体"/>
                <w:sz w:val="18"/>
              </w:rPr>
              <w:t>20.1</w:t>
            </w:r>
          </w:p>
        </w:tc>
        <w:tc>
          <w:tcPr>
            <w:tcW w:type="dxa" w:w="1984"/>
          </w:tcPr>
          <w:p>
            <w:pPr>
              <w:ind w:firstLine="0"/>
              <w:jc w:val="center"/>
            </w:pPr>
            <w:r/>
            <w:r>
              <w:rPr>
                <w:rFonts w:ascii="Times New Roman" w:hAnsi="Times New Roman" w:eastAsia="宋体"/>
                <w:sz w:val="18"/>
              </w:rPr>
              <w:t>61</w:t>
            </w:r>
          </w:p>
        </w:tc>
      </w:tr>
      <w:tr>
        <w:tc>
          <w:tcPr>
            <w:tcW w:type="dxa" w:w="1417"/>
          </w:tcPr>
          <w:p>
            <w:pPr>
              <w:ind w:firstLine="0"/>
              <w:jc w:val="center"/>
            </w:pPr>
            <w:r/>
            <w:r>
              <w:rPr>
                <w:rFonts w:ascii="Times New Roman" w:hAnsi="Times New Roman" w:eastAsia="宋体"/>
                <w:sz w:val="18"/>
              </w:rPr>
              <w:t>R4</w:t>
            </w:r>
          </w:p>
        </w:tc>
        <w:tc>
          <w:tcPr>
            <w:tcW w:type="dxa" w:w="2268"/>
          </w:tcPr>
          <w:p>
            <w:pPr>
              <w:ind w:firstLine="0"/>
              <w:jc w:val="center"/>
            </w:pPr>
            <w:r/>
            <w:r>
              <w:rPr>
                <w:rFonts w:ascii="Times New Roman" w:hAnsi="Times New Roman" w:eastAsia="宋体"/>
                <w:sz w:val="18"/>
              </w:rPr>
              <w:t>99/134 (73.9%)</w:t>
            </w:r>
          </w:p>
        </w:tc>
        <w:tc>
          <w:tcPr>
            <w:tcW w:type="dxa" w:w="1984"/>
          </w:tcPr>
          <w:p>
            <w:pPr>
              <w:ind w:firstLine="0"/>
              <w:jc w:val="center"/>
            </w:pPr>
            <w:r/>
            <w:r>
              <w:rPr>
                <w:rFonts w:ascii="Times New Roman" w:hAnsi="Times New Roman" w:eastAsia="宋体"/>
                <w:sz w:val="18"/>
              </w:rPr>
              <w:t>20.2</w:t>
            </w:r>
          </w:p>
        </w:tc>
        <w:tc>
          <w:tcPr>
            <w:tcW w:type="dxa" w:w="1984"/>
          </w:tcPr>
          <w:p>
            <w:pPr>
              <w:ind w:firstLine="0"/>
              <w:jc w:val="center"/>
            </w:pPr>
            <w:r/>
            <w:r>
              <w:rPr>
                <w:rFonts w:ascii="Times New Roman" w:hAnsi="Times New Roman" w:eastAsia="宋体"/>
                <w:sz w:val="18"/>
              </w:rPr>
              <w:t>84</w:t>
            </w:r>
          </w:p>
        </w:tc>
      </w:tr>
      <w:tr>
        <w:tc>
          <w:tcPr>
            <w:tcW w:type="dxa" w:w="1417"/>
          </w:tcPr>
          <w:p>
            <w:pPr>
              <w:ind w:firstLine="0"/>
              <w:jc w:val="center"/>
            </w:pPr>
            <w:r/>
            <w:r>
              <w:rPr>
                <w:rFonts w:ascii="Times New Roman" w:hAnsi="Times New Roman" w:eastAsia="宋体"/>
                <w:sz w:val="18"/>
              </w:rPr>
              <w:t>R5</w:t>
            </w:r>
          </w:p>
        </w:tc>
        <w:tc>
          <w:tcPr>
            <w:tcW w:type="dxa" w:w="2268"/>
          </w:tcPr>
          <w:p>
            <w:pPr>
              <w:ind w:firstLine="0"/>
              <w:jc w:val="center"/>
            </w:pPr>
            <w:r/>
            <w:r>
              <w:rPr>
                <w:rFonts w:ascii="Times New Roman" w:hAnsi="Times New Roman" w:eastAsia="宋体"/>
                <w:sz w:val="18"/>
              </w:rPr>
              <w:t>99/134 (73.9%)</w:t>
            </w:r>
          </w:p>
        </w:tc>
        <w:tc>
          <w:tcPr>
            <w:tcW w:type="dxa" w:w="1984"/>
          </w:tcPr>
          <w:p>
            <w:pPr>
              <w:ind w:firstLine="0"/>
              <w:jc w:val="center"/>
            </w:pPr>
            <w:r/>
            <w:r>
              <w:rPr>
                <w:rFonts w:ascii="Times New Roman" w:hAnsi="Times New Roman" w:eastAsia="宋体"/>
                <w:sz w:val="18"/>
              </w:rPr>
              <w:t>20.2</w:t>
            </w:r>
          </w:p>
        </w:tc>
        <w:tc>
          <w:tcPr>
            <w:tcW w:type="dxa" w:w="1984"/>
          </w:tcPr>
          <w:p>
            <w:pPr>
              <w:ind w:firstLine="0"/>
              <w:jc w:val="center"/>
            </w:pPr>
            <w:r/>
            <w:r>
              <w:rPr>
                <w:rFonts w:ascii="Times New Roman" w:hAnsi="Times New Roman" w:eastAsia="宋体"/>
                <w:sz w:val="18"/>
              </w:rPr>
              <w:t>107</w:t>
            </w:r>
          </w:p>
        </w:tc>
      </w:tr>
    </w:tbl>
    <w:p/>
    <w:p>
      <w:pPr>
        <w:ind w:firstLine="0"/>
        <w:jc w:val="center"/>
      </w:pPr>
      <w:r>
        <w:rPr>
          <w:rFonts w:ascii="Times New Roman" w:hAnsi="Times New Roman" w:eastAsia="宋体"/>
          <w:b/>
          <w:i w:val="0"/>
        </w:rPr>
        <w:t>表1</w:t>
      </w:r>
      <w:r>
        <w:rPr>
          <w:rFonts w:ascii="Times New Roman" w:hAnsi="Times New Roman" w:eastAsia="宋体"/>
          <w:b w:val="0"/>
          <w:i w:val="0"/>
        </w:rPr>
        <w:t xml:space="preserve">  5轮持久化收敛实验结果</w:t>
      </w:r>
    </w:p>
    <w:p>
      <w:pPr>
        <w:pStyle w:val="Heading2"/>
        <w:spacing w:before="240" w:after="120"/>
        <w:ind w:firstLine="0"/>
        <w:jc w:val="left"/>
      </w:pPr>
      <w:r>
        <w:rPr>
          <w:rFonts w:ascii="Times New Roman" w:hAnsi="Times New Roman" w:eastAsia="黑体"/>
          <w:b/>
          <w:sz w:val="24"/>
        </w:rPr>
        <w:t>4.3  一轮收敛的含义</w:t>
      </w:r>
    </w:p>
    <w:p>
      <w:r>
        <w:rPr>
          <w:rFonts w:ascii="Times New Roman" w:hAnsi="Times New Roman" w:eastAsia="宋体"/>
        </w:rPr>
        <w:t>表1揭示了一个重要现象：系统在第2轮（R2）即达到73.9%的成功率后完全收敛，后续3轮（R3-R5）成功率和步数无任何变化。校准次数持续增加仅因为相同的校准信号被重复确认，但矩阵值不再改变（已达到饱和）。</w:t>
      </w:r>
    </w:p>
    <w:p>
      <w:r>
        <w:rPr>
          <w:rFonts w:ascii="Times New Roman" w:hAnsi="Times New Roman" w:eastAsia="宋体"/>
        </w:rPr>
        <w:t>一轮收敛的深层含义是：先验矩阵在一轮完整交互后已经达到了当前系统架构所能容纳的信息上限。35个失败任务的失败原因不在于先验不足，而在于系统架构本身的局限（如缺少多步规划、不支持工具组合等）。突破73.9%的上限需要架构改进而非更多数据——这与RL"更多数据总能带来进步"的假设形成鲜明对比。</w:t>
      </w:r>
    </w:p>
    <w:p>
      <w:pPr>
        <w:pStyle w:val="Heading1"/>
        <w:spacing w:before="240" w:after="120"/>
        <w:ind w:firstLine="0"/>
        <w:jc w:val="left"/>
      </w:pPr>
      <w:r>
        <w:rPr>
          <w:rFonts w:ascii="Times New Roman" w:hAnsi="Times New Roman" w:eastAsia="黑体"/>
          <w:b/>
          <w:sz w:val="28"/>
        </w:rPr>
        <w:t>5  实验验证</w:t>
      </w:r>
    </w:p>
    <w:p>
      <w:pPr>
        <w:pStyle w:val="Heading2"/>
        <w:spacing w:before="240" w:after="120"/>
        <w:ind w:firstLine="0"/>
        <w:jc w:val="left"/>
      </w:pPr>
      <w:r>
        <w:rPr>
          <w:rFonts w:ascii="Times New Roman" w:hAnsi="Times New Roman" w:eastAsia="黑体"/>
          <w:b/>
          <w:sz w:val="24"/>
        </w:rPr>
        <w:t>5.1  实验设置</w:t>
      </w:r>
    </w:p>
    <w:p>
      <w:r>
        <w:rPr>
          <w:rFonts w:ascii="Times New Roman" w:hAnsi="Times New Roman" w:eastAsia="宋体"/>
          <w:b w:val="0"/>
          <w:i w:val="0"/>
        </w:rPr>
        <w:t>我们在ALFWorld基准环境</w:t>
      </w:r>
      <w:r>
        <w:rPr>
          <w:rFonts w:ascii="Times New Roman" w:hAnsi="Times New Roman" w:eastAsia="宋体"/>
          <w:b w:val="0"/>
          <w:i w:val="0"/>
          <w:vertAlign w:val="superscript"/>
        </w:rPr>
        <w:t>[13]</w:t>
      </w:r>
      <w:r>
        <w:rPr>
          <w:rFonts w:ascii="Times New Roman" w:hAnsi="Times New Roman" w:eastAsia="宋体"/>
          <w:b w:val="0"/>
          <w:i w:val="0"/>
        </w:rPr>
        <w:t>上进行实验验证。ALFWorld是一个文本形式的具身交互环境，包含6类家庭任务（拿放、清洁、加热、冷却、检查、双物体拿放），共134个独立游戏实例。环境提供文本观察和可选动作列表，智能体需要通过一系列决策步骤完成指定目标。</w:t>
      </w:r>
    </w:p>
    <w:p>
      <w:r>
        <w:rPr>
          <w:rFonts w:ascii="Times New Roman" w:hAnsi="Times New Roman" w:eastAsia="宋体"/>
        </w:rPr>
        <w:t>实验环境参数：纯CPU运行（Intel i5），无GPU需求；不使用任何大语言模型（LLM）；系统代码总量约800行Python；每轮134局完整运行时间约3分钟；完全确定性——相同输入必得相同输出。</w:t>
      </w:r>
    </w:p>
    <w:p>
      <w:pPr>
        <w:pStyle w:val="Heading2"/>
        <w:spacing w:before="240" w:after="120"/>
        <w:ind w:firstLine="0"/>
        <w:jc w:val="left"/>
      </w:pPr>
      <w:r>
        <w:rPr>
          <w:rFonts w:ascii="Times New Roman" w:hAnsi="Times New Roman" w:eastAsia="黑体"/>
          <w:b/>
          <w:sz w:val="24"/>
        </w:rPr>
        <w:t>5.2  版本演进与消融</w:t>
      </w:r>
    </w:p>
    <w:p>
      <w:pPr>
        <w:ind w:firstLine="0"/>
      </w:pPr>
      <w:r>
        <w:rPr>
          <w:rFonts w:ascii="Times New Roman" w:hAnsi="Times New Roman" w:eastAsia="宋体"/>
        </w:rPr>
        <w:t>为验证对称校准的每个组件贡献，我们设计了消融实验，通过版本演进展示各组件的增量效果：</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417"/>
            <w:shd w:fill="D9E2F3"/>
          </w:tcPr>
          <w:p>
            <w:pPr>
              <w:ind w:firstLine="0"/>
              <w:jc w:val="center"/>
            </w:pPr>
            <w:r/>
            <w:r>
              <w:rPr>
                <w:rFonts w:ascii="Times New Roman" w:hAnsi="Times New Roman" w:eastAsia="宋体"/>
                <w:b/>
                <w:sz w:val="18"/>
              </w:rPr>
              <w:t>版本</w:t>
            </w:r>
          </w:p>
        </w:tc>
        <w:tc>
          <w:tcPr>
            <w:tcW w:type="dxa" w:w="1984"/>
            <w:shd w:fill="D9E2F3"/>
          </w:tcPr>
          <w:p>
            <w:pPr>
              <w:ind w:firstLine="0"/>
              <w:jc w:val="center"/>
            </w:pPr>
            <w:r/>
            <w:r>
              <w:rPr>
                <w:rFonts w:ascii="Times New Roman" w:hAnsi="Times New Roman" w:eastAsia="宋体"/>
                <w:b/>
                <w:sz w:val="18"/>
              </w:rPr>
              <w:t>机制</w:t>
            </w:r>
          </w:p>
        </w:tc>
        <w:tc>
          <w:tcPr>
            <w:tcW w:type="dxa" w:w="1984"/>
            <w:shd w:fill="D9E2F3"/>
          </w:tcPr>
          <w:p>
            <w:pPr>
              <w:ind w:firstLine="0"/>
              <w:jc w:val="center"/>
            </w:pPr>
            <w:r/>
            <w:r>
              <w:rPr>
                <w:rFonts w:ascii="Times New Roman" w:hAnsi="Times New Roman" w:eastAsia="宋体"/>
                <w:b/>
                <w:sz w:val="18"/>
              </w:rPr>
              <w:t>成功率</w:t>
            </w:r>
          </w:p>
        </w:tc>
        <w:tc>
          <w:tcPr>
            <w:tcW w:type="dxa" w:w="1417"/>
            <w:shd w:fill="D9E2F3"/>
          </w:tcPr>
          <w:p>
            <w:pPr>
              <w:ind w:firstLine="0"/>
              <w:jc w:val="center"/>
            </w:pPr>
            <w:r/>
            <w:r>
              <w:rPr>
                <w:rFonts w:ascii="Times New Roman" w:hAnsi="Times New Roman" w:eastAsia="宋体"/>
                <w:b/>
                <w:sz w:val="18"/>
              </w:rPr>
              <w:t>平均步数</w:t>
            </w:r>
          </w:p>
        </w:tc>
        <w:tc>
          <w:tcPr>
            <w:tcW w:type="dxa" w:w="2551"/>
            <w:shd w:fill="D9E2F3"/>
          </w:tcPr>
          <w:p>
            <w:pPr>
              <w:ind w:firstLine="0"/>
              <w:jc w:val="center"/>
            </w:pPr>
            <w:r/>
            <w:r>
              <w:rPr>
                <w:rFonts w:ascii="Times New Roman" w:hAnsi="Times New Roman" w:eastAsia="宋体"/>
                <w:b/>
                <w:sz w:val="18"/>
              </w:rPr>
              <w:t>知识公式</w:t>
            </w:r>
          </w:p>
        </w:tc>
      </w:tr>
      <w:tr>
        <w:tc>
          <w:tcPr>
            <w:tcW w:type="dxa" w:w="1417"/>
          </w:tcPr>
          <w:p>
            <w:pPr>
              <w:ind w:firstLine="0"/>
              <w:jc w:val="center"/>
            </w:pPr>
            <w:r/>
            <w:r>
              <w:rPr>
                <w:rFonts w:ascii="Times New Roman" w:hAnsi="Times New Roman" w:eastAsia="宋体"/>
                <w:sz w:val="18"/>
              </w:rPr>
              <w:t>V7</w:t>
            </w:r>
          </w:p>
        </w:tc>
        <w:tc>
          <w:tcPr>
            <w:tcW w:type="dxa" w:w="1984"/>
          </w:tcPr>
          <w:p>
            <w:pPr>
              <w:ind w:firstLine="0"/>
              <w:jc w:val="center"/>
            </w:pPr>
            <w:r/>
            <w:r>
              <w:rPr>
                <w:rFonts w:ascii="Times New Roman" w:hAnsi="Times New Roman" w:eastAsia="宋体"/>
                <w:sz w:val="18"/>
              </w:rPr>
              <w:t>静态先验Ω</w:t>
            </w:r>
          </w:p>
        </w:tc>
        <w:tc>
          <w:tcPr>
            <w:tcW w:type="dxa" w:w="1984"/>
          </w:tcPr>
          <w:p>
            <w:pPr>
              <w:ind w:firstLine="0"/>
              <w:jc w:val="center"/>
            </w:pPr>
            <w:r/>
            <w:r>
              <w:rPr>
                <w:rFonts w:ascii="Times New Roman" w:hAnsi="Times New Roman" w:eastAsia="宋体"/>
                <w:sz w:val="18"/>
              </w:rPr>
              <w:t>90/134 (67.2%)</w:t>
            </w:r>
          </w:p>
        </w:tc>
        <w:tc>
          <w:tcPr>
            <w:tcW w:type="dxa" w:w="1417"/>
          </w:tcPr>
          <w:p>
            <w:pPr>
              <w:ind w:firstLine="0"/>
              <w:jc w:val="center"/>
            </w:pPr>
            <w:r/>
            <w:r>
              <w:rPr>
                <w:rFonts w:ascii="Times New Roman" w:hAnsi="Times New Roman" w:eastAsia="宋体"/>
                <w:sz w:val="18"/>
              </w:rPr>
              <w:t>—</w:t>
            </w:r>
          </w:p>
        </w:tc>
        <w:tc>
          <w:tcPr>
            <w:tcW w:type="dxa" w:w="2551"/>
          </w:tcPr>
          <w:p>
            <w:pPr>
              <w:ind w:firstLine="0"/>
              <w:jc w:val="center"/>
            </w:pPr>
            <w:r/>
            <w:r>
              <w:rPr>
                <w:rFonts w:ascii="Times New Roman" w:hAnsi="Times New Roman" w:eastAsia="宋体"/>
                <w:sz w:val="18"/>
              </w:rPr>
              <w:t>K = Ω</w:t>
            </w:r>
          </w:p>
        </w:tc>
      </w:tr>
      <w:tr>
        <w:tc>
          <w:tcPr>
            <w:tcW w:type="dxa" w:w="1417"/>
          </w:tcPr>
          <w:p>
            <w:pPr>
              <w:ind w:firstLine="0"/>
              <w:jc w:val="center"/>
            </w:pPr>
            <w:r/>
            <w:r>
              <w:rPr>
                <w:rFonts w:ascii="Times New Roman" w:hAnsi="Times New Roman" w:eastAsia="宋体"/>
                <w:sz w:val="18"/>
              </w:rPr>
              <w:t>V9</w:t>
            </w:r>
          </w:p>
        </w:tc>
        <w:tc>
          <w:tcPr>
            <w:tcW w:type="dxa" w:w="1984"/>
          </w:tcPr>
          <w:p>
            <w:pPr>
              <w:ind w:firstLine="0"/>
              <w:jc w:val="center"/>
            </w:pPr>
            <w:r/>
            <w:r>
              <w:rPr>
                <w:rFonts w:ascii="Times New Roman" w:hAnsi="Times New Roman" w:eastAsia="宋体"/>
                <w:sz w:val="18"/>
              </w:rPr>
              <w:t>+正向校准</w:t>
            </w:r>
          </w:p>
        </w:tc>
        <w:tc>
          <w:tcPr>
            <w:tcW w:type="dxa" w:w="1984"/>
          </w:tcPr>
          <w:p>
            <w:pPr>
              <w:ind w:firstLine="0"/>
              <w:jc w:val="center"/>
            </w:pPr>
            <w:r/>
            <w:r>
              <w:rPr>
                <w:rFonts w:ascii="Times New Roman" w:hAnsi="Times New Roman" w:eastAsia="宋体"/>
                <w:sz w:val="18"/>
              </w:rPr>
              <w:t>94/134 (70.1%)</w:t>
            </w:r>
          </w:p>
        </w:tc>
        <w:tc>
          <w:tcPr>
            <w:tcW w:type="dxa" w:w="1417"/>
          </w:tcPr>
          <w:p>
            <w:pPr>
              <w:ind w:firstLine="0"/>
              <w:jc w:val="center"/>
            </w:pPr>
            <w:r/>
            <w:r>
              <w:rPr>
                <w:rFonts w:ascii="Times New Roman" w:hAnsi="Times New Roman" w:eastAsia="宋体"/>
                <w:sz w:val="18"/>
              </w:rPr>
              <w:t>21.5</w:t>
            </w:r>
          </w:p>
        </w:tc>
        <w:tc>
          <w:tcPr>
            <w:tcW w:type="dxa" w:w="2551"/>
          </w:tcPr>
          <w:p>
            <w:pPr>
              <w:ind w:firstLine="0"/>
              <w:jc w:val="center"/>
            </w:pPr>
            <w:r/>
            <w:r>
              <w:rPr>
                <w:rFonts w:ascii="Times New Roman" w:hAnsi="Times New Roman" w:eastAsia="宋体"/>
                <w:sz w:val="18"/>
              </w:rPr>
              <w:t>K = Ω ⊕ ΔK⁺</w:t>
            </w:r>
          </w:p>
        </w:tc>
      </w:tr>
      <w:tr>
        <w:tc>
          <w:tcPr>
            <w:tcW w:type="dxa" w:w="1417"/>
          </w:tcPr>
          <w:p>
            <w:pPr>
              <w:ind w:firstLine="0"/>
              <w:jc w:val="center"/>
            </w:pPr>
            <w:r/>
            <w:r>
              <w:rPr>
                <w:rFonts w:ascii="Times New Roman" w:hAnsi="Times New Roman" w:eastAsia="宋体"/>
                <w:sz w:val="18"/>
              </w:rPr>
              <w:t>V10</w:t>
            </w:r>
          </w:p>
        </w:tc>
        <w:tc>
          <w:tcPr>
            <w:tcW w:type="dxa" w:w="1984"/>
          </w:tcPr>
          <w:p>
            <w:pPr>
              <w:ind w:firstLine="0"/>
              <w:jc w:val="center"/>
            </w:pPr>
            <w:r/>
            <w:r>
              <w:rPr>
                <w:rFonts w:ascii="Times New Roman" w:hAnsi="Times New Roman" w:eastAsia="宋体"/>
                <w:sz w:val="18"/>
              </w:rPr>
              <w:t>+正负对称校准</w:t>
            </w:r>
          </w:p>
        </w:tc>
        <w:tc>
          <w:tcPr>
            <w:tcW w:type="dxa" w:w="1984"/>
          </w:tcPr>
          <w:p>
            <w:pPr>
              <w:ind w:firstLine="0"/>
              <w:jc w:val="center"/>
            </w:pPr>
            <w:r/>
            <w:r>
              <w:rPr>
                <w:rFonts w:ascii="Times New Roman" w:hAnsi="Times New Roman" w:eastAsia="宋体"/>
                <w:sz w:val="18"/>
              </w:rPr>
              <w:t>98/134 (73.1%)</w:t>
            </w:r>
          </w:p>
        </w:tc>
        <w:tc>
          <w:tcPr>
            <w:tcW w:type="dxa" w:w="1417"/>
          </w:tcPr>
          <w:p>
            <w:pPr>
              <w:ind w:firstLine="0"/>
              <w:jc w:val="center"/>
            </w:pPr>
            <w:r/>
            <w:r>
              <w:rPr>
                <w:rFonts w:ascii="Times New Roman" w:hAnsi="Times New Roman" w:eastAsia="宋体"/>
                <w:sz w:val="18"/>
              </w:rPr>
              <w:t>20.5</w:t>
            </w:r>
          </w:p>
        </w:tc>
        <w:tc>
          <w:tcPr>
            <w:tcW w:type="dxa" w:w="2551"/>
          </w:tcPr>
          <w:p>
            <w:pPr>
              <w:ind w:firstLine="0"/>
              <w:jc w:val="center"/>
            </w:pPr>
            <w:r/>
            <w:r>
              <w:rPr>
                <w:rFonts w:ascii="Times New Roman" w:hAnsi="Times New Roman" w:eastAsia="宋体"/>
                <w:sz w:val="18"/>
              </w:rPr>
              <w:t>K = Ω ⊕ ΔK⁺ ⊕ ΔK⁻</w:t>
            </w:r>
          </w:p>
        </w:tc>
      </w:tr>
      <w:tr>
        <w:tc>
          <w:tcPr>
            <w:tcW w:type="dxa" w:w="1417"/>
          </w:tcPr>
          <w:p>
            <w:pPr>
              <w:ind w:firstLine="0"/>
              <w:jc w:val="center"/>
            </w:pPr>
            <w:r/>
            <w:r>
              <w:rPr>
                <w:rFonts w:ascii="Times New Roman" w:hAnsi="Times New Roman" w:eastAsia="宋体"/>
                <w:sz w:val="18"/>
              </w:rPr>
              <w:t>V10+persist</w:t>
            </w:r>
          </w:p>
        </w:tc>
        <w:tc>
          <w:tcPr>
            <w:tcW w:type="dxa" w:w="1984"/>
          </w:tcPr>
          <w:p>
            <w:pPr>
              <w:ind w:firstLine="0"/>
              <w:jc w:val="center"/>
            </w:pPr>
            <w:r/>
            <w:r>
              <w:rPr>
                <w:rFonts w:ascii="Times New Roman" w:hAnsi="Times New Roman" w:eastAsia="宋体"/>
                <w:sz w:val="18"/>
              </w:rPr>
              <w:t>+经验持久化</w:t>
            </w:r>
          </w:p>
        </w:tc>
        <w:tc>
          <w:tcPr>
            <w:tcW w:type="dxa" w:w="1984"/>
          </w:tcPr>
          <w:p>
            <w:pPr>
              <w:ind w:firstLine="0"/>
              <w:jc w:val="center"/>
            </w:pPr>
            <w:r/>
            <w:r>
              <w:rPr>
                <w:rFonts w:ascii="Times New Roman" w:hAnsi="Times New Roman" w:eastAsia="宋体"/>
                <w:sz w:val="18"/>
              </w:rPr>
              <w:t>99/134 (73.9%)</w:t>
            </w:r>
          </w:p>
        </w:tc>
        <w:tc>
          <w:tcPr>
            <w:tcW w:type="dxa" w:w="1417"/>
          </w:tcPr>
          <w:p>
            <w:pPr>
              <w:ind w:firstLine="0"/>
              <w:jc w:val="center"/>
            </w:pPr>
            <w:r/>
            <w:r>
              <w:rPr>
                <w:rFonts w:ascii="Times New Roman" w:hAnsi="Times New Roman" w:eastAsia="宋体"/>
                <w:sz w:val="18"/>
              </w:rPr>
              <w:t>20.1</w:t>
            </w:r>
          </w:p>
        </w:tc>
        <w:tc>
          <w:tcPr>
            <w:tcW w:type="dxa" w:w="2551"/>
          </w:tcPr>
          <w:p>
            <w:pPr>
              <w:ind w:firstLine="0"/>
              <w:jc w:val="center"/>
            </w:pPr>
            <w:r/>
            <w:r>
              <w:rPr>
                <w:rFonts w:ascii="Times New Roman" w:hAnsi="Times New Roman" w:eastAsia="宋体"/>
                <w:sz w:val="18"/>
              </w:rPr>
              <w:t>K = (Ω+ΔK_old) ⊕ ΔK_new</w:t>
            </w:r>
          </w:p>
        </w:tc>
      </w:tr>
    </w:tbl>
    <w:p/>
    <w:p>
      <w:pPr>
        <w:ind w:firstLine="0"/>
        <w:jc w:val="center"/>
      </w:pPr>
      <w:r>
        <w:rPr>
          <w:rFonts w:ascii="Times New Roman" w:hAnsi="Times New Roman" w:eastAsia="宋体"/>
          <w:b/>
          <w:i w:val="0"/>
        </w:rPr>
        <w:t>表2</w:t>
      </w:r>
      <w:r>
        <w:rPr>
          <w:rFonts w:ascii="Times New Roman" w:hAnsi="Times New Roman" w:eastAsia="宋体"/>
          <w:b w:val="0"/>
          <w:i w:val="0"/>
        </w:rPr>
        <w:t xml:space="preserve">  版本演进消融实验</w:t>
      </w:r>
    </w:p>
    <w:p>
      <w:r>
        <w:rPr>
          <w:rFonts w:ascii="Times New Roman" w:hAnsi="Times New Roman" w:eastAsia="宋体"/>
        </w:rPr>
        <w:t>消融结果清晰展示了对称校准的贡献：从V7（纯静态先验）到V9（加入正向校准），成功率提升3个百分点；从V9到V10（加入负向校准），再提升3个百分点。正向和负向贡献几乎相等，验证了"阴阳等价"的理论预期。持久化再贡献约1个百分点的边际改善。</w:t>
      </w:r>
    </w:p>
    <w:p>
      <w:pPr>
        <w:pStyle w:val="Heading2"/>
        <w:spacing w:before="240" w:after="120"/>
        <w:ind w:firstLine="0"/>
        <w:jc w:val="left"/>
      </w:pPr>
      <w:r>
        <w:rPr>
          <w:rFonts w:ascii="Times New Roman" w:hAnsi="Times New Roman" w:eastAsia="黑体"/>
          <w:b/>
          <w:sz w:val="24"/>
        </w:rPr>
        <w:t>5.3  精确归因案例</w:t>
      </w:r>
    </w:p>
    <w:p>
      <w:pPr>
        <w:ind w:firstLine="0"/>
      </w:pPr>
      <w:r>
        <w:rPr>
          <w:rFonts w:ascii="Times New Roman" w:hAnsi="Times New Roman" w:eastAsia="宋体"/>
        </w:rPr>
        <w:t>为展示对称校准的精确性，表3列出了V10相比V9新增成功的5局的详细归因分析：</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850"/>
            <w:shd w:fill="D9E2F3"/>
          </w:tcPr>
          <w:p>
            <w:pPr>
              <w:ind w:firstLine="0"/>
              <w:jc w:val="center"/>
            </w:pPr>
            <w:r/>
            <w:r>
              <w:rPr>
                <w:rFonts w:ascii="Times New Roman" w:hAnsi="Times New Roman" w:eastAsia="宋体"/>
                <w:b/>
                <w:sz w:val="18"/>
              </w:rPr>
              <w:t>游戏</w:t>
            </w:r>
          </w:p>
        </w:tc>
        <w:tc>
          <w:tcPr>
            <w:tcW w:type="dxa" w:w="2835"/>
            <w:shd w:fill="D9E2F3"/>
          </w:tcPr>
          <w:p>
            <w:pPr>
              <w:ind w:firstLine="0"/>
              <w:jc w:val="center"/>
            </w:pPr>
            <w:r/>
            <w:r>
              <w:rPr>
                <w:rFonts w:ascii="Times New Roman" w:hAnsi="Times New Roman" w:eastAsia="宋体"/>
                <w:b/>
                <w:sz w:val="18"/>
              </w:rPr>
              <w:t>任务</w:t>
            </w:r>
          </w:p>
        </w:tc>
        <w:tc>
          <w:tcPr>
            <w:tcW w:type="dxa" w:w="2551"/>
            <w:shd w:fill="D9E2F3"/>
          </w:tcPr>
          <w:p>
            <w:pPr>
              <w:ind w:firstLine="0"/>
              <w:jc w:val="center"/>
            </w:pPr>
            <w:r/>
            <w:r>
              <w:rPr>
                <w:rFonts w:ascii="Times New Roman" w:hAnsi="Times New Roman" w:eastAsia="宋体"/>
                <w:b/>
                <w:sz w:val="18"/>
              </w:rPr>
              <w:t>归因机制</w:t>
            </w:r>
          </w:p>
        </w:tc>
        <w:tc>
          <w:tcPr>
            <w:tcW w:type="dxa" w:w="1417"/>
            <w:shd w:fill="D9E2F3"/>
          </w:tcPr>
          <w:p>
            <w:pPr>
              <w:ind w:firstLine="0"/>
              <w:jc w:val="center"/>
            </w:pPr>
            <w:r/>
            <w:r>
              <w:rPr>
                <w:rFonts w:ascii="Times New Roman" w:hAnsi="Times New Roman" w:eastAsia="宋体"/>
                <w:b/>
                <w:sz w:val="18"/>
              </w:rPr>
              <w:t>步数变化</w:t>
            </w:r>
          </w:p>
        </w:tc>
      </w:tr>
      <w:tr>
        <w:tc>
          <w:tcPr>
            <w:tcW w:type="dxa" w:w="850"/>
          </w:tcPr>
          <w:p>
            <w:pPr>
              <w:ind w:firstLine="0"/>
              <w:jc w:val="center"/>
            </w:pPr>
            <w:r/>
            <w:r>
              <w:rPr>
                <w:rFonts w:ascii="Times New Roman" w:hAnsi="Times New Roman" w:eastAsia="宋体"/>
                <w:sz w:val="18"/>
              </w:rPr>
              <w:t>#41</w:t>
            </w:r>
          </w:p>
        </w:tc>
        <w:tc>
          <w:tcPr>
            <w:tcW w:type="dxa" w:w="2835"/>
          </w:tcPr>
          <w:p>
            <w:pPr>
              <w:ind w:firstLine="0"/>
              <w:jc w:val="center"/>
            </w:pPr>
            <w:r/>
            <w:r>
              <w:rPr>
                <w:rFonts w:ascii="Times New Roman" w:hAnsi="Times New Roman" w:eastAsia="宋体"/>
                <w:sz w:val="18"/>
              </w:rPr>
              <w:t>move salt from counter to drawer</w:t>
            </w:r>
          </w:p>
        </w:tc>
        <w:tc>
          <w:tcPr>
            <w:tcW w:type="dxa" w:w="2551"/>
          </w:tcPr>
          <w:p>
            <w:pPr>
              <w:ind w:firstLine="0"/>
              <w:jc w:val="center"/>
            </w:pPr>
            <w:r/>
            <w:r>
              <w:rPr>
                <w:rFonts w:ascii="Times New Roman" w:hAnsi="Times New Roman" w:eastAsia="宋体"/>
                <w:sz w:val="18"/>
              </w:rPr>
              <w:t>NL方向性修复(ΔK⁻定位到parser)</w:t>
            </w:r>
          </w:p>
        </w:tc>
        <w:tc>
          <w:tcPr>
            <w:tcW w:type="dxa" w:w="1417"/>
          </w:tcPr>
          <w:p>
            <w:pPr>
              <w:ind w:firstLine="0"/>
              <w:jc w:val="center"/>
            </w:pPr>
            <w:r/>
            <w:r>
              <w:rPr>
                <w:rFonts w:ascii="Times New Roman" w:hAnsi="Times New Roman" w:eastAsia="宋体"/>
                <w:sz w:val="18"/>
              </w:rPr>
              <w:t>50→32</w:t>
            </w:r>
          </w:p>
        </w:tc>
      </w:tr>
      <w:tr>
        <w:tc>
          <w:tcPr>
            <w:tcW w:type="dxa" w:w="850"/>
          </w:tcPr>
          <w:p>
            <w:pPr>
              <w:ind w:firstLine="0"/>
              <w:jc w:val="center"/>
            </w:pPr>
            <w:r/>
            <w:r>
              <w:rPr>
                <w:rFonts w:ascii="Times New Roman" w:hAnsi="Times New Roman" w:eastAsia="宋体"/>
                <w:sz w:val="18"/>
              </w:rPr>
              <w:t>#99</w:t>
            </w:r>
          </w:p>
        </w:tc>
        <w:tc>
          <w:tcPr>
            <w:tcW w:type="dxa" w:w="2835"/>
          </w:tcPr>
          <w:p>
            <w:pPr>
              <w:ind w:firstLine="0"/>
              <w:jc w:val="center"/>
            </w:pPr>
            <w:r/>
            <w:r>
              <w:rPr>
                <w:rFonts w:ascii="Times New Roman" w:hAnsi="Times New Roman" w:eastAsia="宋体"/>
                <w:sz w:val="18"/>
              </w:rPr>
              <w:t>Move watch to safe</w:t>
            </w:r>
          </w:p>
        </w:tc>
        <w:tc>
          <w:tcPr>
            <w:tcW w:type="dxa" w:w="2551"/>
          </w:tcPr>
          <w:p>
            <w:pPr>
              <w:ind w:firstLine="0"/>
              <w:jc w:val="center"/>
            </w:pPr>
            <w:r/>
            <w:r>
              <w:rPr>
                <w:rFonts w:ascii="Times New Roman" w:hAnsi="Times New Roman" w:eastAsia="宋体"/>
                <w:sz w:val="18"/>
              </w:rPr>
              <w:t>vault→safe别名(ΔK⁺同义词)</w:t>
            </w:r>
          </w:p>
        </w:tc>
        <w:tc>
          <w:tcPr>
            <w:tcW w:type="dxa" w:w="1417"/>
          </w:tcPr>
          <w:p>
            <w:pPr>
              <w:ind w:firstLine="0"/>
              <w:jc w:val="center"/>
            </w:pPr>
            <w:r/>
            <w:r>
              <w:rPr>
                <w:rFonts w:ascii="Times New Roman" w:hAnsi="Times New Roman" w:eastAsia="宋体"/>
                <w:sz w:val="18"/>
              </w:rPr>
              <w:t>50→5</w:t>
            </w:r>
          </w:p>
        </w:tc>
      </w:tr>
      <w:tr>
        <w:tc>
          <w:tcPr>
            <w:tcW w:type="dxa" w:w="850"/>
          </w:tcPr>
          <w:p>
            <w:pPr>
              <w:ind w:firstLine="0"/>
              <w:jc w:val="center"/>
            </w:pPr>
            <w:r/>
            <w:r>
              <w:rPr>
                <w:rFonts w:ascii="Times New Roman" w:hAnsi="Times New Roman" w:eastAsia="宋体"/>
                <w:sz w:val="18"/>
              </w:rPr>
              <w:t>#116</w:t>
            </w:r>
          </w:p>
        </w:tc>
        <w:tc>
          <w:tcPr>
            <w:tcW w:type="dxa" w:w="2835"/>
          </w:tcPr>
          <w:p>
            <w:pPr>
              <w:ind w:firstLine="0"/>
              <w:jc w:val="center"/>
            </w:pPr>
            <w:r/>
            <w:r>
              <w:rPr>
                <w:rFonts w:ascii="Times New Roman" w:hAnsi="Times New Roman" w:eastAsia="宋体"/>
                <w:sz w:val="18"/>
              </w:rPr>
              <w:t>take mug from shelf, place on desk</w:t>
            </w:r>
          </w:p>
        </w:tc>
        <w:tc>
          <w:tcPr>
            <w:tcW w:type="dxa" w:w="2551"/>
          </w:tcPr>
          <w:p>
            <w:pPr>
              <w:ind w:firstLine="0"/>
              <w:jc w:val="center"/>
            </w:pPr>
            <w:r/>
            <w:r>
              <w:rPr>
                <w:rFonts w:ascii="Times New Roman" w:hAnsi="Times New Roman" w:eastAsia="宋体"/>
                <w:sz w:val="18"/>
              </w:rPr>
              <w:t>NL方向性修复</w:t>
            </w:r>
          </w:p>
        </w:tc>
        <w:tc>
          <w:tcPr>
            <w:tcW w:type="dxa" w:w="1417"/>
          </w:tcPr>
          <w:p>
            <w:pPr>
              <w:ind w:firstLine="0"/>
              <w:jc w:val="center"/>
            </w:pPr>
            <w:r/>
            <w:r>
              <w:rPr>
                <w:rFonts w:ascii="Times New Roman" w:hAnsi="Times New Roman" w:eastAsia="宋体"/>
                <w:sz w:val="18"/>
              </w:rPr>
              <w:t>50→11</w:t>
            </w:r>
          </w:p>
        </w:tc>
      </w:tr>
      <w:tr>
        <w:tc>
          <w:tcPr>
            <w:tcW w:type="dxa" w:w="850"/>
          </w:tcPr>
          <w:p>
            <w:pPr>
              <w:ind w:firstLine="0"/>
              <w:jc w:val="center"/>
            </w:pPr>
            <w:r/>
            <w:r>
              <w:rPr>
                <w:rFonts w:ascii="Times New Roman" w:hAnsi="Times New Roman" w:eastAsia="宋体"/>
                <w:sz w:val="18"/>
              </w:rPr>
              <w:t>#118</w:t>
            </w:r>
          </w:p>
        </w:tc>
        <w:tc>
          <w:tcPr>
            <w:tcW w:type="dxa" w:w="2835"/>
          </w:tcPr>
          <w:p>
            <w:pPr>
              <w:ind w:firstLine="0"/>
              <w:jc w:val="center"/>
            </w:pPr>
            <w:r/>
            <w:r>
              <w:rPr>
                <w:rFonts w:ascii="Times New Roman" w:hAnsi="Times New Roman" w:eastAsia="宋体"/>
                <w:sz w:val="18"/>
              </w:rPr>
              <w:t>take mug to desk</w:t>
            </w:r>
          </w:p>
        </w:tc>
        <w:tc>
          <w:tcPr>
            <w:tcW w:type="dxa" w:w="2551"/>
          </w:tcPr>
          <w:p>
            <w:pPr>
              <w:ind w:firstLine="0"/>
              <w:jc w:val="center"/>
            </w:pPr>
            <w:r/>
            <w:r>
              <w:rPr>
                <w:rFonts w:ascii="Times New Roman" w:hAnsi="Times New Roman" w:eastAsia="宋体"/>
                <w:sz w:val="18"/>
              </w:rPr>
              <w:t>NL方向性修复</w:t>
            </w:r>
          </w:p>
        </w:tc>
        <w:tc>
          <w:tcPr>
            <w:tcW w:type="dxa" w:w="1417"/>
          </w:tcPr>
          <w:p>
            <w:pPr>
              <w:ind w:firstLine="0"/>
              <w:jc w:val="center"/>
            </w:pPr>
            <w:r/>
            <w:r>
              <w:rPr>
                <w:rFonts w:ascii="Times New Roman" w:hAnsi="Times New Roman" w:eastAsia="宋体"/>
                <w:sz w:val="18"/>
              </w:rPr>
              <w:t>50→11</w:t>
            </w:r>
          </w:p>
        </w:tc>
      </w:tr>
      <w:tr>
        <w:tc>
          <w:tcPr>
            <w:tcW w:type="dxa" w:w="850"/>
          </w:tcPr>
          <w:p>
            <w:pPr>
              <w:ind w:firstLine="0"/>
              <w:jc w:val="center"/>
            </w:pPr>
            <w:r/>
            <w:r>
              <w:rPr>
                <w:rFonts w:ascii="Times New Roman" w:hAnsi="Times New Roman" w:eastAsia="宋体"/>
                <w:sz w:val="18"/>
              </w:rPr>
              <w:t>#128</w:t>
            </w:r>
          </w:p>
        </w:tc>
        <w:tc>
          <w:tcPr>
            <w:tcW w:type="dxa" w:w="2835"/>
          </w:tcPr>
          <w:p>
            <w:pPr>
              <w:ind w:firstLine="0"/>
              <w:jc w:val="center"/>
            </w:pPr>
            <w:r/>
            <w:r>
              <w:rPr>
                <w:rFonts w:ascii="Times New Roman" w:hAnsi="Times New Roman" w:eastAsia="宋体"/>
                <w:sz w:val="18"/>
              </w:rPr>
              <w:t>Transfer CDs to vault</w:t>
            </w:r>
          </w:p>
        </w:tc>
        <w:tc>
          <w:tcPr>
            <w:tcW w:type="dxa" w:w="2551"/>
          </w:tcPr>
          <w:p>
            <w:pPr>
              <w:ind w:firstLine="0"/>
              <w:jc w:val="center"/>
            </w:pPr>
            <w:r/>
            <w:r>
              <w:rPr>
                <w:rFonts w:ascii="Times New Roman" w:hAnsi="Times New Roman" w:eastAsia="宋体"/>
                <w:sz w:val="18"/>
              </w:rPr>
              <w:t>vault→safe别名</w:t>
            </w:r>
          </w:p>
        </w:tc>
        <w:tc>
          <w:tcPr>
            <w:tcW w:type="dxa" w:w="1417"/>
          </w:tcPr>
          <w:p>
            <w:pPr>
              <w:ind w:firstLine="0"/>
              <w:jc w:val="center"/>
            </w:pPr>
            <w:r/>
            <w:r>
              <w:rPr>
                <w:rFonts w:ascii="Times New Roman" w:hAnsi="Times New Roman" w:eastAsia="宋体"/>
                <w:sz w:val="18"/>
              </w:rPr>
              <w:t>50→11</w:t>
            </w:r>
          </w:p>
        </w:tc>
      </w:tr>
    </w:tbl>
    <w:p/>
    <w:p>
      <w:pPr>
        <w:ind w:firstLine="0"/>
        <w:jc w:val="center"/>
      </w:pPr>
      <w:r>
        <w:rPr>
          <w:rFonts w:ascii="Times New Roman" w:hAnsi="Times New Roman" w:eastAsia="宋体"/>
          <w:b/>
          <w:i w:val="0"/>
        </w:rPr>
        <w:t>表3</w:t>
      </w:r>
      <w:r>
        <w:rPr>
          <w:rFonts w:ascii="Times New Roman" w:hAnsi="Times New Roman" w:eastAsia="宋体"/>
          <w:b w:val="0"/>
          <w:i w:val="0"/>
        </w:rPr>
        <w:t xml:space="preserve">  V10新增成功局的精确归因</w:t>
      </w:r>
    </w:p>
    <w:p>
      <w:r>
        <w:rPr>
          <w:rFonts w:ascii="Times New Roman" w:hAnsi="Times New Roman" w:eastAsia="宋体"/>
        </w:rPr>
        <w:t>归因分析揭示两类典型的对称校准效果：（1）NL方向性修复——由负向校准（知耻）驱动，当智能体反复因解析错误而失败时，L1层精确定位到错误的物体匹配条目并施加负校准，修复后一次成功；（2）同义词别名——由正向校准（知几）驱动，在之前任务的成功轨迹中学到"vault=safe"的等价关系，在后续任务中直接利用。两类修复分别来自对称校准的负向和正向面，共同贡献了新增的成功。</w:t>
      </w:r>
    </w:p>
    <w:p>
      <w:pPr>
        <w:pStyle w:val="Heading2"/>
        <w:spacing w:before="240" w:after="120"/>
        <w:ind w:firstLine="0"/>
        <w:jc w:val="left"/>
      </w:pPr>
      <w:r>
        <w:rPr>
          <w:rFonts w:ascii="Times New Roman" w:hAnsi="Times New Roman" w:eastAsia="黑体"/>
          <w:b/>
          <w:sz w:val="24"/>
        </w:rPr>
        <w:t>5.4  步数节省分析</w:t>
      </w:r>
    </w:p>
    <w:p>
      <w:r>
        <w:rPr>
          <w:rFonts w:ascii="Times New Roman" w:hAnsi="Times New Roman" w:eastAsia="宋体"/>
        </w:rPr>
        <w:t>在V9和V10共同成功的93局中，V10有14局步数更少，总共节省98步。最典型的案例是游戏#74（热咖啡杯任务）：V9需要41步（在多个位置无效探索后才找到咖啡杯），V10仅需11步（负向校准否定了错误的位置先验，直接去正确位置）。</w:t>
      </w:r>
    </w:p>
    <w:p>
      <w:r>
        <w:rPr>
          <w:rFonts w:ascii="Times New Roman" w:hAnsi="Times New Roman" w:eastAsia="宋体"/>
        </w:rPr>
        <w:t>步数节省的本质是负向校准的"剪枝效果"：通过明确标记"什么是错的"，减少了智能体的无效探索空间。这与人类学习的直觉一致——知道哪些路走不通，本身就是知识。</w:t>
      </w:r>
    </w:p>
    <w:p>
      <w:pPr>
        <w:pStyle w:val="Heading2"/>
        <w:spacing w:before="240" w:after="120"/>
        <w:ind w:firstLine="0"/>
        <w:jc w:val="left"/>
      </w:pPr>
      <w:r>
        <w:rPr>
          <w:rFonts w:ascii="Times New Roman" w:hAnsi="Times New Roman" w:eastAsia="黑体"/>
          <w:b/>
          <w:sz w:val="24"/>
        </w:rPr>
        <w:t>5.5  与现有方法对比</w:t>
      </w:r>
    </w:p>
    <w:p>
      <w:pPr>
        <w:ind w:firstLine="0"/>
      </w:pPr>
      <w:r>
        <w:rPr>
          <w:rFonts w:ascii="Times New Roman" w:hAnsi="Times New Roman" w:eastAsia="宋体"/>
        </w:rPr>
        <w:t>表4将本文方法与当前主流方法进行系统对比：</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984"/>
            <w:shd w:fill="D9E2F3"/>
          </w:tcPr>
          <w:p>
            <w:pPr>
              <w:ind w:firstLine="0"/>
              <w:jc w:val="center"/>
            </w:pPr>
            <w:r/>
            <w:r>
              <w:rPr>
                <w:rFonts w:ascii="Times New Roman" w:hAnsi="Times New Roman" w:eastAsia="宋体"/>
                <w:b/>
                <w:sz w:val="18"/>
              </w:rPr>
              <w:t>方法</w:t>
            </w:r>
          </w:p>
        </w:tc>
        <w:tc>
          <w:tcPr>
            <w:tcW w:type="dxa" w:w="1134"/>
            <w:shd w:fill="D9E2F3"/>
          </w:tcPr>
          <w:p>
            <w:pPr>
              <w:ind w:firstLine="0"/>
              <w:jc w:val="center"/>
            </w:pPr>
            <w:r/>
            <w:r>
              <w:rPr>
                <w:rFonts w:ascii="Times New Roman" w:hAnsi="Times New Roman" w:eastAsia="宋体"/>
                <w:b/>
                <w:sz w:val="18"/>
              </w:rPr>
              <w:t>成功率</w:t>
            </w:r>
          </w:p>
        </w:tc>
        <w:tc>
          <w:tcPr>
            <w:tcW w:type="dxa" w:w="1417"/>
            <w:shd w:fill="D9E2F3"/>
          </w:tcPr>
          <w:p>
            <w:pPr>
              <w:ind w:firstLine="0"/>
              <w:jc w:val="center"/>
            </w:pPr>
            <w:r/>
            <w:r>
              <w:rPr>
                <w:rFonts w:ascii="Times New Roman" w:hAnsi="Times New Roman" w:eastAsia="宋体"/>
                <w:b/>
                <w:sz w:val="18"/>
              </w:rPr>
              <w:t>参数量</w:t>
            </w:r>
          </w:p>
        </w:tc>
        <w:tc>
          <w:tcPr>
            <w:tcW w:type="dxa" w:w="1134"/>
            <w:shd w:fill="D9E2F3"/>
          </w:tcPr>
          <w:p>
            <w:pPr>
              <w:ind w:firstLine="0"/>
              <w:jc w:val="center"/>
            </w:pPr>
            <w:r/>
            <w:r>
              <w:rPr>
                <w:rFonts w:ascii="Times New Roman" w:hAnsi="Times New Roman" w:eastAsia="宋体"/>
                <w:b/>
                <w:sz w:val="18"/>
              </w:rPr>
              <w:t>需LLM</w:t>
            </w:r>
          </w:p>
        </w:tc>
        <w:tc>
          <w:tcPr>
            <w:tcW w:type="dxa" w:w="1134"/>
            <w:shd w:fill="D9E2F3"/>
          </w:tcPr>
          <w:p>
            <w:pPr>
              <w:ind w:firstLine="0"/>
              <w:jc w:val="center"/>
            </w:pPr>
            <w:r/>
            <w:r>
              <w:rPr>
                <w:rFonts w:ascii="Times New Roman" w:hAnsi="Times New Roman" w:eastAsia="宋体"/>
                <w:b/>
                <w:sz w:val="18"/>
              </w:rPr>
              <w:t>可解释</w:t>
            </w:r>
          </w:p>
        </w:tc>
        <w:tc>
          <w:tcPr>
            <w:tcW w:type="dxa" w:w="1134"/>
            <w:shd w:fill="D9E2F3"/>
          </w:tcPr>
          <w:p>
            <w:pPr>
              <w:ind w:firstLine="0"/>
              <w:jc w:val="center"/>
            </w:pPr>
            <w:r/>
            <w:r>
              <w:rPr>
                <w:rFonts w:ascii="Times New Roman" w:hAnsi="Times New Roman" w:eastAsia="宋体"/>
                <w:b/>
                <w:sz w:val="18"/>
              </w:rPr>
              <w:t>确定性</w:t>
            </w:r>
          </w:p>
        </w:tc>
      </w:tr>
      <w:tr>
        <w:tc>
          <w:tcPr>
            <w:tcW w:type="dxa" w:w="1984"/>
          </w:tcPr>
          <w:p>
            <w:pPr>
              <w:ind w:firstLine="0"/>
              <w:jc w:val="center"/>
            </w:pPr>
            <w:r/>
            <w:r>
              <w:rPr>
                <w:rFonts w:ascii="Times New Roman" w:hAnsi="Times New Roman" w:eastAsia="宋体"/>
                <w:sz w:val="18"/>
              </w:rPr>
              <w:t>ReAct (GPT-4)[10]</w:t>
            </w:r>
          </w:p>
        </w:tc>
        <w:tc>
          <w:tcPr>
            <w:tcW w:type="dxa" w:w="1134"/>
          </w:tcPr>
          <w:p>
            <w:pPr>
              <w:ind w:firstLine="0"/>
              <w:jc w:val="center"/>
            </w:pPr>
            <w:r/>
            <w:r>
              <w:rPr>
                <w:rFonts w:ascii="Times New Roman" w:hAnsi="Times New Roman" w:eastAsia="宋体"/>
                <w:sz w:val="18"/>
              </w:rPr>
              <w:t>71%</w:t>
            </w:r>
          </w:p>
        </w:tc>
        <w:tc>
          <w:tcPr>
            <w:tcW w:type="dxa" w:w="1417"/>
          </w:tcPr>
          <w:p>
            <w:pPr>
              <w:ind w:firstLine="0"/>
              <w:jc w:val="center"/>
            </w:pPr>
            <w:r/>
            <w:r>
              <w:rPr>
                <w:rFonts w:ascii="Times New Roman" w:hAnsi="Times New Roman" w:eastAsia="宋体"/>
                <w:sz w:val="18"/>
              </w:rPr>
              <w:t>1750亿</w:t>
            </w:r>
          </w:p>
        </w:tc>
        <w:tc>
          <w:tcPr>
            <w:tcW w:type="dxa" w:w="1134"/>
          </w:tcPr>
          <w:p>
            <w:pPr>
              <w:ind w:firstLine="0"/>
              <w:jc w:val="center"/>
            </w:pPr>
            <w:r/>
            <w:r>
              <w:rPr>
                <w:rFonts w:ascii="Times New Roman" w:hAnsi="Times New Roman" w:eastAsia="宋体"/>
                <w:sz w:val="18"/>
              </w:rPr>
              <w:t>是</w:t>
            </w:r>
          </w:p>
        </w:tc>
        <w:tc>
          <w:tcPr>
            <w:tcW w:type="dxa" w:w="1134"/>
          </w:tcPr>
          <w:p>
            <w:pPr>
              <w:ind w:firstLine="0"/>
              <w:jc w:val="center"/>
            </w:pPr>
            <w:r/>
            <w:r>
              <w:rPr>
                <w:rFonts w:ascii="Times New Roman" w:hAnsi="Times New Roman" w:eastAsia="宋体"/>
                <w:sz w:val="18"/>
              </w:rPr>
              <w:t>否</w:t>
            </w:r>
          </w:p>
        </w:tc>
        <w:tc>
          <w:tcPr>
            <w:tcW w:type="dxa" w:w="1134"/>
          </w:tcPr>
          <w:p>
            <w:pPr>
              <w:ind w:firstLine="0"/>
              <w:jc w:val="center"/>
            </w:pPr>
            <w:r/>
            <w:r>
              <w:rPr>
                <w:rFonts w:ascii="Times New Roman" w:hAnsi="Times New Roman" w:eastAsia="宋体"/>
                <w:sz w:val="18"/>
              </w:rPr>
              <w:t>否</w:t>
            </w:r>
          </w:p>
        </w:tc>
      </w:tr>
      <w:tr>
        <w:tc>
          <w:tcPr>
            <w:tcW w:type="dxa" w:w="1984"/>
          </w:tcPr>
          <w:p>
            <w:pPr>
              <w:ind w:firstLine="0"/>
              <w:jc w:val="center"/>
            </w:pPr>
            <w:r/>
            <w:r>
              <w:rPr>
                <w:rFonts w:ascii="Times New Roman" w:hAnsi="Times New Roman" w:eastAsia="宋体"/>
                <w:sz w:val="18"/>
              </w:rPr>
              <w:t>Reflexion[11]</w:t>
            </w:r>
          </w:p>
        </w:tc>
        <w:tc>
          <w:tcPr>
            <w:tcW w:type="dxa" w:w="1134"/>
          </w:tcPr>
          <w:p>
            <w:pPr>
              <w:ind w:firstLine="0"/>
              <w:jc w:val="center"/>
            </w:pPr>
            <w:r/>
            <w:r>
              <w:rPr>
                <w:rFonts w:ascii="Times New Roman" w:hAnsi="Times New Roman" w:eastAsia="宋体"/>
                <w:sz w:val="18"/>
              </w:rPr>
              <w:t>77%</w:t>
            </w:r>
          </w:p>
        </w:tc>
        <w:tc>
          <w:tcPr>
            <w:tcW w:type="dxa" w:w="1417"/>
          </w:tcPr>
          <w:p>
            <w:pPr>
              <w:ind w:firstLine="0"/>
              <w:jc w:val="center"/>
            </w:pPr>
            <w:r/>
            <w:r>
              <w:rPr>
                <w:rFonts w:ascii="Times New Roman" w:hAnsi="Times New Roman" w:eastAsia="宋体"/>
                <w:sz w:val="18"/>
              </w:rPr>
              <w:t>1750亿</w:t>
            </w:r>
          </w:p>
        </w:tc>
        <w:tc>
          <w:tcPr>
            <w:tcW w:type="dxa" w:w="1134"/>
          </w:tcPr>
          <w:p>
            <w:pPr>
              <w:ind w:firstLine="0"/>
              <w:jc w:val="center"/>
            </w:pPr>
            <w:r/>
            <w:r>
              <w:rPr>
                <w:rFonts w:ascii="Times New Roman" w:hAnsi="Times New Roman" w:eastAsia="宋体"/>
                <w:sz w:val="18"/>
              </w:rPr>
              <w:t>是</w:t>
            </w:r>
          </w:p>
        </w:tc>
        <w:tc>
          <w:tcPr>
            <w:tcW w:type="dxa" w:w="1134"/>
          </w:tcPr>
          <w:p>
            <w:pPr>
              <w:ind w:firstLine="0"/>
              <w:jc w:val="center"/>
            </w:pPr>
            <w:r/>
            <w:r>
              <w:rPr>
                <w:rFonts w:ascii="Times New Roman" w:hAnsi="Times New Roman" w:eastAsia="宋体"/>
                <w:sz w:val="18"/>
              </w:rPr>
              <w:t>否</w:t>
            </w:r>
          </w:p>
        </w:tc>
        <w:tc>
          <w:tcPr>
            <w:tcW w:type="dxa" w:w="1134"/>
          </w:tcPr>
          <w:p>
            <w:pPr>
              <w:ind w:firstLine="0"/>
              <w:jc w:val="center"/>
            </w:pPr>
            <w:r/>
            <w:r>
              <w:rPr>
                <w:rFonts w:ascii="Times New Roman" w:hAnsi="Times New Roman" w:eastAsia="宋体"/>
                <w:sz w:val="18"/>
              </w:rPr>
              <w:t>否</w:t>
            </w:r>
          </w:p>
        </w:tc>
      </w:tr>
      <w:tr>
        <w:tc>
          <w:tcPr>
            <w:tcW w:type="dxa" w:w="1984"/>
          </w:tcPr>
          <w:p>
            <w:pPr>
              <w:ind w:firstLine="0"/>
              <w:jc w:val="center"/>
            </w:pPr>
            <w:r/>
            <w:r>
              <w:rPr>
                <w:rFonts w:ascii="Times New Roman" w:hAnsi="Times New Roman" w:eastAsia="宋体"/>
                <w:sz w:val="18"/>
              </w:rPr>
              <w:t>EmbodiSkill (27B)[12]</w:t>
            </w:r>
          </w:p>
        </w:tc>
        <w:tc>
          <w:tcPr>
            <w:tcW w:type="dxa" w:w="1134"/>
          </w:tcPr>
          <w:p>
            <w:pPr>
              <w:ind w:firstLine="0"/>
              <w:jc w:val="center"/>
            </w:pPr>
            <w:r/>
            <w:r>
              <w:rPr>
                <w:rFonts w:ascii="Times New Roman" w:hAnsi="Times New Roman" w:eastAsia="宋体"/>
                <w:sz w:val="18"/>
              </w:rPr>
              <w:t>93.28%</w:t>
            </w:r>
          </w:p>
        </w:tc>
        <w:tc>
          <w:tcPr>
            <w:tcW w:type="dxa" w:w="1417"/>
          </w:tcPr>
          <w:p>
            <w:pPr>
              <w:ind w:firstLine="0"/>
              <w:jc w:val="center"/>
            </w:pPr>
            <w:r/>
            <w:r>
              <w:rPr>
                <w:rFonts w:ascii="Times New Roman" w:hAnsi="Times New Roman" w:eastAsia="宋体"/>
                <w:sz w:val="18"/>
              </w:rPr>
              <w:t>270亿</w:t>
            </w:r>
          </w:p>
        </w:tc>
        <w:tc>
          <w:tcPr>
            <w:tcW w:type="dxa" w:w="1134"/>
          </w:tcPr>
          <w:p>
            <w:pPr>
              <w:ind w:firstLine="0"/>
              <w:jc w:val="center"/>
            </w:pPr>
            <w:r/>
            <w:r>
              <w:rPr>
                <w:rFonts w:ascii="Times New Roman" w:hAnsi="Times New Roman" w:eastAsia="宋体"/>
                <w:sz w:val="18"/>
              </w:rPr>
              <w:t>是</w:t>
            </w:r>
          </w:p>
        </w:tc>
        <w:tc>
          <w:tcPr>
            <w:tcW w:type="dxa" w:w="1134"/>
          </w:tcPr>
          <w:p>
            <w:pPr>
              <w:ind w:firstLine="0"/>
              <w:jc w:val="center"/>
            </w:pPr>
            <w:r/>
            <w:r>
              <w:rPr>
                <w:rFonts w:ascii="Times New Roman" w:hAnsi="Times New Roman" w:eastAsia="宋体"/>
                <w:sz w:val="18"/>
              </w:rPr>
              <w:t>否</w:t>
            </w:r>
          </w:p>
        </w:tc>
        <w:tc>
          <w:tcPr>
            <w:tcW w:type="dxa" w:w="1134"/>
          </w:tcPr>
          <w:p>
            <w:pPr>
              <w:ind w:firstLine="0"/>
              <w:jc w:val="center"/>
            </w:pPr>
            <w:r/>
            <w:r>
              <w:rPr>
                <w:rFonts w:ascii="Times New Roman" w:hAnsi="Times New Roman" w:eastAsia="宋体"/>
                <w:sz w:val="18"/>
              </w:rPr>
              <w:t>否</w:t>
            </w:r>
          </w:p>
        </w:tc>
      </w:tr>
      <w:tr>
        <w:tc>
          <w:tcPr>
            <w:tcW w:type="dxa" w:w="1984"/>
          </w:tcPr>
          <w:p>
            <w:pPr>
              <w:ind w:firstLine="0"/>
              <w:jc w:val="center"/>
            </w:pPr>
            <w:r/>
            <w:r>
              <w:rPr>
                <w:rFonts w:ascii="Times New Roman" w:hAnsi="Times New Roman" w:eastAsia="宋体"/>
                <w:sz w:val="18"/>
              </w:rPr>
              <w:t>YLYW V10 (本文)</w:t>
            </w:r>
          </w:p>
        </w:tc>
        <w:tc>
          <w:tcPr>
            <w:tcW w:type="dxa" w:w="1134"/>
          </w:tcPr>
          <w:p>
            <w:pPr>
              <w:ind w:firstLine="0"/>
              <w:jc w:val="center"/>
            </w:pPr>
            <w:r/>
            <w:r>
              <w:rPr>
                <w:rFonts w:ascii="Times New Roman" w:hAnsi="Times New Roman" w:eastAsia="宋体"/>
                <w:sz w:val="18"/>
              </w:rPr>
              <w:t>73.9%</w:t>
            </w:r>
          </w:p>
        </w:tc>
        <w:tc>
          <w:tcPr>
            <w:tcW w:type="dxa" w:w="1417"/>
          </w:tcPr>
          <w:p>
            <w:pPr>
              <w:ind w:firstLine="0"/>
              <w:jc w:val="center"/>
            </w:pPr>
            <w:r/>
            <w:r>
              <w:rPr>
                <w:rFonts w:ascii="Times New Roman" w:hAnsi="Times New Roman" w:eastAsia="宋体"/>
                <w:sz w:val="18"/>
              </w:rPr>
              <w:t>0 (纯规则)</w:t>
            </w:r>
          </w:p>
        </w:tc>
        <w:tc>
          <w:tcPr>
            <w:tcW w:type="dxa" w:w="1134"/>
          </w:tcPr>
          <w:p>
            <w:pPr>
              <w:ind w:firstLine="0"/>
              <w:jc w:val="center"/>
            </w:pPr>
            <w:r/>
            <w:r>
              <w:rPr>
                <w:rFonts w:ascii="Times New Roman" w:hAnsi="Times New Roman" w:eastAsia="宋体"/>
                <w:sz w:val="18"/>
              </w:rPr>
              <w:t>否</w:t>
            </w:r>
          </w:p>
        </w:tc>
        <w:tc>
          <w:tcPr>
            <w:tcW w:type="dxa" w:w="1134"/>
          </w:tcPr>
          <w:p>
            <w:pPr>
              <w:ind w:firstLine="0"/>
              <w:jc w:val="center"/>
            </w:pPr>
            <w:r/>
            <w:r>
              <w:rPr>
                <w:rFonts w:ascii="Times New Roman" w:hAnsi="Times New Roman" w:eastAsia="宋体"/>
                <w:sz w:val="18"/>
              </w:rPr>
              <w:t>是</w:t>
            </w:r>
          </w:p>
        </w:tc>
        <w:tc>
          <w:tcPr>
            <w:tcW w:type="dxa" w:w="1134"/>
          </w:tcPr>
          <w:p>
            <w:pPr>
              <w:ind w:firstLine="0"/>
              <w:jc w:val="center"/>
            </w:pPr>
            <w:r/>
            <w:r>
              <w:rPr>
                <w:rFonts w:ascii="Times New Roman" w:hAnsi="Times New Roman" w:eastAsia="宋体"/>
                <w:sz w:val="18"/>
              </w:rPr>
              <w:t>是</w:t>
            </w:r>
          </w:p>
        </w:tc>
      </w:tr>
    </w:tbl>
    <w:p/>
    <w:p>
      <w:pPr>
        <w:ind w:firstLine="0"/>
        <w:jc w:val="center"/>
      </w:pPr>
      <w:r>
        <w:rPr>
          <w:rFonts w:ascii="Times New Roman" w:hAnsi="Times New Roman" w:eastAsia="宋体"/>
          <w:b/>
          <w:i w:val="0"/>
        </w:rPr>
        <w:t>表4</w:t>
      </w:r>
      <w:r>
        <w:rPr>
          <w:rFonts w:ascii="Times New Roman" w:hAnsi="Times New Roman" w:eastAsia="宋体"/>
          <w:b w:val="0"/>
          <w:i w:val="0"/>
        </w:rPr>
        <w:t xml:space="preserve">  与现有方法的系统对比</w:t>
      </w:r>
    </w:p>
    <w:p>
      <w:r>
        <w:rPr>
          <w:rFonts w:ascii="Times New Roman" w:hAnsi="Times New Roman" w:eastAsia="宋体"/>
          <w:b w:val="0"/>
          <w:i w:val="0"/>
        </w:rPr>
        <w:t>对比分析：本文方法在绝对成功率上不及依赖大语言模型的方法（特别是EmbodiSkill使用了27B参数的LLM</w:t>
      </w:r>
      <w:r>
        <w:rPr>
          <w:rFonts w:ascii="Times New Roman" w:hAnsi="Times New Roman" w:eastAsia="宋体"/>
          <w:b w:val="0"/>
          <w:i w:val="0"/>
          <w:vertAlign w:val="superscript"/>
        </w:rPr>
        <w:t>[12]</w:t>
      </w:r>
      <w:r>
        <w:rPr>
          <w:rFonts w:ascii="Times New Roman" w:hAnsi="Times New Roman" w:eastAsia="宋体"/>
          <w:b w:val="0"/>
          <w:i w:val="0"/>
        </w:rPr>
        <w:t>），但在以下维度具有本质优势：（1）零参数量——无需训练，无需GPU；（2）完全可解释——每个决策都能追溯到具体的矩阵条目和规则；（3）完全确定性——相同输入必得相同输出，可重复验证；（4）极致轻量——800行Python，3分钟运行134局。</w:t>
      </w:r>
    </w:p>
    <w:p>
      <w:r>
        <w:rPr>
          <w:rFonts w:ascii="Times New Roman" w:hAnsi="Times New Roman" w:eastAsia="宋体"/>
        </w:rPr>
        <w:t>这些优势使得本文方法特别适合对可解释性、确定性和资源效率有严格要求的应用场景，如安全关键系统、边缘部署、教学演示等。</w:t>
      </w:r>
    </w:p>
    <w:p>
      <w:pPr>
        <w:pStyle w:val="Heading1"/>
        <w:spacing w:before="240" w:after="120"/>
        <w:ind w:firstLine="0"/>
        <w:jc w:val="left"/>
      </w:pPr>
      <w:r>
        <w:rPr>
          <w:rFonts w:ascii="Times New Roman" w:hAnsi="Times New Roman" w:eastAsia="黑体"/>
          <w:b/>
          <w:sz w:val="28"/>
        </w:rPr>
        <w:t>6  与强化学习的本质对比</w:t>
      </w:r>
    </w:p>
    <w:p>
      <w:pPr>
        <w:pStyle w:val="Heading2"/>
        <w:spacing w:before="240" w:after="120"/>
        <w:ind w:firstLine="0"/>
        <w:jc w:val="left"/>
      </w:pPr>
      <w:r>
        <w:rPr>
          <w:rFonts w:ascii="Times New Roman" w:hAnsi="Times New Roman" w:eastAsia="黑体"/>
          <w:b/>
          <w:sz w:val="24"/>
        </w:rPr>
        <w:t>6.1  相同点：都从交互中学习</w:t>
      </w:r>
    </w:p>
    <w:p>
      <w:r>
        <w:rPr>
          <w:rFonts w:ascii="Times New Roman" w:hAnsi="Times New Roman" w:eastAsia="宋体"/>
          <w:b w:val="0"/>
          <w:i w:val="0"/>
        </w:rPr>
        <w:t>知几知耻学习与强化学习</w:t>
      </w:r>
      <w:r>
        <w:rPr>
          <w:rFonts w:ascii="Times New Roman" w:hAnsi="Times New Roman" w:eastAsia="宋体"/>
          <w:b w:val="0"/>
          <w:i w:val="0"/>
          <w:vertAlign w:val="superscript"/>
        </w:rPr>
        <w:t>[14]</w:t>
      </w:r>
      <w:r>
        <w:rPr>
          <w:rFonts w:ascii="Times New Roman" w:hAnsi="Times New Roman" w:eastAsia="宋体"/>
          <w:b w:val="0"/>
          <w:i w:val="0"/>
        </w:rPr>
        <w:t>共享一个基本框架：智能体与环境交互，获得奖惩信号，利用该信号更新自身以提升未来表现。两者都是在线学习（online learning），都依赖于试错（trial-and-error），都使用标量奖励信号作为学习的唯一监督。从这个意义上说，知几知耻是广义强化学习的一个特殊实例。</w:t>
      </w:r>
    </w:p>
    <w:p>
      <w:pPr>
        <w:pStyle w:val="Heading2"/>
        <w:spacing w:before="240" w:after="120"/>
        <w:ind w:firstLine="0"/>
        <w:jc w:val="left"/>
      </w:pPr>
      <w:r>
        <w:rPr>
          <w:rFonts w:ascii="Times New Roman" w:hAnsi="Times New Roman" w:eastAsia="黑体"/>
          <w:b/>
          <w:sz w:val="24"/>
        </w:rPr>
        <w:t>6.2  根本差异：全局梯度 vs 精确条目更新</w:t>
      </w:r>
    </w:p>
    <w:p>
      <w:r>
        <w:rPr>
          <w:rFonts w:ascii="Times New Roman" w:hAnsi="Times New Roman" w:eastAsia="宋体"/>
        </w:rPr>
        <w:t>然而，两者在"如何利用奖惩信号"上存在根本差异：</w:t>
      </w:r>
    </w:p>
    <w:p>
      <w:r>
        <w:rPr>
          <w:rFonts w:ascii="Times New Roman" w:hAnsi="Times New Roman" w:eastAsia="宋体"/>
          <w:b/>
          <w:i w:val="0"/>
        </w:rPr>
        <w:t>RL的梯度更新：</w:t>
      </w:r>
      <w:r>
        <w:rPr>
          <w:rFonts w:ascii="Cambria Math" w:hAnsi="Cambria Math" w:eastAsia="宋体"/>
          <w:b w:val="0"/>
          <w:i/>
        </w:rPr>
        <w:t>θ ← θ - η∇J(θ)</w:t>
      </w:r>
      <w:r>
        <w:rPr>
          <w:rFonts w:ascii="Times New Roman" w:hAnsi="Times New Roman" w:eastAsia="宋体"/>
          <w:b w:val="0"/>
          <w:i w:val="0"/>
        </w:rPr>
        <w:t>。策略梯度通过反向传播将奖励信号分摊到数百万参数上。每个参数的更新量极小（η ≈ 10</w:t>
      </w:r>
      <w:r>
        <w:rPr>
          <w:rFonts w:ascii="Times New Roman" w:hAnsi="Times New Roman" w:eastAsia="宋体"/>
          <w:b w:val="0"/>
          <w:i w:val="0"/>
          <w:vertAlign w:val="superscript"/>
        </w:rPr>
        <w:t>⁻⁴</w:t>
      </w:r>
      <w:r>
        <w:rPr>
          <w:rFonts w:ascii="Times New Roman" w:hAnsi="Times New Roman" w:eastAsia="宋体"/>
          <w:b w:val="0"/>
          <w:i w:val="0"/>
        </w:rPr>
        <w:t>），方向由梯度决定。一次更新对任何单个参数的影响微乎其微。</w:t>
      </w:r>
    </w:p>
    <w:p>
      <w:r>
        <w:rPr>
          <w:rFonts w:ascii="Times New Roman" w:hAnsi="Times New Roman" w:eastAsia="宋体"/>
          <w:b/>
          <w:i w:val="0"/>
        </w:rPr>
        <w:t>知几知耻的精确更新：</w:t>
      </w:r>
      <w:r>
        <w:rPr>
          <w:rFonts w:ascii="Cambria Math" w:hAnsi="Cambria Math" w:eastAsia="宋体"/>
          <w:b w:val="0"/>
          <w:i/>
        </w:rPr>
        <w:t>P[plate][countertop] += 1.0</w:t>
      </w:r>
      <w:r>
        <w:rPr>
          <w:rFonts w:ascii="Times New Roman" w:hAnsi="Times New Roman" w:eastAsia="宋体"/>
          <w:b w:val="0"/>
          <w:i w:val="0"/>
        </w:rPr>
        <w:t>。奖励信号被直接、完整地施加到一个确定的知识条目上。更新量是O(1)（而非O(10</w:t>
      </w:r>
      <w:r>
        <w:rPr>
          <w:rFonts w:ascii="Times New Roman" w:hAnsi="Times New Roman" w:eastAsia="宋体"/>
          <w:b w:val="0"/>
          <w:i w:val="0"/>
          <w:vertAlign w:val="superscript"/>
        </w:rPr>
        <w:t>⁻⁴</w:t>
      </w:r>
      <w:r>
        <w:rPr>
          <w:rFonts w:ascii="Times New Roman" w:hAnsi="Times New Roman" w:eastAsia="宋体"/>
          <w:b w:val="0"/>
          <w:i w:val="0"/>
        </w:rPr>
        <w:t>）），目标是精确确定的（而非梯度估计的）。一次更新就能完全改变系统对该条目的行为。</w:t>
      </w:r>
    </w:p>
    <w:p>
      <w:r>
        <w:rPr>
          <w:rFonts w:ascii="Times New Roman" w:hAnsi="Times New Roman" w:eastAsia="宋体"/>
          <w:b/>
          <w:i w:val="0"/>
        </w:rPr>
        <w:t>信息效率差异：</w:t>
      </w:r>
      <w:r>
        <w:rPr>
          <w:rFonts w:ascii="Times New Roman" w:hAnsi="Times New Roman" w:eastAsia="宋体"/>
          <w:b w:val="0"/>
          <w:i w:val="0"/>
        </w:rPr>
        <w:t>假设知识空间有N=10</w:t>
      </w:r>
      <w:r>
        <w:rPr>
          <w:rFonts w:ascii="Times New Roman" w:hAnsi="Times New Roman" w:eastAsia="宋体"/>
          <w:b w:val="0"/>
          <w:i w:val="0"/>
          <w:vertAlign w:val="superscript"/>
        </w:rPr>
        <w:t>⁶</w:t>
      </w:r>
      <w:r>
        <w:rPr>
          <w:rFonts w:ascii="Times New Roman" w:hAnsi="Times New Roman" w:eastAsia="宋体"/>
          <w:b w:val="0"/>
          <w:i w:val="0"/>
        </w:rPr>
        <w:t>维，RL每次更新影响全部10</w:t>
      </w:r>
      <w:r>
        <w:rPr>
          <w:rFonts w:ascii="Times New Roman" w:hAnsi="Times New Roman" w:eastAsia="宋体"/>
          <w:b w:val="0"/>
          <w:i w:val="0"/>
          <w:vertAlign w:val="superscript"/>
        </w:rPr>
        <w:t>⁶</w:t>
      </w:r>
      <w:r>
        <w:rPr>
          <w:rFonts w:ascii="Times New Roman" w:hAnsi="Times New Roman" w:eastAsia="宋体"/>
          <w:b w:val="0"/>
          <w:i w:val="0"/>
        </w:rPr>
        <w:t>个参数，每个被影响10</w:t>
      </w:r>
      <w:r>
        <w:rPr>
          <w:rFonts w:ascii="Times New Roman" w:hAnsi="Times New Roman" w:eastAsia="宋体"/>
          <w:b w:val="0"/>
          <w:i w:val="0"/>
          <w:vertAlign w:val="superscript"/>
        </w:rPr>
        <w:t>⁻⁴</w:t>
      </w:r>
      <w:r>
        <w:rPr>
          <w:rFonts w:ascii="Times New Roman" w:hAnsi="Times New Roman" w:eastAsia="宋体"/>
          <w:b w:val="0"/>
          <w:i w:val="0"/>
        </w:rPr>
        <w:t>。知几知耻每次更新影响1个参数，该参数被影响1.0。对目标参数而言，单次信息注入量的差异是10</w:t>
      </w:r>
      <w:r>
        <w:rPr>
          <w:rFonts w:ascii="Times New Roman" w:hAnsi="Times New Roman" w:eastAsia="宋体"/>
          <w:b w:val="0"/>
          <w:i w:val="0"/>
          <w:vertAlign w:val="superscript"/>
        </w:rPr>
        <w:t>⁴</w:t>
      </w:r>
      <w:r>
        <w:rPr>
          <w:rFonts w:ascii="Times New Roman" w:hAnsi="Times New Roman" w:eastAsia="宋体"/>
          <w:b w:val="0"/>
          <w:i w:val="0"/>
        </w:rPr>
        <w:t>倍。考虑到通常需要覆盖约200个有效条目，知几知耻的总样本需求比RL低约10</w:t>
      </w:r>
      <w:r>
        <w:rPr>
          <w:rFonts w:ascii="Times New Roman" w:hAnsi="Times New Roman" w:eastAsia="宋体"/>
          <w:b w:val="0"/>
          <w:i w:val="0"/>
          <w:vertAlign w:val="superscript"/>
        </w:rPr>
        <w:t>⁴</w:t>
      </w:r>
      <w:r>
        <w:rPr>
          <w:rFonts w:ascii="Times New Roman" w:hAnsi="Times New Roman" w:eastAsia="宋体"/>
          <w:b w:val="0"/>
          <w:i w:val="0"/>
        </w:rPr>
        <w:t>/200 = 50倍（保守估计）。</w:t>
      </w:r>
    </w:p>
    <w:p>
      <w:pPr>
        <w:pStyle w:val="Heading2"/>
        <w:spacing w:before="240" w:after="120"/>
        <w:ind w:firstLine="0"/>
        <w:jc w:val="left"/>
      </w:pPr>
      <w:r>
        <w:rPr>
          <w:rFonts w:ascii="Times New Roman" w:hAnsi="Times New Roman" w:eastAsia="黑体"/>
          <w:b/>
          <w:sz w:val="24"/>
        </w:rPr>
        <w:t>6.3  失败处理的差异</w:t>
      </w:r>
    </w:p>
    <w:p>
      <w:r>
        <w:rPr>
          <w:rFonts w:ascii="Times New Roman" w:hAnsi="Times New Roman" w:eastAsia="宋体"/>
        </w:rPr>
        <w:t>两种范式对失败信号的处理差异尤为显著：</w:t>
      </w:r>
    </w:p>
    <w:p>
      <w:r>
        <w:rPr>
          <w:rFonts w:ascii="Times New Roman" w:hAnsi="Times New Roman" w:eastAsia="宋体"/>
          <w:b/>
          <w:i w:val="0"/>
        </w:rPr>
        <w:t>RL的失败处理：</w:t>
      </w:r>
      <w:r>
        <w:rPr>
          <w:rFonts w:ascii="Times New Roman" w:hAnsi="Times New Roman" w:eastAsia="宋体"/>
          <w:b w:val="0"/>
          <w:i w:val="0"/>
        </w:rPr>
        <w:t>负奖励通过策略梯度反向传播，经过多层网络后信号被极度稀释。一次失败对任何单个参数的影响量级为O(η × r × ∇logπ) ≈ 10</w:t>
      </w:r>
      <w:r>
        <w:rPr>
          <w:rFonts w:ascii="Times New Roman" w:hAnsi="Times New Roman" w:eastAsia="宋体"/>
          <w:b w:val="0"/>
          <w:i w:val="0"/>
          <w:vertAlign w:val="superscript"/>
        </w:rPr>
        <w:t>⁻⁶</w:t>
      </w:r>
      <w:r>
        <w:rPr>
          <w:rFonts w:ascii="Times New Roman" w:hAnsi="Times New Roman" w:eastAsia="宋体"/>
          <w:b w:val="0"/>
          <w:i w:val="0"/>
        </w:rPr>
        <w:t>。需要同类失败重复数千次，信号才能从噪声中浮现出统计显著性。</w:t>
      </w:r>
    </w:p>
    <w:p>
      <w:r>
        <w:rPr>
          <w:rFonts w:ascii="Times New Roman" w:hAnsi="Times New Roman" w:eastAsia="宋体"/>
          <w:b/>
          <w:i w:val="0"/>
        </w:rPr>
        <w:t>知几知耻的失败处理：</w:t>
      </w:r>
      <w:r>
        <w:rPr>
          <w:rFonts w:ascii="Times New Roman" w:hAnsi="Times New Roman" w:eastAsia="宋体"/>
          <w:b w:val="0"/>
          <w:i w:val="0"/>
        </w:rPr>
        <w:t>负奖励通过可解释的决策链直接定位到出错的矩阵条目，一次修复。例如，当智能体因为拿了bowl而非plate失败时，L1层直接执行M[plate][bowl] -= 3.0，下次绝不再犯同样错误。</w:t>
      </w:r>
    </w:p>
    <w:p>
      <w:r>
        <w:rPr>
          <w:rFonts w:ascii="Times New Roman" w:hAnsi="Times New Roman" w:eastAsia="宋体"/>
        </w:rPr>
        <w:t>核心不等式：</w:t>
      </w:r>
    </w:p>
    <w:p>
      <w:pPr>
        <w:spacing w:before="120" w:after="120"/>
        <w:ind w:firstLine="0"/>
        <w:jc w:val="center"/>
      </w:pPr>
      <w:r>
        <w:rPr>
          <w:rFonts w:ascii="Cambria Math" w:hAnsi="Cambria Math" w:eastAsia="Cambria Math"/>
          <w:i/>
          <w:sz w:val="22"/>
        </w:rPr>
        <w:t>1次精确归因 ≥ 10⁴次统计平均</w:t>
      </w:r>
    </w:p>
    <w:p>
      <w:r>
        <w:rPr>
          <w:rFonts w:ascii="Times New Roman" w:hAnsi="Times New Roman" w:eastAsia="宋体"/>
        </w:rPr>
        <w:t>这个不等式的含义是：如果你能精确知道"错在哪里"，一次修复的效果等价于RL中10000次重复失败经验的统计积累。可解释性带来的不是线性加速，而是指数级的效率提升。</w:t>
      </w:r>
    </w:p>
    <w:p>
      <w:pPr>
        <w:pStyle w:val="Heading2"/>
        <w:spacing w:before="240" w:after="120"/>
        <w:ind w:firstLine="0"/>
        <w:jc w:val="left"/>
      </w:pPr>
      <w:r>
        <w:rPr>
          <w:rFonts w:ascii="Times New Roman" w:hAnsi="Times New Roman" w:eastAsia="黑体"/>
          <w:b/>
          <w:sz w:val="24"/>
        </w:rPr>
        <w:t>6.4  可解释性不是附加品而是前提</w:t>
      </w:r>
    </w:p>
    <w:p>
      <w:r>
        <w:rPr>
          <w:rFonts w:ascii="Times New Roman" w:hAnsi="Times New Roman" w:eastAsia="宋体"/>
        </w:rPr>
        <w:t>综合以上分析，我们得出一个关键理论结论：</w:t>
      </w:r>
    </w:p>
    <w:p>
      <w:r>
        <w:rPr>
          <w:rFonts w:ascii="Times New Roman" w:hAnsi="Times New Roman" w:eastAsia="宋体"/>
          <w:b/>
          <w:i w:val="0"/>
        </w:rPr>
        <w:t>可解释性不是知几知耻学习的一个"好处"或"副产品"，而是其高效工作的逻辑前提。</w:t>
      </w:r>
    </w:p>
    <w:p>
      <w:r>
        <w:rPr>
          <w:rFonts w:ascii="Times New Roman" w:hAnsi="Times New Roman" w:eastAsia="宋体"/>
        </w:rPr>
        <w:t>推理链条如下：（1）对称校准需要精确定位到矩阵中的特定条目；（2）精确定位需要知道"为什么做了这个决策"——即决策的因果链；（3）因果链透明就是可解释性。因此：没有可解释性 → 无法精确定位 → 只能全局更新 → 退化为RL。</w:t>
      </w:r>
    </w:p>
    <w:p>
      <w:r>
        <w:rPr>
          <w:rFonts w:ascii="Times New Roman" w:hAnsi="Times New Roman" w:eastAsia="宋体"/>
        </w:rPr>
        <w:t>这意味着"不可解释但高效的精确学习"是一个逻辑不可能——如果你不知道模型为什么做了某个决策，你就无法告诉它"具体哪里错了"，只能给它一个全局的"你错了"信号让它自己通过梯度去摸索。知几知耻范式将可解释性从"伦理要求"提升为"工程必要条件"。</w:t>
      </w:r>
    </w:p>
    <w:p>
      <w:pPr>
        <w:pStyle w:val="Heading2"/>
        <w:spacing w:before="240" w:after="120"/>
        <w:ind w:firstLine="0"/>
        <w:jc w:val="left"/>
      </w:pPr>
      <w:r>
        <w:rPr>
          <w:rFonts w:ascii="Times New Roman" w:hAnsi="Times New Roman" w:eastAsia="黑体"/>
          <w:b/>
          <w:sz w:val="24"/>
        </w:rPr>
        <w:t>6.5  范式互补</w:t>
      </w:r>
    </w:p>
    <w:p>
      <w:r>
        <w:rPr>
          <w:rFonts w:ascii="Times New Roman" w:hAnsi="Times New Roman" w:eastAsia="宋体"/>
          <w:b w:val="0"/>
          <w:i w:val="0"/>
        </w:rPr>
        <w:t>知几知耻学习与RL并非相互替代，而是互补的关系。借用Kahneman的双系统理论</w:t>
      </w:r>
      <w:r>
        <w:rPr>
          <w:rFonts w:ascii="Times New Roman" w:hAnsi="Times New Roman" w:eastAsia="宋体"/>
          <w:b w:val="0"/>
          <w:i w:val="0"/>
          <w:vertAlign w:val="superscript"/>
        </w:rPr>
        <w:t>[15]</w:t>
      </w:r>
      <w:r>
        <w:rPr>
          <w:rFonts w:ascii="Times New Roman" w:hAnsi="Times New Roman" w:eastAsia="宋体"/>
          <w:b w:val="0"/>
          <w:i w:val="0"/>
        </w:rPr>
        <w:t>：</w:t>
      </w:r>
    </w:p>
    <w:p>
      <w:r>
        <w:rPr>
          <w:rFonts w:ascii="Times New Roman" w:hAnsi="Times New Roman" w:eastAsia="宋体"/>
          <w:b/>
          <w:i w:val="0"/>
        </w:rPr>
        <w:t>知几知耻 = 系统1（快速直觉）：</w:t>
      </w:r>
      <w:r>
        <w:rPr>
          <w:rFonts w:ascii="Times New Roman" w:hAnsi="Times New Roman" w:eastAsia="宋体"/>
          <w:b w:val="0"/>
          <w:i w:val="0"/>
        </w:rPr>
        <w:t>基于先验知识的快速决策，处理"已知的已知"。当环境与先验匹配时，一次正确决策，效率极高。适合95%的常规情况。</w:t>
      </w:r>
    </w:p>
    <w:p>
      <w:r>
        <w:rPr>
          <w:rFonts w:ascii="Times New Roman" w:hAnsi="Times New Roman" w:eastAsia="宋体"/>
          <w:b/>
          <w:i w:val="0"/>
        </w:rPr>
        <w:t>RL = 系统2（慢速探索）：</w:t>
      </w:r>
      <w:r>
        <w:rPr>
          <w:rFonts w:ascii="Times New Roman" w:hAnsi="Times New Roman" w:eastAsia="宋体"/>
          <w:b w:val="0"/>
          <w:i w:val="0"/>
        </w:rPr>
        <w:t>基于无假设探索的缓慢学习，发现"未知的未知"。当先验完全缺失时，通过大量试错发现全新规律。适合5%的未知情况。</w:t>
      </w:r>
    </w:p>
    <w:p>
      <w:r>
        <w:rPr>
          <w:rFonts w:ascii="Times New Roman" w:hAnsi="Times New Roman" w:eastAsia="宋体"/>
        </w:rPr>
        <w:t>理想的具身学习系统应该整合两种范式：知几知耻处理绝大多数有先验可循的常规任务（快速、可解释、高效），RL处理少数完全陌生的探索性任务（慢速但能发现新知识）。两者的接口是先验矩阵——RL发现的新规律可以编码为新的先验条目，纳入知几知耻的快速决策循环。</w:t>
      </w:r>
    </w:p>
    <w:p>
      <w:pPr>
        <w:pStyle w:val="Heading1"/>
        <w:spacing w:before="240" w:after="120"/>
        <w:ind w:firstLine="0"/>
        <w:jc w:val="left"/>
      </w:pPr>
      <w:r>
        <w:rPr>
          <w:rFonts w:ascii="Times New Roman" w:hAnsi="Times New Roman" w:eastAsia="黑体"/>
          <w:b/>
          <w:sz w:val="28"/>
        </w:rPr>
        <w:t>7  讨论与结论</w:t>
      </w:r>
    </w:p>
    <w:p>
      <w:pPr>
        <w:pStyle w:val="Heading2"/>
        <w:spacing w:before="240" w:after="120"/>
        <w:ind w:firstLine="0"/>
        <w:jc w:val="left"/>
      </w:pPr>
      <w:r>
        <w:rPr>
          <w:rFonts w:ascii="Times New Roman" w:hAnsi="Times New Roman" w:eastAsia="黑体"/>
          <w:b/>
          <w:sz w:val="24"/>
        </w:rPr>
        <w:t>7.1  贡献总结</w:t>
      </w:r>
    </w:p>
    <w:p>
      <w:r>
        <w:rPr>
          <w:rFonts w:ascii="Times New Roman" w:hAnsi="Times New Roman" w:eastAsia="宋体"/>
        </w:rPr>
        <w:t>本文的核心贡献可以概括为五点：</w:t>
      </w:r>
    </w:p>
    <w:p>
      <w:r>
        <w:rPr>
          <w:rFonts w:ascii="Times New Roman" w:hAnsi="Times New Roman" w:eastAsia="宋体"/>
          <w:b/>
          <w:i w:val="0"/>
        </w:rPr>
        <w:t>（1）</w:t>
      </w:r>
      <w:r>
        <w:rPr>
          <w:rFonts w:ascii="Times New Roman" w:hAnsi="Times New Roman" w:eastAsia="宋体"/>
          <w:b w:val="0"/>
          <w:i w:val="0"/>
        </w:rPr>
        <w:t>统一模型洞察：证明知几学习和知耻学习本质是同一模型的对称奖惩操作，类似多巴胺奖赏系统中同一套突触权重的双向调制，而非两个独立的算法模块。</w:t>
      </w:r>
    </w:p>
    <w:p>
      <w:r>
        <w:rPr>
          <w:rFonts w:ascii="Times New Roman" w:hAnsi="Times New Roman" w:eastAsia="宋体"/>
          <w:b/>
          <w:i w:val="0"/>
        </w:rPr>
        <w:t>（2）</w:t>
      </w:r>
      <w:r>
        <w:rPr>
          <w:rFonts w:ascii="Times New Roman" w:hAnsi="Times New Roman" w:eastAsia="宋体"/>
          <w:b w:val="0"/>
          <w:i w:val="0"/>
        </w:rPr>
        <w:t>对称校准理论：建立统一学习规则K = Ω ⊕ ΔK(D)，将成功和失败统一为reward符号的差异，并证明精确条目更新比全局梯度更新高效10⁴倍。</w:t>
      </w:r>
    </w:p>
    <w:p>
      <w:r>
        <w:rPr>
          <w:rFonts w:ascii="Times New Roman" w:hAnsi="Times New Roman" w:eastAsia="宋体"/>
          <w:b/>
          <w:i w:val="0"/>
        </w:rPr>
        <w:t>（3）</w:t>
      </w:r>
      <w:r>
        <w:rPr>
          <w:rFonts w:ascii="Times New Roman" w:hAnsi="Times New Roman" w:eastAsia="宋体"/>
          <w:b w:val="0"/>
          <w:i w:val="0"/>
        </w:rPr>
        <w:t>五层校准工程实现：设计统一接口的五层校准机制，展示正向和负向路径如何共享同一组矩阵和同一种更新操作，区别仅在于更新的方向和幅度。</w:t>
      </w:r>
    </w:p>
    <w:p>
      <w:r>
        <w:rPr>
          <w:rFonts w:ascii="Times New Roman" w:hAnsi="Times New Roman" w:eastAsia="宋体"/>
          <w:b/>
          <w:i w:val="0"/>
        </w:rPr>
        <w:t>（4）</w:t>
      </w:r>
      <w:r>
        <w:rPr>
          <w:rFonts w:ascii="Times New Roman" w:hAnsi="Times New Roman" w:eastAsia="宋体"/>
          <w:b w:val="0"/>
          <w:i w:val="0"/>
        </w:rPr>
        <w:t>可解释性的理论地位：揭示可解释性不是附加属性而是高效学习的逻辑前提，没有可解释性的对称校准将退化为RL——这是本文的一个深刻理论贡献。</w:t>
      </w:r>
    </w:p>
    <w:p>
      <w:r>
        <w:rPr>
          <w:rFonts w:ascii="Times New Roman" w:hAnsi="Times New Roman" w:eastAsia="宋体"/>
          <w:b/>
          <w:i w:val="0"/>
        </w:rPr>
        <w:t>（5）</w:t>
      </w:r>
      <w:r>
        <w:rPr>
          <w:rFonts w:ascii="Times New Roman" w:hAnsi="Times New Roman" w:eastAsia="宋体"/>
          <w:b w:val="0"/>
          <w:i w:val="0"/>
        </w:rPr>
        <w:t>实证验证：在ALFWorld 134个任务上验证范式有效性，从67.2%到73.9%一轮收敛，零参数纯CPU运行，完全确定性可重复。</w:t>
      </w:r>
    </w:p>
    <w:p>
      <w:pPr>
        <w:pStyle w:val="Heading2"/>
        <w:spacing w:before="240" w:after="120"/>
        <w:ind w:firstLine="0"/>
        <w:jc w:val="left"/>
      </w:pPr>
      <w:r>
        <w:rPr>
          <w:rFonts w:ascii="Times New Roman" w:hAnsi="Times New Roman" w:eastAsia="黑体"/>
          <w:b/>
          <w:sz w:val="24"/>
        </w:rPr>
        <w:t>7.2  局限性</w:t>
      </w:r>
    </w:p>
    <w:p>
      <w:r>
        <w:rPr>
          <w:rFonts w:ascii="Times New Roman" w:hAnsi="Times New Roman" w:eastAsia="宋体"/>
        </w:rPr>
        <w:t>本文方法存在以下局限：（1）先验依赖——系统性能的上限受限于初始先验的覆盖范围，对于先验完全缺失的任务无法处理；（2）结构化环境假设——当前实现要求环境提供结构化的观察和动作空间，不直接适用于原始像素输入；（3）成功率上限——73.9%的成功率低于使用大语言模型的方法，剩余26.1%的失败需要架构级改进；（4）手工先验——初始位置先验矩阵需要人工设定，自动化先验获取是未来工作。</w:t>
      </w:r>
    </w:p>
    <w:p>
      <w:pPr>
        <w:pStyle w:val="Heading2"/>
        <w:spacing w:before="240" w:after="120"/>
        <w:ind w:firstLine="0"/>
        <w:jc w:val="left"/>
      </w:pPr>
      <w:r>
        <w:rPr>
          <w:rFonts w:ascii="Times New Roman" w:hAnsi="Times New Roman" w:eastAsia="黑体"/>
          <w:b/>
          <w:sz w:val="24"/>
        </w:rPr>
        <w:t>7.3  未来方向</w:t>
      </w:r>
    </w:p>
    <w:p>
      <w:r>
        <w:rPr>
          <w:rFonts w:ascii="Times New Roman" w:hAnsi="Times New Roman" w:eastAsia="宋体"/>
        </w:rPr>
        <w:t>基于本文的理论框架，我们规划以下未来工作：（1）与LLM结合——用大语言模型自动生成初始先验矩阵，用知几知耻进行精确校准，结合两者优势；（2）连续控制扩展——将离散矩阵扩展为连续参数空间的精确更新机制；（3）多智能体对称校准——多个智能体共享同一先验矩阵，各自的成功/失败经验为其他智能体提供正向/负向校准；（4）真实机器人验证——在物理机器人上验证对称校准的迁移效果。</w:t>
      </w:r>
    </w:p>
    <w:p>
      <w:pPr>
        <w:pStyle w:val="Heading2"/>
        <w:spacing w:before="240" w:after="120"/>
        <w:ind w:firstLine="0"/>
        <w:jc w:val="left"/>
      </w:pPr>
      <w:r>
        <w:rPr>
          <w:rFonts w:ascii="Times New Roman" w:hAnsi="Times New Roman" w:eastAsia="黑体"/>
          <w:b/>
          <w:sz w:val="24"/>
        </w:rPr>
        <w:t>7.4  结语</w:t>
      </w:r>
    </w:p>
    <w:p>
      <w:r>
        <w:rPr>
          <w:rFonts w:ascii="Times New Roman" w:hAnsi="Times New Roman" w:eastAsia="宋体"/>
        </w:rPr>
        <w:t>本文从一个朴素的洞察出发——成功和失败是同一种学习机制的两个方向——建立了知几知耻学习的统一理论框架。这一洞察在东方哲学中有深远的根源："一阴一阳之谓道"。阴阳不是两个东西，而是同一事物的两种状态；知几知耻不是两个模块，而是同一模型的两种操作。</w:t>
      </w:r>
    </w:p>
    <w:p>
      <w:r>
        <w:rPr>
          <w:rFonts w:ascii="Times New Roman" w:hAnsi="Times New Roman" w:eastAsia="宋体"/>
        </w:rPr>
        <w:t>我们相信，这种基于先验知识和对称校准的学习范式，代表了具身智能的一条被低估的道路。在追求更大模型、更多数据的时代洪流中，"用最少的信息做最精确的更新"或许恰恰是通向高效具身智能的关键一步。</w:t>
      </w:r>
    </w:p>
    <w:p>
      <w:pPr>
        <w:pStyle w:val="Heading1"/>
        <w:spacing w:before="240" w:after="120"/>
        <w:ind w:firstLine="0"/>
        <w:jc w:val="left"/>
      </w:pPr>
      <w:r>
        <w:rPr>
          <w:rFonts w:ascii="Times New Roman" w:hAnsi="Times New Roman" w:eastAsia="黑体"/>
          <w:b/>
          <w:sz w:val="28"/>
        </w:rPr>
        <w:t>参考文献</w:t>
      </w:r>
    </w:p>
    <w:p>
      <w:pPr>
        <w:spacing w:after="40" w:before="0"/>
        <w:ind w:firstLine="0"/>
      </w:pPr>
      <w:r>
        <w:rPr>
          <w:rFonts w:ascii="Times New Roman" w:hAnsi="Times New Roman" w:eastAsia="宋体"/>
          <w:sz w:val="18"/>
        </w:rPr>
        <w:t>[1] Silver D, Huang A, Maddison C J, et al. Mastering the game of Go with deep neural networks and tree search[J]. Nature, 2016, 529(7587): 484-489.</w:t>
      </w:r>
    </w:p>
    <w:p>
      <w:pPr>
        <w:spacing w:after="40" w:before="0"/>
        <w:ind w:firstLine="0"/>
      </w:pPr>
      <w:r>
        <w:rPr>
          <w:rFonts w:ascii="Times New Roman" w:hAnsi="Times New Roman" w:eastAsia="宋体"/>
          <w:sz w:val="18"/>
        </w:rPr>
        <w:t>[2] Mnih V, Kavukcuoglu K, Silver D, et al. Human-level control through deep reinforcement learning[J]. Nature, 2015, 518(7540): 529-533.</w:t>
      </w:r>
    </w:p>
    <w:p>
      <w:pPr>
        <w:spacing w:after="40" w:before="0"/>
        <w:ind w:firstLine="0"/>
      </w:pPr>
      <w:r>
        <w:rPr>
          <w:rFonts w:ascii="Times New Roman" w:hAnsi="Times New Roman" w:eastAsia="宋体"/>
          <w:sz w:val="18"/>
        </w:rPr>
        <w:t>[3] Kalashnikov D, Irpan A, Pastor P, et al. Scalable deep reinforcement learning for vision-based robotic manipulation[C]//CoRL, 2018: 651-673.</w:t>
      </w:r>
    </w:p>
    <w:p>
      <w:pPr>
        <w:spacing w:after="40" w:before="0"/>
        <w:ind w:firstLine="0"/>
      </w:pPr>
      <w:r>
        <w:rPr>
          <w:rFonts w:ascii="Times New Roman" w:hAnsi="Times New Roman" w:eastAsia="宋体"/>
          <w:sz w:val="18"/>
        </w:rPr>
        <w:t>[4] Levine S, Pastor P, Krizhevsky A, et al. Learning hand-eye coordination for robotic grasping with deep learning and large-scale data collection[J]. IJRR, 2018, 37(4-5): 421-436.</w:t>
      </w:r>
    </w:p>
    <w:p>
      <w:pPr>
        <w:spacing w:after="40" w:before="0"/>
        <w:ind w:firstLine="0"/>
      </w:pPr>
      <w:r>
        <w:rPr>
          <w:rFonts w:ascii="Times New Roman" w:hAnsi="Times New Roman" w:eastAsia="宋体"/>
          <w:sz w:val="18"/>
        </w:rPr>
        <w:t>[5] Schulman J, Wolski F, Dhariwal P, et al. Proximal policy optimization algorithms[J]. arXiv preprint arXiv:1707.06347, 2017.</w:t>
      </w:r>
    </w:p>
    <w:p>
      <w:pPr>
        <w:spacing w:after="40" w:before="0"/>
        <w:ind w:firstLine="0"/>
      </w:pPr>
      <w:r>
        <w:rPr>
          <w:rFonts w:ascii="Times New Roman" w:hAnsi="Times New Roman" w:eastAsia="宋体"/>
          <w:sz w:val="18"/>
        </w:rPr>
        <w:t>[6] García J, Fernández F. A comprehensive survey on safe reinforcement learning[J]. JMLR, 2015, 16(1): 1437-1480.</w:t>
      </w:r>
    </w:p>
    <w:p>
      <w:pPr>
        <w:spacing w:after="40" w:before="0"/>
        <w:ind w:firstLine="0"/>
      </w:pPr>
      <w:r>
        <w:rPr>
          <w:rFonts w:ascii="Times New Roman" w:hAnsi="Times New Roman" w:eastAsia="宋体"/>
          <w:sz w:val="18"/>
        </w:rPr>
        <w:t>[7] 黄寿祺, 张善文. 周易译注[M]. 上海: 上海古籍出版社, 2007.</w:t>
      </w:r>
    </w:p>
    <w:p>
      <w:pPr>
        <w:spacing w:after="40" w:before="0"/>
        <w:ind w:firstLine="0"/>
      </w:pPr>
      <w:r>
        <w:rPr>
          <w:rFonts w:ascii="Times New Roman" w:hAnsi="Times New Roman" w:eastAsia="宋体"/>
          <w:sz w:val="18"/>
        </w:rPr>
        <w:t>[8] 朱熹. 周易本义[M]. 北京: 中华书局, 2009.</w:t>
      </w:r>
    </w:p>
    <w:p>
      <w:pPr>
        <w:spacing w:after="40" w:before="0"/>
        <w:ind w:firstLine="0"/>
      </w:pPr>
      <w:r>
        <w:rPr>
          <w:rFonts w:ascii="Times New Roman" w:hAnsi="Times New Roman" w:eastAsia="宋体"/>
          <w:sz w:val="18"/>
        </w:rPr>
        <w:t>[9] 马兴录, 李金函, 张国安, 等. YLYW: 基于易理模糊模型的具身智能决策系统[J]. 预印本, 2026.</w:t>
      </w:r>
    </w:p>
    <w:p>
      <w:pPr>
        <w:spacing w:after="40" w:before="0"/>
        <w:ind w:firstLine="0"/>
      </w:pPr>
      <w:r>
        <w:rPr>
          <w:rFonts w:ascii="Times New Roman" w:hAnsi="Times New Roman" w:eastAsia="宋体"/>
          <w:sz w:val="18"/>
        </w:rPr>
        <w:t>[10] Yao S, Zhao J, Yu D, et al. ReAct: Synergizing reasoning and acting in language models[C]//ICLR, 2023.</w:t>
      </w:r>
    </w:p>
    <w:p>
      <w:pPr>
        <w:spacing w:after="40" w:before="0"/>
        <w:ind w:firstLine="0"/>
      </w:pPr>
      <w:r>
        <w:rPr>
          <w:rFonts w:ascii="Times New Roman" w:hAnsi="Times New Roman" w:eastAsia="宋体"/>
          <w:sz w:val="18"/>
        </w:rPr>
        <w:t>[11] Shinn N, Cassano F, Gopinath A, et al. Reflexion: Language agents with verbal reinforcement learning[C]//NeurIPS, 2023.</w:t>
      </w:r>
    </w:p>
    <w:p>
      <w:pPr>
        <w:spacing w:after="40" w:before="0"/>
        <w:ind w:firstLine="0"/>
      </w:pPr>
      <w:r>
        <w:rPr>
          <w:rFonts w:ascii="Times New Roman" w:hAnsi="Times New Roman" w:eastAsia="宋体"/>
          <w:sz w:val="18"/>
        </w:rPr>
        <w:t>[12] Ju H, Zhang K, Chen J, et al. EmbodiSkill: Embodied skill learning via language model-guided exploration[J]. arXiv preprint arXiv:2601.xxxxx, 2026.</w:t>
      </w:r>
    </w:p>
    <w:p>
      <w:pPr>
        <w:spacing w:after="40" w:before="0"/>
        <w:ind w:firstLine="0"/>
      </w:pPr>
      <w:r>
        <w:rPr>
          <w:rFonts w:ascii="Times New Roman" w:hAnsi="Times New Roman" w:eastAsia="宋体"/>
          <w:sz w:val="18"/>
        </w:rPr>
        <w:t>[13] Shridhar M, Thomason J, Gordon D, et al. ALFWorld: Aligning text and embodied environments for interactive learning[C]//ICLR, 2021.</w:t>
      </w:r>
    </w:p>
    <w:p>
      <w:pPr>
        <w:spacing w:after="40" w:before="0"/>
        <w:ind w:firstLine="0"/>
      </w:pPr>
      <w:r>
        <w:rPr>
          <w:rFonts w:ascii="Times New Roman" w:hAnsi="Times New Roman" w:eastAsia="宋体"/>
          <w:sz w:val="18"/>
        </w:rPr>
        <w:t>[14] Sutton R S, Barto A G. Reinforcement Learning: An Introduction[M]. 2nd ed. Cambridge: MIT Press, 2018.</w:t>
      </w:r>
    </w:p>
    <w:p>
      <w:pPr>
        <w:spacing w:after="40" w:before="0"/>
        <w:ind w:firstLine="0"/>
      </w:pPr>
      <w:r>
        <w:rPr>
          <w:rFonts w:ascii="Times New Roman" w:hAnsi="Times New Roman" w:eastAsia="宋体"/>
          <w:sz w:val="18"/>
        </w:rPr>
        <w:t>[15] Kahneman D. Thinking, Fast and Slow[M]. New York: Farrar, Straus and Giroux, 2011.</w:t>
      </w:r>
    </w:p>
    <w:p>
      <w:pPr>
        <w:spacing w:after="40" w:before="0"/>
        <w:ind w:firstLine="0"/>
      </w:pPr>
      <w:r>
        <w:rPr>
          <w:rFonts w:ascii="Times New Roman" w:hAnsi="Times New Roman" w:eastAsia="宋体"/>
          <w:sz w:val="18"/>
        </w:rPr>
        <w:t>[16] Schultz W. Predictive reward signal of dopamine neurons[J]. Annual Review of Neuroscience, 1998, 21(1): 199-227.</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