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988F8">
      <w:pPr>
        <w:spacing w:after="120"/>
        <w:jc w:val="center"/>
      </w:pPr>
      <w:r>
        <w:rPr>
          <w:rFonts w:ascii="黑体" w:hAnsi="黑体" w:eastAsia="黑体"/>
          <w:b/>
          <w:sz w:val="32"/>
        </w:rPr>
        <w:t>基于结构化先验知识与自适应校准的零样本具身决策方法</w:t>
      </w:r>
      <w:r>
        <w:rPr>
          <w:rFonts w:ascii="黑体" w:hAnsi="黑体" w:eastAsia="黑体"/>
          <w:b/>
          <w:sz w:val="32"/>
        </w:rPr>
        <w:br w:type="textWrapping"/>
      </w:r>
      <w:r>
        <w:rPr>
          <w:rFonts w:ascii="黑体" w:hAnsi="黑体" w:eastAsia="黑体"/>
          <w:b/>
          <w:sz w:val="32"/>
        </w:rPr>
        <w:t>——在ALFWorld上的验证</w:t>
      </w:r>
    </w:p>
    <w:p w14:paraId="51F1761A">
      <w:pPr>
        <w:spacing w:after="60"/>
        <w:jc w:val="center"/>
      </w:pPr>
      <w:r>
        <w:rPr>
          <w:rFonts w:ascii="宋体" w:hAnsi="宋体" w:eastAsia="宋体"/>
          <w:sz w:val="21"/>
        </w:rPr>
        <w:t>马圣洁，李金函，张国安，于敬涛，李望，马兴录*</w:t>
      </w:r>
    </w:p>
    <w:p w14:paraId="72AA14B5">
      <w:pPr>
        <w:spacing w:after="60"/>
        <w:jc w:val="center"/>
      </w:pPr>
      <w:r>
        <w:rPr>
          <w:rFonts w:ascii="宋体" w:hAnsi="宋体" w:eastAsia="宋体"/>
          <w:sz w:val="18"/>
        </w:rPr>
        <w:t>青岛科技大学 信息科学技术学院，山东 青岛 266061</w:t>
      </w:r>
    </w:p>
    <w:p w14:paraId="4A01B7EA">
      <w:pPr>
        <w:spacing w:after="240"/>
        <w:jc w:val="center"/>
        <w:rPr>
          <w:rFonts w:hint="default" w:eastAsia="宋体"/>
          <w:lang w:val="en-US" w:eastAsia="zh-CN"/>
        </w:rPr>
      </w:pPr>
      <w:r>
        <w:rPr>
          <w:rFonts w:ascii="宋体" w:hAnsi="宋体" w:eastAsia="宋体"/>
          <w:sz w:val="18"/>
        </w:rPr>
        <w:t>*通讯作者</w:t>
      </w:r>
      <w:r>
        <w:rPr>
          <w:rFonts w:hint="eastAsia" w:ascii="宋体" w:hAnsi="宋体" w:eastAsia="宋体"/>
          <w:sz w:val="18"/>
          <w:lang w:eastAsia="zh-CN"/>
        </w:rPr>
        <w:t>：</w:t>
      </w:r>
      <w:r>
        <w:rPr>
          <w:rFonts w:hint="eastAsia" w:ascii="宋体" w:hAnsi="宋体" w:eastAsia="宋体"/>
          <w:sz w:val="18"/>
          <w:lang w:val="en-US" w:eastAsia="zh-CN"/>
        </w:rPr>
        <w:fldChar w:fldCharType="begin"/>
      </w:r>
      <w:r>
        <w:rPr>
          <w:rFonts w:hint="eastAsia" w:ascii="宋体" w:hAnsi="宋体" w:eastAsia="宋体"/>
          <w:sz w:val="18"/>
          <w:lang w:val="en-US" w:eastAsia="zh-CN"/>
        </w:rPr>
        <w:instrText xml:space="preserve"> HYPERLINK "mailto:maxinglu@qust.edu.cn" </w:instrText>
      </w:r>
      <w:r>
        <w:rPr>
          <w:rFonts w:hint="eastAsia" w:ascii="宋体" w:hAnsi="宋体" w:eastAsia="宋体"/>
          <w:sz w:val="18"/>
          <w:lang w:val="en-US" w:eastAsia="zh-CN"/>
        </w:rPr>
        <w:fldChar w:fldCharType="separate"/>
      </w:r>
      <w:r>
        <w:rPr>
          <w:rStyle w:val="135"/>
          <w:rFonts w:hint="eastAsia" w:ascii="宋体" w:hAnsi="宋体" w:eastAsia="宋体"/>
          <w:sz w:val="18"/>
          <w:lang w:val="en-US" w:eastAsia="zh-CN"/>
        </w:rPr>
        <w:t>maxinglu@qust.edu.cn</w:t>
      </w:r>
      <w:r>
        <w:rPr>
          <w:rFonts w:hint="eastAsia" w:ascii="宋体" w:hAnsi="宋体" w:eastAsia="宋体"/>
          <w:sz w:val="18"/>
          <w:lang w:val="en-US" w:eastAsia="zh-CN"/>
        </w:rPr>
        <w:fldChar w:fldCharType="end"/>
      </w:r>
      <w:bookmarkStart w:id="0" w:name="_GoBack"/>
      <w:bookmarkEnd w:id="0"/>
    </w:p>
    <w:p w14:paraId="1C58A516">
      <w:pPr>
        <w:pStyle w:val="3"/>
        <w:spacing w:after="60"/>
        <w:jc w:val="center"/>
      </w:pPr>
      <w:r>
        <w:rPr>
          <w:rFonts w:ascii="黑体" w:hAnsi="黑体" w:eastAsia="黑体"/>
          <w:b/>
          <w:sz w:val="21"/>
        </w:rPr>
        <w:t>摘  要</w:t>
      </w:r>
    </w:p>
    <w:p w14:paraId="75329810">
      <w:pPr>
        <w:spacing w:before="0" w:after="0" w:line="276" w:lineRule="auto"/>
        <w:ind w:firstLine="420"/>
        <w:jc w:val="both"/>
      </w:pPr>
      <w:r>
        <w:rPr>
          <w:rFonts w:ascii="宋体" w:hAnsi="宋体" w:eastAsia="宋体"/>
          <w:b w:val="0"/>
          <w:sz w:val="21"/>
        </w:rPr>
        <w:t>当前具身智能方法高度依赖大语言模型（LLM），面临计算成本高、决策过程不可解释、随机输出影响可复现性等问题。本文提出一种基于结构化先验知识的零样本具身决策方法，无需任何神经网络推理。该方法采用YLYW框架——以64卦模糊隶属度模板作为结构化先验，通过三层推理链（模糊隶属度评估→编码→模板匹配）实现决策——设计了基于admissible commands驱动的层级状态机智能体。进一步提出自适应校准机制，对三类参数进行对称更新：位置先验P(obj,loc)、物体匹配分数M(target,entity)和同义词映射S(word→set)，分别从成功信号（+α）和失败信号（-β）中学习。在ALFWorld的134个valid_unseen任务上，本文智能体（800行Python代码，无LLM）以静态先验达到67.2%成功率，经自适应校准和经验持久化提升至73.9%（单轮收敛）。研究发现25.4%的ALFWorld任务存在标注不一致问题；在标注一致的100个任务上，本方法达到90.0%成功率，接近EmbodiSkill（27B参数LLM）的93.28%。实验结果表明，可解释的结构化先验结合精确校准，为具身决策提供了LLM方法之外的可行替代方案。</w:t>
      </w:r>
    </w:p>
    <w:p w14:paraId="57B4BDBF">
      <w:pPr>
        <w:spacing w:before="60" w:after="120"/>
      </w:pPr>
      <w:r>
        <w:rPr>
          <w:rFonts w:ascii="黑体" w:hAnsi="黑体" w:eastAsia="黑体"/>
          <w:b/>
          <w:sz w:val="21"/>
        </w:rPr>
        <w:t>关键词：</w:t>
      </w:r>
      <w:r>
        <w:rPr>
          <w:rFonts w:ascii="宋体" w:hAnsi="宋体" w:eastAsia="宋体"/>
          <w:sz w:val="21"/>
        </w:rPr>
        <w:t>具身智能；零样本；先验知识；ALFWorld；自适应校准；可解释人工智能</w:t>
      </w:r>
    </w:p>
    <w:p w14:paraId="0BC4FC86">
      <w:pPr>
        <w:pStyle w:val="3"/>
        <w:spacing w:before="240" w:after="120"/>
        <w:jc w:val="center"/>
      </w:pPr>
      <w:r>
        <w:rPr>
          <w:rFonts w:ascii="黑体" w:hAnsi="黑体" w:eastAsia="黑体"/>
          <w:b/>
          <w:sz w:val="28"/>
        </w:rPr>
        <w:t>1  引言</w:t>
      </w:r>
    </w:p>
    <w:p w14:paraId="79B514B1">
      <w:pPr>
        <w:spacing w:before="0" w:after="0" w:line="276" w:lineRule="auto"/>
        <w:ind w:firstLine="420"/>
        <w:jc w:val="both"/>
      </w:pPr>
      <w:r>
        <w:rPr>
          <w:rFonts w:ascii="宋体" w:hAnsi="宋体"/>
          <w:b w:val="0"/>
          <w:sz w:val="21"/>
        </w:rPr>
        <w:t>具身人工智能是AI研究的重大挑战之一，要求智能体通过持续的感知-动作循环在复杂环境中进行感知、推理、规划和行动</w:t>
      </w:r>
      <w:r>
        <w:rPr>
          <w:rFonts w:ascii="宋体" w:hAnsi="宋体"/>
          <w:b w:val="0"/>
          <w:sz w:val="16"/>
          <w:vertAlign w:val="superscript"/>
        </w:rPr>
        <w:t>[4]</w:t>
      </w:r>
      <w:r>
        <w:rPr>
          <w:rFonts w:ascii="宋体" w:hAnsi="宋体"/>
          <w:b w:val="0"/>
          <w:sz w:val="21"/>
        </w:rPr>
        <w:t>。与在静态数据集上运行的传统AI任务不同，具身智能体必须处理长时程规划、组合动作空间、部分可观测性以及对物理环境的常识推理需求。ALFWorld基准</w:t>
      </w:r>
      <w:r>
        <w:rPr>
          <w:rFonts w:ascii="宋体" w:hAnsi="宋体"/>
          <w:b w:val="0"/>
          <w:sz w:val="16"/>
          <w:vertAlign w:val="superscript"/>
        </w:rPr>
        <w:t>[4]</w:t>
      </w:r>
      <w:r>
        <w:rPr>
          <w:rFonts w:ascii="宋体" w:hAnsi="宋体"/>
          <w:b w:val="0"/>
          <w:sz w:val="21"/>
        </w:rPr>
        <w:t>提供了一个标准化的文本交互具身环境，包含134个跨越六个类别的未见过家务任务，是评估具身决策能力的重要测试平台。</w:t>
      </w:r>
    </w:p>
    <w:p w14:paraId="148AF3DE">
      <w:pPr>
        <w:spacing w:before="0" w:after="0" w:line="276" w:lineRule="auto"/>
        <w:ind w:firstLine="420"/>
        <w:jc w:val="both"/>
      </w:pPr>
      <w:r>
        <w:rPr>
          <w:rFonts w:ascii="宋体" w:hAnsi="宋体"/>
          <w:b w:val="0"/>
          <w:sz w:val="21"/>
        </w:rPr>
        <w:t>近年来大语言模型（LLM）的进展显著提升了具身任务的性能。ReAct</w:t>
      </w:r>
      <w:r>
        <w:rPr>
          <w:rFonts w:ascii="宋体" w:hAnsi="宋体"/>
          <w:b w:val="0"/>
          <w:sz w:val="16"/>
          <w:vertAlign w:val="superscript"/>
        </w:rPr>
        <w:t>[1]</w:t>
      </w:r>
      <w:r>
        <w:rPr>
          <w:rFonts w:ascii="宋体" w:hAnsi="宋体"/>
          <w:b w:val="0"/>
          <w:sz w:val="21"/>
        </w:rPr>
        <w:t>通过GPT-4交替执行推理链与动作，达到71%成功率。Reflexion</w:t>
      </w:r>
      <w:r>
        <w:rPr>
          <w:rFonts w:ascii="宋体" w:hAnsi="宋体"/>
          <w:b w:val="0"/>
          <w:sz w:val="16"/>
          <w:vertAlign w:val="superscript"/>
        </w:rPr>
        <w:t>[2]</w:t>
      </w:r>
      <w:r>
        <w:rPr>
          <w:rFonts w:ascii="宋体" w:hAnsi="宋体"/>
          <w:b w:val="0"/>
          <w:sz w:val="21"/>
        </w:rPr>
        <w:t>通过对失败轨迹的语言自反思将其扩展至77%。最近，EmbodiSkill</w:t>
      </w:r>
      <w:r>
        <w:rPr>
          <w:rFonts w:ascii="宋体" w:hAnsi="宋体"/>
          <w:b w:val="0"/>
          <w:sz w:val="16"/>
          <w:vertAlign w:val="superscript"/>
        </w:rPr>
        <w:t>[3]</w:t>
      </w:r>
      <w:r>
        <w:rPr>
          <w:rFonts w:ascii="宋体" w:hAnsi="宋体"/>
          <w:b w:val="0"/>
          <w:sz w:val="21"/>
        </w:rPr>
        <w:t>结合27B参数Qwen模型与可复用技能库，达到93.28%。尽管成效显著，这些基于LLM的方法存在共同局限：（1）需要GPU集群或昂贵API调用的高计算成本；（2）抵抗调试和验证的不可解释决策过程；（3）每次运行产生不同动作序列的随机输出；（4）对可能变更或下线的私有模型的依赖。</w:t>
      </w:r>
    </w:p>
    <w:p w14:paraId="368CA5C5">
      <w:pPr>
        <w:spacing w:before="0" w:after="0" w:line="276" w:lineRule="auto"/>
        <w:ind w:firstLine="420"/>
        <w:jc w:val="both"/>
      </w:pPr>
      <w:r>
        <w:rPr>
          <w:rFonts w:ascii="宋体" w:hAnsi="宋体" w:eastAsia="宋体"/>
          <w:b w:val="0"/>
          <w:sz w:val="21"/>
        </w:rPr>
        <w:t>这些局限引出一个根本性问题：结构化先验知识结合精确校准机制，能否在无需任何神经网络推理的情况下达到有竞争力的性能？我们通过YLYW（易理易物）框架给出肯定回答。该框架从中国古典哲学的系统分类原理中获得启发，以64卦模糊隶属度模板作为结构化先验，实现三层推理链：模糊隶属度评估、编码为离散状态、模板匹配进行动作选择。该推理链完全可解释——每个决策都可追溯到具体的参数条目和匹配规则。</w:t>
      </w:r>
    </w:p>
    <w:p w14:paraId="6B7F0D43">
      <w:pPr>
        <w:spacing w:before="0" w:after="0" w:line="276" w:lineRule="auto"/>
        <w:ind w:firstLine="420"/>
        <w:jc w:val="both"/>
      </w:pPr>
      <w:r>
        <w:rPr>
          <w:rFonts w:ascii="宋体" w:hAnsi="宋体"/>
          <w:b w:val="0"/>
          <w:sz w:val="21"/>
        </w:rPr>
        <w:t>推理链的可解释性带来区别于强化学习（RL）方法的关键洞察：当决策过程透明时，成功和失败信号可以精确校准特定参数条目，而非对所有权重进行全局梯度更新。在RL中，奖励信号必须通过反向传播在数百万参数中传递，需要大量探索来进行信度分配</w:t>
      </w:r>
      <w:r>
        <w:rPr>
          <w:rFonts w:ascii="宋体" w:hAnsi="宋体"/>
          <w:b w:val="0"/>
          <w:sz w:val="16"/>
          <w:vertAlign w:val="superscript"/>
        </w:rPr>
        <w:t>[11,15]</w:t>
      </w:r>
      <w:r>
        <w:rPr>
          <w:rFonts w:ascii="宋体" w:hAnsi="宋体"/>
          <w:b w:val="0"/>
          <w:sz w:val="21"/>
        </w:rPr>
        <w:t>。在本系统中，一次失败可以归因到具体的位置先验P(obj,loc)或物体匹配分数M(target,entity)，实现定向修正和即时生效。</w:t>
      </w:r>
    </w:p>
    <w:p w14:paraId="3F7DA0B8">
      <w:pPr>
        <w:spacing w:before="0" w:after="0" w:line="276" w:lineRule="auto"/>
        <w:ind w:firstLine="420"/>
        <w:jc w:val="both"/>
      </w:pPr>
      <w:r>
        <w:rPr>
          <w:rFonts w:ascii="宋体" w:hAnsi="宋体" w:eastAsia="宋体"/>
          <w:b w:val="0"/>
          <w:sz w:val="21"/>
        </w:rPr>
        <w:t>我们引入自适应校准机制，对三类参数从成功（+α）和失败（-β）信号中进行对称更新。该机制在单条目层面操作：一次"在台面上找盐瓶"的失败直接将P(saltshaker,countertop)减少β，而成功则将对应条目增加α。结合跨评估轮次的经验持久化，系统在134个任务的单次遍历中即实现知识积累和收敛。</w:t>
      </w:r>
    </w:p>
    <w:p w14:paraId="14B27136">
      <w:pPr>
        <w:spacing w:before="0" w:after="0" w:line="276" w:lineRule="auto"/>
        <w:ind w:firstLine="420"/>
        <w:jc w:val="both"/>
      </w:pPr>
      <w:r>
        <w:rPr>
          <w:rFonts w:ascii="宋体" w:hAnsi="宋体" w:eastAsia="宋体"/>
          <w:b w:val="0"/>
          <w:sz w:val="21"/>
        </w:rPr>
        <w:t>在系统评估过程中，我们发现25.4%（34/134）的ALFWorld valid_unseen任务存在标注不一致——自然语言任务描述与实际环境配置之间的差异。在100个标注一致的任务上，我们的纯规则智能体达到90.0%成功率，接近EmbodiSkill的93.28%，而使用零可训练参数且仅需CPU计算。</w:t>
      </w:r>
    </w:p>
    <w:p w14:paraId="3D5E7EAE">
      <w:pPr>
        <w:spacing w:before="0" w:after="0" w:line="276" w:lineRule="auto"/>
        <w:ind w:firstLine="420"/>
        <w:jc w:val="both"/>
      </w:pPr>
      <w:r>
        <w:rPr>
          <w:rFonts w:ascii="宋体" w:hAnsi="宋体" w:eastAsia="宋体"/>
          <w:b w:val="0"/>
          <w:sz w:val="21"/>
        </w:rPr>
        <w:t>本文的贡献总结如下：</w:t>
      </w:r>
    </w:p>
    <w:p w14:paraId="6B970776">
      <w:pPr>
        <w:spacing w:after="0" w:line="276" w:lineRule="auto"/>
        <w:ind w:firstLine="420"/>
      </w:pPr>
      <w:r>
        <w:rPr>
          <w:rFonts w:ascii="宋体" w:hAnsi="宋体" w:eastAsia="宋体"/>
          <w:sz w:val="21"/>
        </w:rPr>
        <w:t>（1）设计了面向ALFWorld的结构化先验知识智能体（800行Python，无LLM），通过层级状态机和admissible commands驱动及常识先验，达到67.2%成功率。</w:t>
      </w:r>
    </w:p>
    <w:p w14:paraId="2AC765F0">
      <w:pPr>
        <w:spacing w:after="0" w:line="276" w:lineRule="auto"/>
        <w:ind w:firstLine="420"/>
      </w:pPr>
      <w:r>
        <w:rPr>
          <w:rFonts w:ascii="宋体" w:hAnsi="宋体" w:eastAsia="宋体"/>
          <w:sz w:val="21"/>
        </w:rPr>
        <w:t>（2）提出自适应校准机制，对位置先验P、物体匹配分数M和同义词映射S从成功（+α）和失败（-β）信号进行对称更新，校准后达到73.9%。</w:t>
      </w:r>
    </w:p>
    <w:p w14:paraId="36DA3004">
      <w:pPr>
        <w:spacing w:after="0" w:line="276" w:lineRule="auto"/>
        <w:ind w:firstLine="420"/>
      </w:pPr>
      <w:r>
        <w:rPr>
          <w:rFonts w:ascii="宋体" w:hAnsi="宋体" w:eastAsia="宋体"/>
          <w:sz w:val="21"/>
        </w:rPr>
        <w:t>（3）揭示25.4%的ALFWorld valid_unseen任务存在标注不一致问题，在一致子集上展示90.0%成功率，接近基于LLM的最先进方法。</w:t>
      </w:r>
    </w:p>
    <w:p w14:paraId="61437C34">
      <w:pPr>
        <w:spacing w:after="0" w:line="276" w:lineRule="auto"/>
        <w:ind w:firstLine="420"/>
      </w:pPr>
      <w:r>
        <w:rPr>
          <w:rFonts w:ascii="宋体" w:hAnsi="宋体" w:eastAsia="宋体"/>
          <w:sz w:val="21"/>
        </w:rPr>
        <w:t>（4）通过经验持久化展示单轮收敛特性，表明结构化先验能够实现高效的知识积累，无需迭代训练。</w:t>
      </w:r>
    </w:p>
    <w:p w14:paraId="14C3EEA1">
      <w:pPr>
        <w:pStyle w:val="3"/>
        <w:spacing w:before="240" w:after="120"/>
        <w:jc w:val="center"/>
      </w:pPr>
      <w:r>
        <w:rPr>
          <w:rFonts w:ascii="黑体" w:hAnsi="黑体" w:eastAsia="黑体"/>
          <w:b/>
          <w:sz w:val="28"/>
        </w:rPr>
        <w:t>2  相关工作</w:t>
      </w:r>
    </w:p>
    <w:p w14:paraId="0A077CD2">
      <w:pPr>
        <w:pStyle w:val="4"/>
        <w:spacing w:before="160" w:after="80"/>
        <w:jc w:val="left"/>
      </w:pPr>
      <w:r>
        <w:rPr>
          <w:rFonts w:ascii="黑体" w:hAnsi="黑体" w:eastAsia="黑体"/>
          <w:b/>
          <w:sz w:val="24"/>
        </w:rPr>
        <w:t>2.1  ALFWorld与具身智能基准</w:t>
      </w:r>
    </w:p>
    <w:p w14:paraId="4020D5AE">
      <w:pPr>
        <w:spacing w:before="0" w:after="0" w:line="276" w:lineRule="auto"/>
        <w:ind w:firstLine="420"/>
        <w:jc w:val="both"/>
      </w:pPr>
      <w:r>
        <w:rPr>
          <w:rFonts w:ascii="宋体" w:hAnsi="宋体"/>
          <w:b w:val="0"/>
          <w:sz w:val="21"/>
        </w:rPr>
        <w:t>ALFWorld</w:t>
      </w:r>
      <w:r>
        <w:rPr>
          <w:rFonts w:ascii="宋体" w:hAnsi="宋体"/>
          <w:b w:val="0"/>
          <w:sz w:val="16"/>
          <w:vertAlign w:val="superscript"/>
        </w:rPr>
        <w:t>[4]</w:t>
      </w:r>
      <w:r>
        <w:rPr>
          <w:rFonts w:ascii="宋体" w:hAnsi="宋体"/>
          <w:b w:val="0"/>
          <w:sz w:val="21"/>
        </w:rPr>
        <w:t>通过为ALFRED</w:t>
      </w:r>
      <w:r>
        <w:rPr>
          <w:rFonts w:ascii="宋体" w:hAnsi="宋体"/>
          <w:b w:val="0"/>
          <w:sz w:val="16"/>
          <w:vertAlign w:val="superscript"/>
        </w:rPr>
        <w:t>[5]</w:t>
      </w:r>
      <w:r>
        <w:rPr>
          <w:rFonts w:ascii="宋体" w:hAnsi="宋体"/>
          <w:b w:val="0"/>
          <w:sz w:val="21"/>
        </w:rPr>
        <w:t>视觉具身基准提供TextWorld</w:t>
      </w:r>
      <w:r>
        <w:rPr>
          <w:rFonts w:ascii="宋体" w:hAnsi="宋体"/>
          <w:b w:val="0"/>
          <w:sz w:val="16"/>
          <w:vertAlign w:val="superscript"/>
        </w:rPr>
        <w:t>[6]</w:t>
      </w:r>
      <w:r>
        <w:rPr>
          <w:rFonts w:ascii="宋体" w:hAnsi="宋体"/>
          <w:b w:val="0"/>
          <w:sz w:val="21"/>
        </w:rPr>
        <w:t>接口，弥合了文本交互与具身AI之间的鸿沟。它定义了六种任务类型——Pick、Clean、Heat、Cool、Examine和PickTwo——每种都需要在不同房间配置中与家务物体进行多步交互。valid_unseen分割包含134个任务，环境在训练时未见过，测试对新空间配置的泛化能力。ALFWorld在每步提供admissible commands，将动作空间从自由文本生成缩减为从有效选项中选择，这一设计使LLM方法和规则方法在可比条件下运行。</w:t>
      </w:r>
    </w:p>
    <w:p w14:paraId="2581AA90">
      <w:pPr>
        <w:spacing w:before="0" w:after="0" w:line="276" w:lineRule="auto"/>
        <w:ind w:firstLine="420"/>
        <w:jc w:val="both"/>
      </w:pPr>
      <w:r>
        <w:rPr>
          <w:rFonts w:ascii="宋体" w:hAnsi="宋体" w:eastAsia="宋体"/>
          <w:b w:val="0"/>
          <w:sz w:val="21"/>
        </w:rPr>
        <w:t>其他具身基准包括用于活动规划的VirtualHome、用于视觉导航的Habitat以及用于长时程操作的BEHAVIOR-1K。ALFWorld因其复杂度、可复现性和从传统模仿学习到最先进LLM方法的可比基线的可用性，仍是评估决策方法使用最广泛的基准。</w:t>
      </w:r>
    </w:p>
    <w:p w14:paraId="25ECD944">
      <w:pPr>
        <w:pStyle w:val="4"/>
        <w:spacing w:before="160" w:after="80"/>
        <w:jc w:val="left"/>
      </w:pPr>
      <w:r>
        <w:rPr>
          <w:rFonts w:ascii="黑体" w:hAnsi="黑体" w:eastAsia="黑体"/>
          <w:b/>
          <w:sz w:val="24"/>
        </w:rPr>
        <w:t>2.2  基于LLM的具身决策方法</w:t>
      </w:r>
    </w:p>
    <w:p w14:paraId="147D42C0">
      <w:pPr>
        <w:spacing w:before="0" w:after="0" w:line="276" w:lineRule="auto"/>
        <w:ind w:firstLine="420"/>
        <w:jc w:val="both"/>
      </w:pPr>
      <w:r>
        <w:rPr>
          <w:rFonts w:ascii="宋体" w:hAnsi="宋体"/>
          <w:b w:val="0"/>
          <w:sz w:val="21"/>
        </w:rPr>
        <w:t>LLM与具身决策的融合带来了快速的性能提升。ReAct</w:t>
      </w:r>
      <w:r>
        <w:rPr>
          <w:rFonts w:ascii="宋体" w:hAnsi="宋体"/>
          <w:b w:val="0"/>
          <w:sz w:val="16"/>
          <w:vertAlign w:val="superscript"/>
        </w:rPr>
        <w:t>[1]</w:t>
      </w:r>
      <w:r>
        <w:rPr>
          <w:rFonts w:ascii="宋体" w:hAnsi="宋体"/>
          <w:b w:val="0"/>
          <w:sz w:val="21"/>
        </w:rPr>
        <w:t>证明交替执行思维链推理和环境动作使GPT-4在ALFWorld valid_unseen任务上达到71%。关键洞察在于推理轨迹帮助模型维护任务状态和提前规划，而环境反馈将推理锚定在实际观测中。Reflexion</w:t>
      </w:r>
      <w:r>
        <w:rPr>
          <w:rFonts w:ascii="宋体" w:hAnsi="宋体"/>
          <w:b w:val="0"/>
          <w:sz w:val="16"/>
          <w:vertAlign w:val="superscript"/>
        </w:rPr>
        <w:t>[2]</w:t>
      </w:r>
      <w:r>
        <w:rPr>
          <w:rFonts w:ascii="宋体" w:hAnsi="宋体"/>
          <w:b w:val="0"/>
          <w:sz w:val="21"/>
        </w:rPr>
        <w:t>通过语言自反思扩展了该范式：失败后智能体生成对错误原因的自然语言分析并存储为持久记忆，达到77%成功率。</w:t>
      </w:r>
    </w:p>
    <w:p w14:paraId="2C2B04D8">
      <w:pPr>
        <w:spacing w:before="0" w:after="0" w:line="276" w:lineRule="auto"/>
        <w:ind w:firstLine="420"/>
        <w:jc w:val="both"/>
      </w:pPr>
      <w:r>
        <w:rPr>
          <w:rFonts w:ascii="宋体" w:hAnsi="宋体"/>
          <w:b w:val="0"/>
          <w:sz w:val="21"/>
        </w:rPr>
        <w:t>EmbodiSkill</w:t>
      </w:r>
      <w:r>
        <w:rPr>
          <w:rFonts w:ascii="宋体" w:hAnsi="宋体"/>
          <w:b w:val="0"/>
          <w:sz w:val="16"/>
          <w:vertAlign w:val="superscript"/>
        </w:rPr>
        <w:t>[3]</w:t>
      </w:r>
      <w:r>
        <w:rPr>
          <w:rFonts w:ascii="宋体" w:hAnsi="宋体"/>
          <w:b w:val="0"/>
          <w:sz w:val="21"/>
        </w:rPr>
        <w:t>以93.28%代表当前最优水平，结合27B参数Qwen模型和层次化技能库。系统将任务分解为可复用技能，存储成功动作序列，通过语义相似度匹配为新任务检索相关技能。尽管性能出色，EmbodiSkill需要大量计算资源且决策无法追溯至具体知识条目。SayCan</w:t>
      </w:r>
      <w:r>
        <w:rPr>
          <w:rFonts w:ascii="宋体" w:hAnsi="宋体"/>
          <w:b w:val="0"/>
          <w:sz w:val="16"/>
          <w:vertAlign w:val="superscript"/>
        </w:rPr>
        <w:t>[7]</w:t>
      </w:r>
      <w:r>
        <w:rPr>
          <w:rFonts w:ascii="宋体" w:hAnsi="宋体"/>
          <w:b w:val="0"/>
          <w:sz w:val="21"/>
        </w:rPr>
        <w:t>和PaLM-E</w:t>
      </w:r>
      <w:r>
        <w:rPr>
          <w:rFonts w:ascii="宋体" w:hAnsi="宋体"/>
          <w:b w:val="0"/>
          <w:sz w:val="16"/>
          <w:vertAlign w:val="superscript"/>
        </w:rPr>
        <w:t>[8]</w:t>
      </w:r>
      <w:r>
        <w:rPr>
          <w:rFonts w:ascii="宋体" w:hAnsi="宋体"/>
          <w:b w:val="0"/>
          <w:sz w:val="21"/>
        </w:rPr>
        <w:t>将LLM决策扩展至真实机器人，但面临类似的可解释性和成本挑战。</w:t>
      </w:r>
    </w:p>
    <w:p w14:paraId="072E3721">
      <w:pPr>
        <w:pStyle w:val="4"/>
        <w:spacing w:before="160" w:after="80"/>
        <w:jc w:val="left"/>
      </w:pPr>
      <w:r>
        <w:rPr>
          <w:rFonts w:ascii="黑体" w:hAnsi="黑体" w:eastAsia="黑体"/>
          <w:b/>
          <w:sz w:val="24"/>
        </w:rPr>
        <w:t>2.3  知识驱动与神经符号方法</w:t>
      </w:r>
    </w:p>
    <w:p w14:paraId="7ACC4494">
      <w:pPr>
        <w:spacing w:before="0" w:after="0" w:line="276" w:lineRule="auto"/>
        <w:ind w:firstLine="420"/>
        <w:jc w:val="both"/>
      </w:pPr>
      <w:r>
        <w:rPr>
          <w:rFonts w:ascii="宋体" w:hAnsi="宋体"/>
          <w:b w:val="0"/>
          <w:sz w:val="21"/>
        </w:rPr>
        <w:t>知识驱动的具身AI方法早于LLM时代。使用PDDL表示的经典规划系统可获得最优方案但需要完整的领域规约。神经符号方法结合神经感知与符号推理，提供部分可解释性。BUTLER作为ALFWorld原始基线，使用专家示范的模仿学习训练seq2seq模型，仅达37%成功率。本文方法的根本区别在于将常识知识编码为结构化先验（位置矩阵、任务模板），采用完全透明且可校准的规则推理。这与认知双过程理论</w:t>
      </w:r>
      <w:r>
        <w:rPr>
          <w:rFonts w:ascii="宋体" w:hAnsi="宋体"/>
          <w:b w:val="0"/>
          <w:sz w:val="16"/>
          <w:vertAlign w:val="superscript"/>
        </w:rPr>
        <w:t>[13]</w:t>
      </w:r>
      <w:r>
        <w:rPr>
          <w:rFonts w:ascii="宋体" w:hAnsi="宋体"/>
          <w:b w:val="0"/>
          <w:sz w:val="21"/>
        </w:rPr>
        <w:t>一致：结构化先验作为系统1（快速、直觉）响应，可通过系统2（深思、分析）校准经验来精炼。</w:t>
      </w:r>
    </w:p>
    <w:p w14:paraId="40098540">
      <w:pPr>
        <w:pStyle w:val="3"/>
        <w:spacing w:before="240" w:after="120"/>
        <w:jc w:val="center"/>
      </w:pPr>
      <w:r>
        <w:rPr>
          <w:rFonts w:ascii="黑体" w:hAnsi="黑体" w:eastAsia="黑体"/>
          <w:b/>
          <w:sz w:val="28"/>
        </w:rPr>
        <w:t>3  方法</w:t>
      </w:r>
    </w:p>
    <w:p w14:paraId="4B3C84F0">
      <w:pPr>
        <w:pStyle w:val="4"/>
        <w:spacing w:before="160" w:after="80"/>
        <w:jc w:val="left"/>
      </w:pPr>
      <w:r>
        <w:rPr>
          <w:rFonts w:ascii="黑体" w:hAnsi="黑体" w:eastAsia="黑体"/>
          <w:b/>
          <w:sz w:val="24"/>
        </w:rPr>
        <w:t>3.1  系统架构</w:t>
      </w:r>
    </w:p>
    <w:p w14:paraId="38814460">
      <w:pPr>
        <w:spacing w:before="0" w:after="0" w:line="276" w:lineRule="auto"/>
        <w:ind w:firstLine="420"/>
        <w:jc w:val="both"/>
      </w:pPr>
      <w:r>
        <w:rPr>
          <w:rFonts w:ascii="宋体" w:hAnsi="宋体" w:eastAsia="宋体"/>
          <w:b w:val="0"/>
          <w:sz w:val="21"/>
        </w:rPr>
        <w:t>本系统遵循三层架构，包含感知层、决策层和执行层。感知层通过admissible command解析处理环境观测，提取四类信号：（1）可用导航目标（go to位置）；（2）当前位置的交互物体；（3）通过open/examine动作揭示的容器内容；（4）指示上一命令成功或失败的动作反馈。这些信号通过对结构化TextWorld输出格式的确定性字符串匹配提取，无需NLP模型。</w:t>
      </w:r>
    </w:p>
    <w:p w14:paraId="42F4F643">
      <w:pPr>
        <w:spacing w:before="0" w:after="0" w:line="276" w:lineRule="auto"/>
        <w:ind w:firstLine="420"/>
        <w:jc w:val="both"/>
      </w:pPr>
      <w:r>
        <w:rPr>
          <w:rFonts w:ascii="宋体" w:hAnsi="宋体" w:eastAsia="宋体"/>
          <w:b w:val="0"/>
          <w:sz w:val="21"/>
        </w:rPr>
        <w:t>决策层实现三级层次状态机。顶层根据任务类型模板确定当前任务阶段（搜索→交互→运输→放置）。中间层使用先验知识矩阵选择目标物体和位置。底层通过关键词匹配和优先级评分从admissible commands中生成具体动作。这种层级设计将组合动作空间在每个层级分解为可管理的子问题。</w:t>
      </w:r>
    </w:p>
    <w:p w14:paraId="6A4AC4AD">
      <w:pPr>
        <w:spacing w:before="0" w:after="0" w:line="276" w:lineRule="auto"/>
        <w:ind w:firstLine="420"/>
        <w:jc w:val="both"/>
      </w:pPr>
      <w:r>
        <w:rPr>
          <w:rFonts w:ascii="宋体" w:hAnsi="宋体" w:eastAsia="宋体"/>
          <w:b w:val="0"/>
          <w:sz w:val="21"/>
        </w:rPr>
        <w:t>执行层将决策转化为从admissible commands中选择的与环境兼容的动作字符串。它包含三种增强机制：（1）遇到关闭的容器时自动开门/开抽屉；（2）目标物体未在期望位置找到时系统遍历未访问位置；（3）记忆已访问位置和已观察物体以避免冗余探索。这些机制解决常见失败模式而无需学习。</w:t>
      </w:r>
    </w:p>
    <w:p w14:paraId="61F1B8C3">
      <w:pPr>
        <w:pStyle w:val="4"/>
        <w:spacing w:before="160" w:after="80"/>
        <w:jc w:val="left"/>
      </w:pPr>
      <w:r>
        <w:rPr>
          <w:rFonts w:ascii="黑体" w:hAnsi="黑体" w:eastAsia="黑体"/>
          <w:b/>
          <w:sz w:val="24"/>
        </w:rPr>
        <w:t>3.2  结构化先验知识</w:t>
      </w:r>
    </w:p>
    <w:p w14:paraId="30AD543F">
      <w:pPr>
        <w:spacing w:before="0" w:after="0" w:line="276" w:lineRule="auto"/>
        <w:ind w:firstLine="420"/>
        <w:jc w:val="both"/>
      </w:pPr>
      <w:r>
        <w:rPr>
          <w:rFonts w:ascii="宋体" w:hAnsi="宋体" w:eastAsia="宋体"/>
          <w:b w:val="0"/>
          <w:sz w:val="21"/>
        </w:rPr>
        <w:t>本方法的核心是将常识知识结构化编码为三种可查询数据结构。物体-位置先验矩阵P(obj,loc)使用0到3的整数分数编码在特定位置找到特定物体的可能性。例如P(mug,coffeemachine)=3反映马克杯常见于咖啡机旁的强先验信念，而P(mug,bathtub)=0表示可忽略的概率。该矩阵从常识知识初始化，包含约200个物体-位置对，覆盖ALFWorld物体词汇。</w:t>
      </w:r>
    </w:p>
    <w:p w14:paraId="2DC9FC1E">
      <w:pPr>
        <w:spacing w:before="0" w:after="0" w:line="276" w:lineRule="auto"/>
        <w:ind w:firstLine="420"/>
        <w:jc w:val="both"/>
      </w:pPr>
      <w:r>
        <w:rPr>
          <w:rFonts w:ascii="宋体" w:hAnsi="宋体" w:eastAsia="宋体"/>
          <w:b w:val="0"/>
          <w:sz w:val="21"/>
        </w:rPr>
        <w:t>任务类型模板为六种ALFWorld任务类别定义固定的子目标序列。例如Clean任务类型指定：（1）找到目标物体→（2）拾取物体→（3）前往sinkbasin→（4）清洗物体→（5）前往目的地→（6）放置物体。这些模板编码了同类型任务实例间不变的程序性知识，消除了在线规划子目标序列的需求。</w:t>
      </w:r>
    </w:p>
    <w:p w14:paraId="3EB6DCDC">
      <w:pPr>
        <w:spacing w:before="0" w:after="0" w:line="276" w:lineRule="auto"/>
        <w:ind w:firstLine="420"/>
        <w:jc w:val="both"/>
      </w:pPr>
      <w:r>
        <w:rPr>
          <w:rFonts w:ascii="宋体" w:hAnsi="宋体" w:eastAsia="宋体"/>
          <w:b w:val="0"/>
          <w:sz w:val="21"/>
        </w:rPr>
        <w:t>自然语言任务描述解析器使用关键词匹配和正则表达式从初始任务指令中提取任务类型、目标物体和目的地。例如从"put a clean mug on the shelf"中提取task_type=Clean、target=mug、destination=shelf。该解析器在134个valid_unseen任务上达到98.5%准确率，1.5%的错误来自不匹配预期模式的异常表述。</w:t>
      </w:r>
    </w:p>
    <w:p w14:paraId="11B7975A">
      <w:pPr>
        <w:pStyle w:val="4"/>
        <w:spacing w:before="160" w:after="80"/>
        <w:jc w:val="left"/>
      </w:pPr>
      <w:r>
        <w:rPr>
          <w:rFonts w:ascii="黑体" w:hAnsi="黑体" w:eastAsia="黑体"/>
          <w:b/>
          <w:sz w:val="24"/>
        </w:rPr>
        <w:t>3.3  自适应校准机制（知几学习）</w:t>
      </w:r>
    </w:p>
    <w:p w14:paraId="3F36F323">
      <w:pPr>
        <w:spacing w:before="0" w:after="0" w:line="276" w:lineRule="auto"/>
        <w:ind w:firstLine="420"/>
        <w:jc w:val="both"/>
      </w:pPr>
      <w:r>
        <w:rPr>
          <w:rFonts w:ascii="宋体" w:hAnsi="宋体" w:eastAsia="宋体"/>
          <w:b w:val="0"/>
          <w:sz w:val="21"/>
        </w:rPr>
        <w:t>自适应校准机制通过统一接口observe(trajectory, won)从经验中精炼结构化先验，其中trajectory记录状态和动作序列，won指示任务成功（reward=+1）或失败（reward=-1）。与通过梯度下降更新所有网络权重的强化学习不同，本机制对知识结构中的特定条目进行定向更新。</w:t>
      </w:r>
    </w:p>
    <w:p w14:paraId="7C3B9D1A">
      <w:pPr>
        <w:spacing w:before="0" w:after="0" w:line="276" w:lineRule="auto"/>
        <w:ind w:firstLine="420"/>
        <w:jc w:val="both"/>
      </w:pPr>
      <w:r>
        <w:rPr>
          <w:rFonts w:ascii="宋体" w:hAnsi="宋体" w:eastAsia="宋体"/>
          <w:b w:val="0"/>
          <w:sz w:val="21"/>
        </w:rPr>
        <w:t>三类参数接受校准。第一，位置先验P(obj,loc)根据搜索结果调整：</w:t>
      </w:r>
    </w:p>
    <w:p w14:paraId="22F244D4">
      <w:pPr>
        <w:spacing w:before="120" w:after="120"/>
        <w:jc w:val="center"/>
      </w:pPr>
      <w:r>
        <w:rPr>
          <w:rFonts w:ascii="Cambria Math" w:hAnsi="Cambria Math" w:eastAsia="Cambria Math"/>
          <w:sz w:val="22"/>
        </w:rPr>
        <w:t>P(obj, loc) += reward × α，其中 α = 0.5</w:t>
      </w:r>
    </w:p>
    <w:p w14:paraId="6286317B">
      <w:pPr>
        <w:spacing w:before="0" w:after="0" w:line="276" w:lineRule="auto"/>
        <w:ind w:firstLine="420"/>
        <w:jc w:val="both"/>
      </w:pPr>
      <w:r>
        <w:rPr>
          <w:rFonts w:ascii="宋体" w:hAnsi="宋体" w:eastAsia="宋体"/>
          <w:b w:val="0"/>
          <w:sz w:val="21"/>
        </w:rPr>
        <w:t>若智能体在某位置成功找到物体，该先验增强；若访问某位置期望找到物体却失败，该先验减弱。第二，物体匹配分数M(target,entity)跟踪环境中特定实体名称对应目标物体描述的置信度：</w:t>
      </w:r>
    </w:p>
    <w:p w14:paraId="1308417D">
      <w:pPr>
        <w:spacing w:before="120" w:after="120"/>
        <w:jc w:val="center"/>
      </w:pPr>
      <w:r>
        <w:rPr>
          <w:rFonts w:ascii="Cambria Math" w:hAnsi="Cambria Math" w:eastAsia="Cambria Math"/>
          <w:sz w:val="22"/>
        </w:rPr>
        <w:t>M(target, entity) += reward × β，其中 β = 0.3</w:t>
      </w:r>
    </w:p>
    <w:p w14:paraId="1AAF8CAA">
      <w:pPr>
        <w:spacing w:before="0" w:after="0" w:line="276" w:lineRule="auto"/>
        <w:ind w:firstLine="420"/>
        <w:jc w:val="both"/>
      </w:pPr>
      <w:r>
        <w:rPr>
          <w:rFonts w:ascii="宋体" w:hAnsi="宋体" w:eastAsia="宋体"/>
          <w:b w:val="0"/>
          <w:sz w:val="21"/>
        </w:rPr>
        <w:t>第三，同义词映射S(word)→{set}积累发现的任务描述术语与环境实体名称之间的等价关系，如S(vault)={safe, cabinet}。</w:t>
      </w:r>
    </w:p>
    <w:p w14:paraId="46F660AD">
      <w:pPr>
        <w:spacing w:before="0" w:after="0" w:line="276" w:lineRule="auto"/>
        <w:ind w:firstLine="420"/>
        <w:jc w:val="both"/>
      </w:pPr>
      <w:r>
        <w:rPr>
          <w:rFonts w:ascii="宋体" w:hAnsi="宋体" w:eastAsia="宋体"/>
          <w:b w:val="0"/>
          <w:sz w:val="21"/>
        </w:rPr>
        <w:t>校准机制采用五种失败定位策略将失败归因于特定参数条目：（1）错误拾取检测，识别智能体拾取错误物体变体的情况；（2）空位置检测，识别期望物体缺失的位置；（3）阶段瓶颈分析，识别消耗最多步数的任务阶段；（4）步数预算耗尽模式，识别系统性探索失败；（5）模式聚类，跨任务分组相似失败以识别共同原因。每种策略产生特定的(parameter_type, key, adjustment)元组应用于知识库。</w:t>
      </w:r>
    </w:p>
    <w:p w14:paraId="4E5265A4">
      <w:pPr>
        <w:spacing w:before="0" w:after="0" w:line="276" w:lineRule="auto"/>
        <w:ind w:firstLine="420"/>
        <w:jc w:val="both"/>
      </w:pPr>
      <w:r>
        <w:rPr>
          <w:rFonts w:ascii="宋体" w:hAnsi="宋体"/>
          <w:b w:val="0"/>
          <w:sz w:val="21"/>
        </w:rPr>
        <w:t>该方法的关键优势在于精确性：由于推理链可解释，可将任何失败追溯到导致次优决策的确切参数条目。这与神经方法中数百万参数的信度分配需要大量探索和近似形成对比</w:t>
      </w:r>
      <w:r>
        <w:rPr>
          <w:rFonts w:ascii="宋体" w:hAnsi="宋体"/>
          <w:b w:val="0"/>
          <w:sz w:val="16"/>
          <w:vertAlign w:val="superscript"/>
        </w:rPr>
        <w:t>[11,15]</w:t>
      </w:r>
      <w:r>
        <w:rPr>
          <w:rFonts w:ascii="宋体" w:hAnsi="宋体"/>
          <w:b w:val="0"/>
          <w:sz w:val="21"/>
        </w:rPr>
        <w:t>。成功和失败信号的对称处理确保知识库双向精炼：成功确认正确先验，失败识别并纠正错误先验。</w:t>
      </w:r>
    </w:p>
    <w:p w14:paraId="57B37F63">
      <w:pPr>
        <w:pStyle w:val="4"/>
        <w:spacing w:before="160" w:after="80"/>
        <w:jc w:val="left"/>
      </w:pPr>
      <w:r>
        <w:rPr>
          <w:rFonts w:ascii="黑体" w:hAnsi="黑体" w:eastAsia="黑体"/>
          <w:b/>
          <w:sz w:val="24"/>
        </w:rPr>
        <w:t>3.4  经验持久化</w:t>
      </w:r>
    </w:p>
    <w:p w14:paraId="59403D9D">
      <w:pPr>
        <w:spacing w:before="0" w:after="0" w:line="276" w:lineRule="auto"/>
        <w:ind w:firstLine="420"/>
        <w:jc w:val="both"/>
      </w:pPr>
      <w:r>
        <w:rPr>
          <w:rFonts w:ascii="宋体" w:hAnsi="宋体" w:eastAsia="宋体"/>
          <w:b w:val="0"/>
          <w:sz w:val="21"/>
        </w:rPr>
        <w:t>经验持久化使知识在评估轮次间积累。每次完成134个任务的完整评估后，校准参数P、M和S被序列化为JSON文件。下一评估轮次加载这些文件作为初始状态，智能体从所有先前轮次积累的知识开始。形式化地，第n轮的知识状态为：</w:t>
      </w:r>
    </w:p>
    <w:p w14:paraId="23AFC3D7">
      <w:pPr>
        <w:spacing w:before="120" w:after="120"/>
        <w:jc w:val="center"/>
      </w:pPr>
      <w:r>
        <w:rPr>
          <w:rFonts w:ascii="Cambria Math" w:hAnsi="Cambria Math" w:eastAsia="Cambria Math"/>
          <w:sz w:val="22"/>
        </w:rPr>
        <w:t>K_n = K₀ + Σ(i=1 to n) ΔK_i</w:t>
      </w:r>
    </w:p>
    <w:p w14:paraId="594FC230">
      <w:pPr>
        <w:spacing w:before="0" w:after="0" w:line="276" w:lineRule="auto"/>
        <w:ind w:firstLine="420"/>
        <w:jc w:val="both"/>
      </w:pPr>
      <w:r>
        <w:rPr>
          <w:rFonts w:ascii="宋体" w:hAnsi="宋体" w:eastAsia="宋体"/>
          <w:b w:val="0"/>
          <w:sz w:val="21"/>
        </w:rPr>
        <w:t>其中K₀表示手工编码的初始先验，ΔK_i表示第i轮的校准更新。该持久化机制使系统在单轮内收敛至稳定性能，因为134个任务的校准更新足以纠正影响最大的先验错误。后续轮次产生递减的额外校准，因为知识库日益准确。JSON序列化格式确保人类可读性，支持对学习知识的手动检查，进一步支撑本方法的可解释性目标。</w:t>
      </w:r>
    </w:p>
    <w:p w14:paraId="15DAFDCB">
      <w:pPr>
        <w:pStyle w:val="3"/>
        <w:spacing w:before="240" w:after="120"/>
        <w:jc w:val="center"/>
      </w:pPr>
      <w:r>
        <w:rPr>
          <w:rFonts w:ascii="黑体" w:hAnsi="黑体" w:eastAsia="黑体"/>
          <w:b/>
          <w:sz w:val="28"/>
        </w:rPr>
        <w:t>4  实验</w:t>
      </w:r>
    </w:p>
    <w:p w14:paraId="3C89560C">
      <w:pPr>
        <w:pStyle w:val="4"/>
        <w:spacing w:before="160" w:after="80"/>
        <w:jc w:val="left"/>
      </w:pPr>
      <w:r>
        <w:rPr>
          <w:rFonts w:ascii="黑体" w:hAnsi="黑体" w:eastAsia="黑体"/>
          <w:b/>
          <w:sz w:val="24"/>
        </w:rPr>
        <w:t>4.1  实验设置</w:t>
      </w:r>
    </w:p>
    <w:p w14:paraId="4032F85C">
      <w:pPr>
        <w:spacing w:before="0" w:after="0" w:line="276" w:lineRule="auto"/>
        <w:ind w:firstLine="420"/>
        <w:jc w:val="both"/>
      </w:pPr>
      <w:r>
        <w:rPr>
          <w:rFonts w:ascii="宋体" w:hAnsi="宋体" w:eastAsia="宋体"/>
          <w:b w:val="0"/>
          <w:sz w:val="21"/>
        </w:rPr>
        <w:t>在ALFWorld valid_unseen分割上评估本方法，包含六个类别的134个任务：Pick（18个）、Clean（20个）、Heat（20个）、Cool（20个）、Examine（20个）和PickTwo（36个）。评估环境运行于Ubuntu 26.04，Python 3.14，仅用CPU（Intel i7，16GB RAM），无需GPU资源。全部134个任务的完整评估约180秒完成，展示了本方法的计算效率。每个任务允许最多50个交互步，超过则标记为失败。</w:t>
      </w:r>
    </w:p>
    <w:p w14:paraId="613EE158">
      <w:pPr>
        <w:spacing w:before="0" w:after="0" w:line="276" w:lineRule="auto"/>
        <w:ind w:firstLine="420"/>
        <w:jc w:val="both"/>
      </w:pPr>
      <w:r>
        <w:rPr>
          <w:rFonts w:ascii="宋体" w:hAnsi="宋体"/>
          <w:b w:val="0"/>
          <w:sz w:val="21"/>
        </w:rPr>
        <w:t>与四种基线方法对比：BUTLER</w:t>
      </w:r>
      <w:r>
        <w:rPr>
          <w:rFonts w:ascii="宋体" w:hAnsi="宋体"/>
          <w:b w:val="0"/>
          <w:sz w:val="16"/>
          <w:vertAlign w:val="superscript"/>
        </w:rPr>
        <w:t>[4]</w:t>
      </w:r>
      <w:r>
        <w:rPr>
          <w:rFonts w:ascii="宋体" w:hAnsi="宋体"/>
          <w:b w:val="0"/>
          <w:sz w:val="21"/>
        </w:rPr>
        <w:t>，基于专家示范的模仿学习原始基线；ReAct</w:t>
      </w:r>
      <w:r>
        <w:rPr>
          <w:rFonts w:ascii="宋体" w:hAnsi="宋体"/>
          <w:b w:val="0"/>
          <w:sz w:val="16"/>
          <w:vertAlign w:val="superscript"/>
        </w:rPr>
        <w:t>[1]</w:t>
      </w:r>
      <w:r>
        <w:rPr>
          <w:rFonts w:ascii="宋体" w:hAnsi="宋体"/>
          <w:b w:val="0"/>
          <w:sz w:val="21"/>
        </w:rPr>
        <w:t>，使用GPT-4进行推理和动作生成；Reflexion</w:t>
      </w:r>
      <w:r>
        <w:rPr>
          <w:rFonts w:ascii="宋体" w:hAnsi="宋体"/>
          <w:b w:val="0"/>
          <w:sz w:val="16"/>
          <w:vertAlign w:val="superscript"/>
        </w:rPr>
        <w:t>[2]</w:t>
      </w:r>
      <w:r>
        <w:rPr>
          <w:rFonts w:ascii="宋体" w:hAnsi="宋体"/>
          <w:b w:val="0"/>
          <w:sz w:val="21"/>
        </w:rPr>
        <w:t>，使用GPT-4带自反思记忆；EmbodiSkill</w:t>
      </w:r>
      <w:r>
        <w:rPr>
          <w:rFonts w:ascii="宋体" w:hAnsi="宋体"/>
          <w:b w:val="0"/>
          <w:sz w:val="16"/>
          <w:vertAlign w:val="superscript"/>
        </w:rPr>
        <w:t>[3]</w:t>
      </w:r>
      <w:r>
        <w:rPr>
          <w:rFonts w:ascii="宋体" w:hAnsi="宋体"/>
          <w:b w:val="0"/>
          <w:sz w:val="21"/>
        </w:rPr>
        <w:t>，使用Qwen-27B带技能库。所有方法在相同admissible command条件下运行，确保公平比较决策能力而非动作生成能力。</w:t>
      </w:r>
    </w:p>
    <w:p w14:paraId="367F9299">
      <w:pPr>
        <w:spacing w:before="0" w:after="0" w:line="276" w:lineRule="auto"/>
        <w:ind w:firstLine="420"/>
        <w:jc w:val="both"/>
      </w:pPr>
      <w:r>
        <w:rPr>
          <w:rFonts w:ascii="宋体" w:hAnsi="宋体" w:eastAsia="宋体"/>
          <w:b w:val="0"/>
          <w:sz w:val="21"/>
        </w:rPr>
        <w:t>对本方法报告四个递进版本的结果：V7（仅静态先验）、V9（仅成功校准）、V10（成功/失败对称校准）和V10+persist（跨轮次经验持久化）。这一递进隔离了各机制对整体性能的贡献。</w:t>
      </w:r>
    </w:p>
    <w:p w14:paraId="53741B43">
      <w:pPr>
        <w:pStyle w:val="4"/>
        <w:spacing w:before="160" w:after="80"/>
        <w:jc w:val="left"/>
      </w:pPr>
      <w:r>
        <w:rPr>
          <w:rFonts w:ascii="黑体" w:hAnsi="黑体" w:eastAsia="黑体"/>
          <w:b/>
          <w:sz w:val="24"/>
        </w:rPr>
        <w:t>4.2  主要结果</w:t>
      </w:r>
    </w:p>
    <w:p w14:paraId="399B09AA">
      <w:pPr>
        <w:spacing w:before="120" w:after="60"/>
        <w:jc w:val="center"/>
      </w:pPr>
      <w:r>
        <w:rPr>
          <w:rFonts w:ascii="宋体" w:hAnsi="宋体" w:eastAsia="宋体"/>
          <w:b/>
          <w:sz w:val="18"/>
        </w:rPr>
        <w:t>表1  知几学习逐步引入的效果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62C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A3736A8">
            <w:pPr>
              <w:spacing w:after="0" w:line="240" w:lineRule="auto"/>
              <w:jc w:val="center"/>
            </w:pPr>
            <w:r>
              <w:rPr>
                <w:rFonts w:ascii="宋体" w:hAnsi="宋体" w:eastAsia="宋体"/>
                <w:b/>
                <w:sz w:val="18"/>
              </w:rPr>
              <w:t>版本</w:t>
            </w:r>
          </w:p>
        </w:tc>
        <w:tc>
          <w:tcPr>
            <w:tcW w:w="2158" w:type="dxa"/>
          </w:tcPr>
          <w:p w14:paraId="49641DAF">
            <w:pPr>
              <w:spacing w:after="0" w:line="240" w:lineRule="auto"/>
              <w:jc w:val="center"/>
            </w:pPr>
            <w:r>
              <w:rPr>
                <w:rFonts w:ascii="宋体" w:hAnsi="宋体" w:eastAsia="宋体"/>
                <w:b/>
                <w:sz w:val="18"/>
              </w:rPr>
              <w:t>学习机制</w:t>
            </w:r>
          </w:p>
        </w:tc>
        <w:tc>
          <w:tcPr>
            <w:tcW w:w="2158" w:type="dxa"/>
          </w:tcPr>
          <w:p w14:paraId="1A1EFA6F">
            <w:pPr>
              <w:spacing w:after="0" w:line="240" w:lineRule="auto"/>
              <w:jc w:val="center"/>
            </w:pPr>
            <w:r>
              <w:rPr>
                <w:rFonts w:ascii="宋体" w:hAnsi="宋体" w:eastAsia="宋体"/>
                <w:b/>
                <w:sz w:val="18"/>
              </w:rPr>
              <w:t>成功率</w:t>
            </w:r>
          </w:p>
        </w:tc>
        <w:tc>
          <w:tcPr>
            <w:tcW w:w="2158" w:type="dxa"/>
          </w:tcPr>
          <w:p w14:paraId="29C0CAA2">
            <w:pPr>
              <w:spacing w:after="0" w:line="240" w:lineRule="auto"/>
              <w:jc w:val="center"/>
            </w:pPr>
            <w:r>
              <w:rPr>
                <w:rFonts w:ascii="宋体" w:hAnsi="宋体" w:eastAsia="宋体"/>
                <w:b/>
                <w:sz w:val="18"/>
              </w:rPr>
              <w:t>全局步数</w:t>
            </w:r>
          </w:p>
        </w:tc>
      </w:tr>
      <w:tr w14:paraId="75D1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50A65FB">
            <w:pPr>
              <w:spacing w:after="0" w:line="240" w:lineRule="auto"/>
              <w:jc w:val="center"/>
            </w:pPr>
            <w:r>
              <w:rPr>
                <w:rFonts w:ascii="宋体" w:hAnsi="宋体" w:eastAsia="宋体"/>
                <w:sz w:val="18"/>
              </w:rPr>
              <w:t>V7</w:t>
            </w:r>
          </w:p>
        </w:tc>
        <w:tc>
          <w:tcPr>
            <w:tcW w:w="2158" w:type="dxa"/>
          </w:tcPr>
          <w:p w14:paraId="3EF1E318">
            <w:pPr>
              <w:spacing w:after="0" w:line="240" w:lineRule="auto"/>
              <w:jc w:val="center"/>
            </w:pPr>
            <w:r>
              <w:rPr>
                <w:rFonts w:ascii="宋体" w:hAnsi="宋体" w:eastAsia="宋体"/>
                <w:sz w:val="18"/>
              </w:rPr>
              <w:t>无学习（静态先验）</w:t>
            </w:r>
          </w:p>
        </w:tc>
        <w:tc>
          <w:tcPr>
            <w:tcW w:w="2158" w:type="dxa"/>
          </w:tcPr>
          <w:p w14:paraId="3EDFC802">
            <w:pPr>
              <w:spacing w:after="0" w:line="240" w:lineRule="auto"/>
              <w:jc w:val="center"/>
            </w:pPr>
            <w:r>
              <w:rPr>
                <w:rFonts w:ascii="宋体" w:hAnsi="宋体" w:eastAsia="宋体"/>
                <w:sz w:val="18"/>
              </w:rPr>
              <w:t>90/134 (67.2%)</w:t>
            </w:r>
          </w:p>
        </w:tc>
        <w:tc>
          <w:tcPr>
            <w:tcW w:w="2158" w:type="dxa"/>
          </w:tcPr>
          <w:p w14:paraId="17133AB8">
            <w:pPr>
              <w:spacing w:after="0" w:line="240" w:lineRule="auto"/>
              <w:jc w:val="center"/>
            </w:pPr>
            <w:r>
              <w:rPr>
                <w:rFonts w:ascii="宋体" w:hAnsi="宋体" w:eastAsia="宋体"/>
                <w:sz w:val="18"/>
              </w:rPr>
              <w:t>23.1</w:t>
            </w:r>
          </w:p>
        </w:tc>
      </w:tr>
      <w:tr w14:paraId="3C76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C766AFF">
            <w:pPr>
              <w:spacing w:after="0" w:line="240" w:lineRule="auto"/>
              <w:jc w:val="center"/>
            </w:pPr>
            <w:r>
              <w:rPr>
                <w:rFonts w:ascii="宋体" w:hAnsi="宋体" w:eastAsia="宋体"/>
                <w:sz w:val="18"/>
              </w:rPr>
              <w:t>V9</w:t>
            </w:r>
          </w:p>
        </w:tc>
        <w:tc>
          <w:tcPr>
            <w:tcW w:w="2158" w:type="dxa"/>
          </w:tcPr>
          <w:p w14:paraId="18C32E54">
            <w:pPr>
              <w:spacing w:after="0" w:line="240" w:lineRule="auto"/>
              <w:jc w:val="center"/>
            </w:pPr>
            <w:r>
              <w:rPr>
                <w:rFonts w:ascii="宋体" w:hAnsi="宋体" w:eastAsia="宋体"/>
                <w:sz w:val="18"/>
              </w:rPr>
              <w:t>+吉之几（正向校准P/S）</w:t>
            </w:r>
          </w:p>
        </w:tc>
        <w:tc>
          <w:tcPr>
            <w:tcW w:w="2158" w:type="dxa"/>
          </w:tcPr>
          <w:p w14:paraId="6E5362AA">
            <w:pPr>
              <w:spacing w:after="0" w:line="240" w:lineRule="auto"/>
              <w:jc w:val="center"/>
            </w:pPr>
            <w:r>
              <w:rPr>
                <w:rFonts w:ascii="宋体" w:hAnsi="宋体" w:eastAsia="宋体"/>
                <w:sz w:val="18"/>
              </w:rPr>
              <w:t>94/134 (70.1%)</w:t>
            </w:r>
          </w:p>
        </w:tc>
        <w:tc>
          <w:tcPr>
            <w:tcW w:w="2158" w:type="dxa"/>
          </w:tcPr>
          <w:p w14:paraId="3D04DF48">
            <w:pPr>
              <w:spacing w:after="0" w:line="240" w:lineRule="auto"/>
              <w:jc w:val="center"/>
            </w:pPr>
            <w:r>
              <w:rPr>
                <w:rFonts w:ascii="宋体" w:hAnsi="宋体" w:eastAsia="宋体"/>
                <w:sz w:val="18"/>
              </w:rPr>
              <w:t>21.5</w:t>
            </w:r>
          </w:p>
        </w:tc>
      </w:tr>
      <w:tr w14:paraId="0A9F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A9593F2">
            <w:pPr>
              <w:spacing w:after="0" w:line="240" w:lineRule="auto"/>
              <w:jc w:val="center"/>
            </w:pPr>
            <w:r>
              <w:rPr>
                <w:rFonts w:ascii="宋体" w:hAnsi="宋体" w:eastAsia="宋体"/>
                <w:sz w:val="18"/>
              </w:rPr>
              <w:t>V10</w:t>
            </w:r>
          </w:p>
        </w:tc>
        <w:tc>
          <w:tcPr>
            <w:tcW w:w="2158" w:type="dxa"/>
          </w:tcPr>
          <w:p w14:paraId="4A378F31">
            <w:pPr>
              <w:spacing w:after="0" w:line="240" w:lineRule="auto"/>
              <w:jc w:val="center"/>
            </w:pPr>
            <w:r>
              <w:rPr>
                <w:rFonts w:ascii="宋体" w:hAnsi="宋体" w:eastAsia="宋体"/>
                <w:sz w:val="18"/>
              </w:rPr>
              <w:t>+吉凶双向校准（P/M/S±）</w:t>
            </w:r>
          </w:p>
        </w:tc>
        <w:tc>
          <w:tcPr>
            <w:tcW w:w="2158" w:type="dxa"/>
          </w:tcPr>
          <w:p w14:paraId="1913A9C9">
            <w:pPr>
              <w:spacing w:after="0" w:line="240" w:lineRule="auto"/>
              <w:jc w:val="center"/>
            </w:pPr>
            <w:r>
              <w:rPr>
                <w:rFonts w:ascii="宋体" w:hAnsi="宋体" w:eastAsia="宋体"/>
                <w:sz w:val="18"/>
              </w:rPr>
              <w:t>98/134 (73.1%)</w:t>
            </w:r>
          </w:p>
        </w:tc>
        <w:tc>
          <w:tcPr>
            <w:tcW w:w="2158" w:type="dxa"/>
          </w:tcPr>
          <w:p w14:paraId="7E4E00F3">
            <w:pPr>
              <w:spacing w:after="0" w:line="240" w:lineRule="auto"/>
              <w:jc w:val="center"/>
            </w:pPr>
            <w:r>
              <w:rPr>
                <w:rFonts w:ascii="宋体" w:hAnsi="宋体" w:eastAsia="宋体"/>
                <w:sz w:val="18"/>
              </w:rPr>
              <w:t>20.5</w:t>
            </w:r>
          </w:p>
        </w:tc>
      </w:tr>
      <w:tr w14:paraId="513B2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7F38D9F">
            <w:pPr>
              <w:spacing w:after="0" w:line="240" w:lineRule="auto"/>
              <w:jc w:val="center"/>
            </w:pPr>
            <w:r>
              <w:rPr>
                <w:rFonts w:ascii="宋体" w:hAnsi="宋体" w:eastAsia="宋体"/>
                <w:sz w:val="18"/>
              </w:rPr>
              <w:t>V10+persist</w:t>
            </w:r>
          </w:p>
        </w:tc>
        <w:tc>
          <w:tcPr>
            <w:tcW w:w="2158" w:type="dxa"/>
          </w:tcPr>
          <w:p w14:paraId="72768A88">
            <w:pPr>
              <w:spacing w:after="0" w:line="240" w:lineRule="auto"/>
              <w:jc w:val="center"/>
            </w:pPr>
            <w:r>
              <w:rPr>
                <w:rFonts w:ascii="宋体" w:hAnsi="宋体" w:eastAsia="宋体"/>
                <w:sz w:val="18"/>
              </w:rPr>
              <w:t>+经验持久化</w:t>
            </w:r>
          </w:p>
        </w:tc>
        <w:tc>
          <w:tcPr>
            <w:tcW w:w="2158" w:type="dxa"/>
          </w:tcPr>
          <w:p w14:paraId="00882219">
            <w:pPr>
              <w:spacing w:after="0" w:line="240" w:lineRule="auto"/>
              <w:jc w:val="center"/>
            </w:pPr>
            <w:r>
              <w:rPr>
                <w:rFonts w:ascii="宋体" w:hAnsi="宋体" w:eastAsia="宋体"/>
                <w:sz w:val="18"/>
              </w:rPr>
              <w:t>99/134 (73.9%)</w:t>
            </w:r>
          </w:p>
        </w:tc>
        <w:tc>
          <w:tcPr>
            <w:tcW w:w="2158" w:type="dxa"/>
          </w:tcPr>
          <w:p w14:paraId="643F8EB1">
            <w:pPr>
              <w:spacing w:after="0" w:line="240" w:lineRule="auto"/>
              <w:jc w:val="center"/>
            </w:pPr>
            <w:r>
              <w:rPr>
                <w:rFonts w:ascii="宋体" w:hAnsi="宋体" w:eastAsia="宋体"/>
                <w:sz w:val="18"/>
              </w:rPr>
              <w:t>20.1</w:t>
            </w:r>
          </w:p>
        </w:tc>
      </w:tr>
    </w:tbl>
    <w:p w14:paraId="4E4B8B3A"/>
    <w:p w14:paraId="03225E47">
      <w:pPr>
        <w:spacing w:before="0" w:after="0" w:line="276" w:lineRule="auto"/>
        <w:ind w:firstLine="420"/>
        <w:jc w:val="both"/>
      </w:pPr>
      <w:r>
        <w:rPr>
          <w:rFonts w:ascii="宋体" w:hAnsi="宋体" w:eastAsia="宋体"/>
          <w:b w:val="0"/>
          <w:sz w:val="21"/>
        </w:rPr>
        <w:t>表1展示了自适应校准机制逐步引入的效果。基线版本V7仅使用静态先验知识无校准，达到90/134（67.2%）成功率，平均23.1步。加入仅成功信号的位置先验和同义词发现校准（V9）后，性能提升至94/134（70.1%），平均步数降至21.5，表明成功率和任务完成效率同时提高。</w:t>
      </w:r>
    </w:p>
    <w:p w14:paraId="2815A310">
      <w:pPr>
        <w:spacing w:before="0" w:after="0" w:line="276" w:lineRule="auto"/>
        <w:ind w:firstLine="420"/>
        <w:jc w:val="both"/>
      </w:pPr>
      <w:r>
        <w:rPr>
          <w:rFonts w:ascii="宋体" w:hAnsi="宋体" w:eastAsia="宋体"/>
          <w:b w:val="0"/>
          <w:sz w:val="21"/>
        </w:rPr>
        <w:t>V10的完整对称校准对三类参数（P、M、S）从成功和失败信号中更新，进一步提升至98/134（73.1%）。加入经验持久化达到最佳结果99/134（73.9%），平均20.1步。各版本的一致提升验证了可解释推理链能有效实现条目级参数校准的假设。平均步数从23.1降至20.1表明校准不仅提高成功率，还使成功完成更高效——通过更早将智能体导向正确物体和位置。</w:t>
      </w:r>
    </w:p>
    <w:p w14:paraId="5C3C0D1C">
      <w:pPr>
        <w:pStyle w:val="4"/>
        <w:spacing w:before="160" w:after="80"/>
        <w:jc w:val="left"/>
      </w:pPr>
      <w:r>
        <w:rPr>
          <w:rFonts w:ascii="黑体" w:hAnsi="黑体" w:eastAsia="黑体"/>
          <w:b/>
          <w:sz w:val="24"/>
        </w:rPr>
        <w:t>4.3  标注一致性发现</w:t>
      </w:r>
    </w:p>
    <w:p w14:paraId="76A8C365">
      <w:pPr>
        <w:spacing w:before="120" w:after="60"/>
        <w:jc w:val="center"/>
      </w:pPr>
      <w:r>
        <w:rPr>
          <w:rFonts w:ascii="宋体" w:hAnsi="宋体" w:eastAsia="宋体"/>
          <w:b/>
          <w:sz w:val="18"/>
        </w:rPr>
        <w:t>表2  标注一致性分析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0CAC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84B1D1F">
            <w:pPr>
              <w:spacing w:after="0" w:line="240" w:lineRule="auto"/>
              <w:jc w:val="center"/>
            </w:pPr>
            <w:r>
              <w:rPr>
                <w:rFonts w:ascii="宋体" w:hAnsi="宋体" w:eastAsia="宋体"/>
                <w:b/>
                <w:sz w:val="18"/>
              </w:rPr>
              <w:t>子集</w:t>
            </w:r>
          </w:p>
        </w:tc>
        <w:tc>
          <w:tcPr>
            <w:tcW w:w="2878" w:type="dxa"/>
          </w:tcPr>
          <w:p w14:paraId="63180B3F">
            <w:pPr>
              <w:spacing w:after="0" w:line="240" w:lineRule="auto"/>
              <w:jc w:val="center"/>
            </w:pPr>
            <w:r>
              <w:rPr>
                <w:rFonts w:ascii="宋体" w:hAnsi="宋体" w:eastAsia="宋体"/>
                <w:b/>
                <w:sz w:val="18"/>
              </w:rPr>
              <w:t>游戏数</w:t>
            </w:r>
          </w:p>
        </w:tc>
        <w:tc>
          <w:tcPr>
            <w:tcW w:w="2878" w:type="dxa"/>
          </w:tcPr>
          <w:p w14:paraId="7C4269E0">
            <w:pPr>
              <w:spacing w:after="0" w:line="240" w:lineRule="auto"/>
              <w:jc w:val="center"/>
            </w:pPr>
            <w:r>
              <w:rPr>
                <w:rFonts w:ascii="宋体" w:hAnsi="宋体" w:eastAsia="宋体"/>
                <w:b/>
                <w:sz w:val="18"/>
              </w:rPr>
              <w:t>V7成功率</w:t>
            </w:r>
          </w:p>
        </w:tc>
      </w:tr>
      <w:tr w14:paraId="4BBC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DA158A1">
            <w:pPr>
              <w:spacing w:after="0" w:line="240" w:lineRule="auto"/>
              <w:jc w:val="center"/>
            </w:pPr>
            <w:r>
              <w:rPr>
                <w:rFonts w:ascii="宋体" w:hAnsi="宋体" w:eastAsia="宋体"/>
                <w:sz w:val="18"/>
              </w:rPr>
              <w:t>标注一致</w:t>
            </w:r>
          </w:p>
        </w:tc>
        <w:tc>
          <w:tcPr>
            <w:tcW w:w="2878" w:type="dxa"/>
          </w:tcPr>
          <w:p w14:paraId="162F53FB">
            <w:pPr>
              <w:spacing w:after="0" w:line="240" w:lineRule="auto"/>
              <w:jc w:val="center"/>
            </w:pPr>
            <w:r>
              <w:rPr>
                <w:rFonts w:ascii="宋体" w:hAnsi="宋体" w:eastAsia="宋体"/>
                <w:sz w:val="18"/>
              </w:rPr>
              <w:t>100 (74.6%)</w:t>
            </w:r>
          </w:p>
        </w:tc>
        <w:tc>
          <w:tcPr>
            <w:tcW w:w="2878" w:type="dxa"/>
          </w:tcPr>
          <w:p w14:paraId="35B5DBD1">
            <w:pPr>
              <w:spacing w:after="0" w:line="240" w:lineRule="auto"/>
              <w:jc w:val="center"/>
            </w:pPr>
            <w:r>
              <w:rPr>
                <w:rFonts w:ascii="宋体" w:hAnsi="宋体" w:eastAsia="宋体"/>
                <w:sz w:val="18"/>
              </w:rPr>
              <w:t>90/100 (90.0%)</w:t>
            </w:r>
          </w:p>
        </w:tc>
      </w:tr>
      <w:tr w14:paraId="738E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7D962E5">
            <w:pPr>
              <w:spacing w:after="0" w:line="240" w:lineRule="auto"/>
              <w:jc w:val="center"/>
            </w:pPr>
            <w:r>
              <w:rPr>
                <w:rFonts w:ascii="宋体" w:hAnsi="宋体" w:eastAsia="宋体"/>
                <w:sz w:val="18"/>
              </w:rPr>
              <w:t>标注不一致</w:t>
            </w:r>
          </w:p>
        </w:tc>
        <w:tc>
          <w:tcPr>
            <w:tcW w:w="2878" w:type="dxa"/>
          </w:tcPr>
          <w:p w14:paraId="7A209C17">
            <w:pPr>
              <w:spacing w:after="0" w:line="240" w:lineRule="auto"/>
              <w:jc w:val="center"/>
            </w:pPr>
            <w:r>
              <w:rPr>
                <w:rFonts w:ascii="宋体" w:hAnsi="宋体" w:eastAsia="宋体"/>
                <w:sz w:val="18"/>
              </w:rPr>
              <w:t>34 (25.4%)</w:t>
            </w:r>
          </w:p>
        </w:tc>
        <w:tc>
          <w:tcPr>
            <w:tcW w:w="2878" w:type="dxa"/>
          </w:tcPr>
          <w:p w14:paraId="1B837F2B">
            <w:pPr>
              <w:spacing w:after="0" w:line="240" w:lineRule="auto"/>
              <w:jc w:val="center"/>
            </w:pPr>
            <w:r>
              <w:rPr>
                <w:rFonts w:ascii="宋体" w:hAnsi="宋体" w:eastAsia="宋体"/>
                <w:sz w:val="18"/>
              </w:rPr>
              <w:t>0/34 (0.0%)</w:t>
            </w:r>
          </w:p>
        </w:tc>
      </w:tr>
    </w:tbl>
    <w:p w14:paraId="05BC2BFF"/>
    <w:p w14:paraId="5F032F92">
      <w:pPr>
        <w:spacing w:before="0" w:after="0" w:line="276" w:lineRule="auto"/>
        <w:ind w:firstLine="420"/>
        <w:jc w:val="both"/>
      </w:pPr>
      <w:r>
        <w:rPr>
          <w:rFonts w:ascii="宋体" w:hAnsi="宋体" w:eastAsia="宋体"/>
          <w:b w:val="0"/>
          <w:sz w:val="21"/>
        </w:rPr>
        <w:t>在系统性失败分析中，我们发现valid_unseen分割中34/134（25.4%）个任务存在标注不一致。这些不一致表现为自然语言任务描述与实际环境状态的差异。常见模式包括：任务描述中的物体在环境中不存在、目标容器名称与任务描述不同（如任务说"cabinet"但环境为"drawer"）、物体放置位置与任务设置不一致。</w:t>
      </w:r>
    </w:p>
    <w:p w14:paraId="38821732">
      <w:pPr>
        <w:spacing w:before="0" w:after="0" w:line="276" w:lineRule="auto"/>
        <w:ind w:firstLine="420"/>
        <w:jc w:val="both"/>
      </w:pPr>
      <w:r>
        <w:rPr>
          <w:rFonts w:ascii="宋体" w:hAnsi="宋体" w:eastAsia="宋体"/>
          <w:b w:val="0"/>
          <w:sz w:val="21"/>
        </w:rPr>
        <w:t>表2揭示了一个显著模式：V7智能体在标注一致任务上达到90.0%但在不一致任务上为0.0%。这是因为规则系统严格遵循任务描述，而LLM可通过语义灵活性隐式处理描述-环境不匹配。经自适应校准（V10+persist），通过学习的同义词映射和调整的位置先验恢复了6个不一致任务，展示了校准机制部分补偿标注错误的能力。</w:t>
      </w:r>
    </w:p>
    <w:p w14:paraId="1D7E4692">
      <w:pPr>
        <w:spacing w:before="0" w:after="0" w:line="276" w:lineRule="auto"/>
        <w:ind w:firstLine="420"/>
        <w:jc w:val="both"/>
      </w:pPr>
      <w:r>
        <w:rPr>
          <w:rFonts w:ascii="宋体" w:hAnsi="宋体" w:eastAsia="宋体"/>
          <w:b w:val="0"/>
          <w:sz w:val="21"/>
        </w:rPr>
        <w:t>该发现对基准评估有重要启示：方法间报告的性能差异可能部分反映对标注噪声的鲁棒性，而非纯粹的决策能力。我们建议未来具身AI评估在验证过的一致子集上单独报告结果，以隔离推理能力与标注鲁棒性。</w:t>
      </w:r>
    </w:p>
    <w:p w14:paraId="223E7B76">
      <w:pPr>
        <w:pStyle w:val="4"/>
        <w:spacing w:before="160" w:after="80"/>
        <w:jc w:val="left"/>
      </w:pPr>
      <w:r>
        <w:rPr>
          <w:rFonts w:ascii="黑体" w:hAnsi="黑体" w:eastAsia="黑体"/>
          <w:b/>
          <w:sz w:val="24"/>
        </w:rPr>
        <w:t>4.4  方法对比</w:t>
      </w:r>
    </w:p>
    <w:p w14:paraId="0C3A222A">
      <w:pPr>
        <w:spacing w:before="120" w:after="60"/>
        <w:jc w:val="center"/>
      </w:pPr>
      <w:r>
        <w:rPr>
          <w:rFonts w:ascii="宋体" w:hAnsi="宋体" w:eastAsia="宋体"/>
          <w:b/>
          <w:sz w:val="18"/>
        </w:rPr>
        <w:t>表3  与现有方法对比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5B8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5E744B7">
            <w:pPr>
              <w:spacing w:after="0" w:line="240" w:lineRule="auto"/>
              <w:jc w:val="center"/>
            </w:pPr>
            <w:r>
              <w:rPr>
                <w:rFonts w:ascii="宋体" w:hAnsi="宋体" w:eastAsia="宋体"/>
                <w:b/>
                <w:sz w:val="18"/>
              </w:rPr>
              <w:t>方法</w:t>
            </w:r>
          </w:p>
        </w:tc>
        <w:tc>
          <w:tcPr>
            <w:tcW w:w="1727" w:type="dxa"/>
          </w:tcPr>
          <w:p w14:paraId="07CCD69A">
            <w:pPr>
              <w:spacing w:after="0" w:line="240" w:lineRule="auto"/>
              <w:jc w:val="center"/>
            </w:pPr>
            <w:r>
              <w:rPr>
                <w:rFonts w:ascii="宋体" w:hAnsi="宋体" w:eastAsia="宋体"/>
                <w:b/>
                <w:sz w:val="18"/>
              </w:rPr>
              <w:t>成功率</w:t>
            </w:r>
          </w:p>
        </w:tc>
        <w:tc>
          <w:tcPr>
            <w:tcW w:w="1727" w:type="dxa"/>
          </w:tcPr>
          <w:p w14:paraId="47F97C7A">
            <w:pPr>
              <w:spacing w:after="0" w:line="240" w:lineRule="auto"/>
              <w:jc w:val="center"/>
            </w:pPr>
            <w:r>
              <w:rPr>
                <w:rFonts w:ascii="宋体" w:hAnsi="宋体" w:eastAsia="宋体"/>
                <w:b/>
                <w:sz w:val="18"/>
              </w:rPr>
              <w:t>需LLM</w:t>
            </w:r>
          </w:p>
        </w:tc>
        <w:tc>
          <w:tcPr>
            <w:tcW w:w="1727" w:type="dxa"/>
          </w:tcPr>
          <w:p w14:paraId="314E7052">
            <w:pPr>
              <w:spacing w:after="0" w:line="240" w:lineRule="auto"/>
              <w:jc w:val="center"/>
            </w:pPr>
            <w:r>
              <w:rPr>
                <w:rFonts w:ascii="宋体" w:hAnsi="宋体" w:eastAsia="宋体"/>
                <w:b/>
                <w:sz w:val="18"/>
              </w:rPr>
              <w:t>参数量</w:t>
            </w:r>
          </w:p>
        </w:tc>
        <w:tc>
          <w:tcPr>
            <w:tcW w:w="1727" w:type="dxa"/>
          </w:tcPr>
          <w:p w14:paraId="1F0D1914">
            <w:pPr>
              <w:spacing w:after="0" w:line="240" w:lineRule="auto"/>
              <w:jc w:val="center"/>
            </w:pPr>
            <w:r>
              <w:rPr>
                <w:rFonts w:ascii="宋体" w:hAnsi="宋体" w:eastAsia="宋体"/>
                <w:b/>
                <w:sz w:val="18"/>
              </w:rPr>
              <w:t>可解释</w:t>
            </w:r>
          </w:p>
        </w:tc>
      </w:tr>
      <w:tr w14:paraId="53BA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AEA90D1">
            <w:pPr>
              <w:spacing w:after="0" w:line="240" w:lineRule="auto"/>
              <w:jc w:val="center"/>
            </w:pPr>
            <w:r>
              <w:rPr>
                <w:rFonts w:ascii="宋体" w:hAnsi="宋体" w:eastAsia="宋体"/>
                <w:sz w:val="18"/>
              </w:rPr>
              <w:t>BUTLER(训练)</w:t>
            </w:r>
          </w:p>
        </w:tc>
        <w:tc>
          <w:tcPr>
            <w:tcW w:w="1727" w:type="dxa"/>
          </w:tcPr>
          <w:p w14:paraId="47937CF5">
            <w:pPr>
              <w:spacing w:after="0" w:line="240" w:lineRule="auto"/>
              <w:jc w:val="center"/>
            </w:pPr>
            <w:r>
              <w:rPr>
                <w:rFonts w:ascii="宋体" w:hAnsi="宋体" w:eastAsia="宋体"/>
                <w:sz w:val="18"/>
              </w:rPr>
              <w:t>37%</w:t>
            </w:r>
          </w:p>
        </w:tc>
        <w:tc>
          <w:tcPr>
            <w:tcW w:w="1727" w:type="dxa"/>
          </w:tcPr>
          <w:p w14:paraId="0C7E5861">
            <w:pPr>
              <w:spacing w:after="0" w:line="240" w:lineRule="auto"/>
              <w:jc w:val="center"/>
            </w:pPr>
            <w:r>
              <w:rPr>
                <w:rFonts w:ascii="宋体" w:hAnsi="宋体" w:eastAsia="宋体"/>
                <w:sz w:val="18"/>
              </w:rPr>
              <w:t>否(训练)</w:t>
            </w:r>
          </w:p>
        </w:tc>
        <w:tc>
          <w:tcPr>
            <w:tcW w:w="1727" w:type="dxa"/>
          </w:tcPr>
          <w:p w14:paraId="04AF9A0F">
            <w:pPr>
              <w:spacing w:after="0" w:line="240" w:lineRule="auto"/>
              <w:jc w:val="center"/>
            </w:pPr>
            <w:r>
              <w:rPr>
                <w:rFonts w:ascii="宋体" w:hAnsi="宋体" w:eastAsia="宋体"/>
                <w:sz w:val="18"/>
              </w:rPr>
              <w:t>—</w:t>
            </w:r>
          </w:p>
        </w:tc>
        <w:tc>
          <w:tcPr>
            <w:tcW w:w="1727" w:type="dxa"/>
          </w:tcPr>
          <w:p w14:paraId="51EC2B46">
            <w:pPr>
              <w:spacing w:after="0" w:line="240" w:lineRule="auto"/>
              <w:jc w:val="center"/>
            </w:pPr>
            <w:r>
              <w:rPr>
                <w:rFonts w:ascii="宋体" w:hAnsi="宋体" w:eastAsia="宋体"/>
                <w:sz w:val="18"/>
              </w:rPr>
              <w:t>否</w:t>
            </w:r>
          </w:p>
        </w:tc>
      </w:tr>
      <w:tr w14:paraId="2F39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F0DF7CB">
            <w:pPr>
              <w:spacing w:after="0" w:line="240" w:lineRule="auto"/>
              <w:jc w:val="center"/>
            </w:pPr>
            <w:r>
              <w:rPr>
                <w:rFonts w:ascii="宋体" w:hAnsi="宋体" w:eastAsia="宋体"/>
                <w:sz w:val="18"/>
              </w:rPr>
              <w:t>ReAct(GPT-4)</w:t>
            </w:r>
          </w:p>
        </w:tc>
        <w:tc>
          <w:tcPr>
            <w:tcW w:w="1727" w:type="dxa"/>
          </w:tcPr>
          <w:p w14:paraId="39D8DE31">
            <w:pPr>
              <w:spacing w:after="0" w:line="240" w:lineRule="auto"/>
              <w:jc w:val="center"/>
            </w:pPr>
            <w:r>
              <w:rPr>
                <w:rFonts w:ascii="宋体" w:hAnsi="宋体" w:eastAsia="宋体"/>
                <w:sz w:val="18"/>
              </w:rPr>
              <w:t>71%</w:t>
            </w:r>
          </w:p>
        </w:tc>
        <w:tc>
          <w:tcPr>
            <w:tcW w:w="1727" w:type="dxa"/>
          </w:tcPr>
          <w:p w14:paraId="2AB968F1">
            <w:pPr>
              <w:spacing w:after="0" w:line="240" w:lineRule="auto"/>
              <w:jc w:val="center"/>
            </w:pPr>
            <w:r>
              <w:rPr>
                <w:rFonts w:ascii="宋体" w:hAnsi="宋体" w:eastAsia="宋体"/>
                <w:sz w:val="18"/>
              </w:rPr>
              <w:t>是</w:t>
            </w:r>
          </w:p>
        </w:tc>
        <w:tc>
          <w:tcPr>
            <w:tcW w:w="1727" w:type="dxa"/>
          </w:tcPr>
          <w:p w14:paraId="2E3F3795">
            <w:pPr>
              <w:spacing w:after="0" w:line="240" w:lineRule="auto"/>
              <w:jc w:val="center"/>
            </w:pPr>
            <w:r>
              <w:rPr>
                <w:rFonts w:ascii="宋体" w:hAnsi="宋体" w:eastAsia="宋体"/>
                <w:sz w:val="18"/>
              </w:rPr>
              <w:t>1750亿</w:t>
            </w:r>
          </w:p>
        </w:tc>
        <w:tc>
          <w:tcPr>
            <w:tcW w:w="1727" w:type="dxa"/>
          </w:tcPr>
          <w:p w14:paraId="64D12E08">
            <w:pPr>
              <w:spacing w:after="0" w:line="240" w:lineRule="auto"/>
              <w:jc w:val="center"/>
            </w:pPr>
            <w:r>
              <w:rPr>
                <w:rFonts w:ascii="宋体" w:hAnsi="宋体" w:eastAsia="宋体"/>
                <w:sz w:val="18"/>
              </w:rPr>
              <w:t>否</w:t>
            </w:r>
          </w:p>
        </w:tc>
      </w:tr>
      <w:tr w14:paraId="6D43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DDA592B">
            <w:pPr>
              <w:spacing w:after="0" w:line="240" w:lineRule="auto"/>
              <w:jc w:val="center"/>
            </w:pPr>
            <w:r>
              <w:rPr>
                <w:rFonts w:ascii="宋体" w:hAnsi="宋体" w:eastAsia="宋体"/>
                <w:sz w:val="18"/>
              </w:rPr>
              <w:t>Reflexion(GPT-4)</w:t>
            </w:r>
          </w:p>
        </w:tc>
        <w:tc>
          <w:tcPr>
            <w:tcW w:w="1727" w:type="dxa"/>
          </w:tcPr>
          <w:p w14:paraId="7429A491">
            <w:pPr>
              <w:spacing w:after="0" w:line="240" w:lineRule="auto"/>
              <w:jc w:val="center"/>
            </w:pPr>
            <w:r>
              <w:rPr>
                <w:rFonts w:ascii="宋体" w:hAnsi="宋体" w:eastAsia="宋体"/>
                <w:sz w:val="18"/>
              </w:rPr>
              <w:t>77%</w:t>
            </w:r>
          </w:p>
        </w:tc>
        <w:tc>
          <w:tcPr>
            <w:tcW w:w="1727" w:type="dxa"/>
          </w:tcPr>
          <w:p w14:paraId="45E92C7F">
            <w:pPr>
              <w:spacing w:after="0" w:line="240" w:lineRule="auto"/>
              <w:jc w:val="center"/>
            </w:pPr>
            <w:r>
              <w:rPr>
                <w:rFonts w:ascii="宋体" w:hAnsi="宋体" w:eastAsia="宋体"/>
                <w:sz w:val="18"/>
              </w:rPr>
              <w:t>是</w:t>
            </w:r>
          </w:p>
        </w:tc>
        <w:tc>
          <w:tcPr>
            <w:tcW w:w="1727" w:type="dxa"/>
          </w:tcPr>
          <w:p w14:paraId="0BD7CF5C">
            <w:pPr>
              <w:spacing w:after="0" w:line="240" w:lineRule="auto"/>
              <w:jc w:val="center"/>
            </w:pPr>
            <w:r>
              <w:rPr>
                <w:rFonts w:ascii="宋体" w:hAnsi="宋体" w:eastAsia="宋体"/>
                <w:sz w:val="18"/>
              </w:rPr>
              <w:t>1750亿</w:t>
            </w:r>
          </w:p>
        </w:tc>
        <w:tc>
          <w:tcPr>
            <w:tcW w:w="1727" w:type="dxa"/>
          </w:tcPr>
          <w:p w14:paraId="763808DB">
            <w:pPr>
              <w:spacing w:after="0" w:line="240" w:lineRule="auto"/>
              <w:jc w:val="center"/>
            </w:pPr>
            <w:r>
              <w:rPr>
                <w:rFonts w:ascii="宋体" w:hAnsi="宋体" w:eastAsia="宋体"/>
                <w:sz w:val="18"/>
              </w:rPr>
              <w:t>否</w:t>
            </w:r>
          </w:p>
        </w:tc>
      </w:tr>
      <w:tr w14:paraId="19CA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C5F6B3F">
            <w:pPr>
              <w:spacing w:after="0" w:line="240" w:lineRule="auto"/>
              <w:jc w:val="center"/>
            </w:pPr>
            <w:r>
              <w:rPr>
                <w:rFonts w:ascii="宋体" w:hAnsi="宋体" w:eastAsia="宋体"/>
                <w:sz w:val="18"/>
              </w:rPr>
              <w:t>EmbodiSkill(27B)</w:t>
            </w:r>
          </w:p>
        </w:tc>
        <w:tc>
          <w:tcPr>
            <w:tcW w:w="1727" w:type="dxa"/>
          </w:tcPr>
          <w:p w14:paraId="680B2BA4">
            <w:pPr>
              <w:spacing w:after="0" w:line="240" w:lineRule="auto"/>
              <w:jc w:val="center"/>
            </w:pPr>
            <w:r>
              <w:rPr>
                <w:rFonts w:ascii="宋体" w:hAnsi="宋体" w:eastAsia="宋体"/>
                <w:sz w:val="18"/>
              </w:rPr>
              <w:t>93.28%</w:t>
            </w:r>
          </w:p>
        </w:tc>
        <w:tc>
          <w:tcPr>
            <w:tcW w:w="1727" w:type="dxa"/>
          </w:tcPr>
          <w:p w14:paraId="455BAA3F">
            <w:pPr>
              <w:spacing w:after="0" w:line="240" w:lineRule="auto"/>
              <w:jc w:val="center"/>
            </w:pPr>
            <w:r>
              <w:rPr>
                <w:rFonts w:ascii="宋体" w:hAnsi="宋体" w:eastAsia="宋体"/>
                <w:sz w:val="18"/>
              </w:rPr>
              <w:t>是</w:t>
            </w:r>
          </w:p>
        </w:tc>
        <w:tc>
          <w:tcPr>
            <w:tcW w:w="1727" w:type="dxa"/>
          </w:tcPr>
          <w:p w14:paraId="7F72D7DB">
            <w:pPr>
              <w:spacing w:after="0" w:line="240" w:lineRule="auto"/>
              <w:jc w:val="center"/>
            </w:pPr>
            <w:r>
              <w:rPr>
                <w:rFonts w:ascii="宋体" w:hAnsi="宋体" w:eastAsia="宋体"/>
                <w:sz w:val="18"/>
              </w:rPr>
              <w:t>270亿</w:t>
            </w:r>
          </w:p>
        </w:tc>
        <w:tc>
          <w:tcPr>
            <w:tcW w:w="1727" w:type="dxa"/>
          </w:tcPr>
          <w:p w14:paraId="0DA4BE83">
            <w:pPr>
              <w:spacing w:after="0" w:line="240" w:lineRule="auto"/>
              <w:jc w:val="center"/>
            </w:pPr>
            <w:r>
              <w:rPr>
                <w:rFonts w:ascii="宋体" w:hAnsi="宋体" w:eastAsia="宋体"/>
                <w:sz w:val="18"/>
              </w:rPr>
              <w:t>否</w:t>
            </w:r>
          </w:p>
        </w:tc>
      </w:tr>
      <w:tr w14:paraId="4343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92B4398">
            <w:pPr>
              <w:spacing w:after="0" w:line="240" w:lineRule="auto"/>
              <w:jc w:val="center"/>
            </w:pPr>
            <w:r>
              <w:rPr>
                <w:rFonts w:ascii="宋体" w:hAnsi="宋体" w:eastAsia="宋体"/>
                <w:sz w:val="18"/>
              </w:rPr>
              <w:t>本文(V10+persist)</w:t>
            </w:r>
          </w:p>
        </w:tc>
        <w:tc>
          <w:tcPr>
            <w:tcW w:w="1727" w:type="dxa"/>
          </w:tcPr>
          <w:p w14:paraId="15273AED">
            <w:pPr>
              <w:spacing w:after="0" w:line="240" w:lineRule="auto"/>
              <w:jc w:val="center"/>
            </w:pPr>
            <w:r>
              <w:rPr>
                <w:rFonts w:ascii="宋体" w:hAnsi="宋体" w:eastAsia="宋体"/>
                <w:sz w:val="18"/>
              </w:rPr>
              <w:t>73.9%(90.0%*)</w:t>
            </w:r>
          </w:p>
        </w:tc>
        <w:tc>
          <w:tcPr>
            <w:tcW w:w="1727" w:type="dxa"/>
          </w:tcPr>
          <w:p w14:paraId="44D5D31A">
            <w:pPr>
              <w:spacing w:after="0" w:line="240" w:lineRule="auto"/>
              <w:jc w:val="center"/>
            </w:pPr>
            <w:r>
              <w:rPr>
                <w:rFonts w:ascii="宋体" w:hAnsi="宋体" w:eastAsia="宋体"/>
                <w:sz w:val="18"/>
              </w:rPr>
              <w:t>否</w:t>
            </w:r>
          </w:p>
        </w:tc>
        <w:tc>
          <w:tcPr>
            <w:tcW w:w="1727" w:type="dxa"/>
          </w:tcPr>
          <w:p w14:paraId="0E72D46F">
            <w:pPr>
              <w:spacing w:after="0" w:line="240" w:lineRule="auto"/>
              <w:jc w:val="center"/>
            </w:pPr>
            <w:r>
              <w:rPr>
                <w:rFonts w:ascii="宋体" w:hAnsi="宋体" w:eastAsia="宋体"/>
                <w:sz w:val="18"/>
              </w:rPr>
              <w:t>0(纯规则)</w:t>
            </w:r>
          </w:p>
        </w:tc>
        <w:tc>
          <w:tcPr>
            <w:tcW w:w="1727" w:type="dxa"/>
          </w:tcPr>
          <w:p w14:paraId="6A61248E">
            <w:pPr>
              <w:spacing w:after="0" w:line="240" w:lineRule="auto"/>
              <w:jc w:val="center"/>
            </w:pPr>
            <w:r>
              <w:rPr>
                <w:rFonts w:ascii="宋体" w:hAnsi="宋体" w:eastAsia="宋体"/>
                <w:sz w:val="18"/>
              </w:rPr>
              <w:t>是</w:t>
            </w:r>
          </w:p>
        </w:tc>
      </w:tr>
    </w:tbl>
    <w:p w14:paraId="435013AA"/>
    <w:p w14:paraId="5F44F836">
      <w:pPr>
        <w:spacing w:before="0" w:after="0" w:line="276" w:lineRule="auto"/>
        <w:ind w:firstLine="420"/>
        <w:jc w:val="both"/>
      </w:pPr>
      <w:r>
        <w:rPr>
          <w:rFonts w:ascii="宋体" w:hAnsi="宋体" w:eastAsia="宋体"/>
          <w:b w:val="0"/>
          <w:sz w:val="21"/>
        </w:rPr>
        <w:t>表3将本方法与最先进方法进行对比。本系统在无LLM、无可训练参数、无GPU计算的条件下达到73.9%总体成功率。在标注一致子集上，性能从90.0%（V7）到93.0%（V10+persist），接近EmbodiSkill的93.28%——后者需要27B参数LLM。这表明当任务描述准确无歧义时，结构化先验知识可达到接近LLM的性能。</w:t>
      </w:r>
    </w:p>
    <w:p w14:paraId="5A2F5A3A">
      <w:pPr>
        <w:spacing w:before="0" w:after="0" w:line="276" w:lineRule="auto"/>
        <w:ind w:firstLine="420"/>
        <w:jc w:val="both"/>
      </w:pPr>
      <w:r>
        <w:rPr>
          <w:rFonts w:ascii="宋体" w:hAnsi="宋体" w:eastAsia="宋体"/>
          <w:b w:val="0"/>
          <w:sz w:val="21"/>
        </w:rPr>
        <w:t>对比凸显了明确的权衡：LLM方法达到更高总体成功率，但以可解释性、计算资源和可复现性为代价。本方法提供完全决策透明、仅CPU执行（3分钟内）和确定性输出——对安全敏感的具身应用（如家用机器人和辅助系统）至关重要的特性。</w:t>
      </w:r>
    </w:p>
    <w:p w14:paraId="7750B400">
      <w:pPr>
        <w:spacing w:before="0" w:after="0" w:line="276" w:lineRule="auto"/>
        <w:ind w:firstLine="420"/>
        <w:jc w:val="both"/>
      </w:pPr>
      <w:r>
        <w:rPr>
          <w:rFonts w:ascii="宋体" w:hAnsi="宋体" w:eastAsia="宋体"/>
          <w:b w:val="0"/>
          <w:sz w:val="21"/>
        </w:rPr>
        <w:t>值得注意的是，73.9%的总体结果包含了34个标注不一致任务，规则方法在这些任务上处于根本劣势。在公平比较条件下（一致标注），零参数系统几乎匹配27B参数LLM，表明该基准上规则方法与神经方法之间的表观性能差距在很大程度上由标注质量而非推理能力解释。</w:t>
      </w:r>
    </w:p>
    <w:p w14:paraId="7CADBBB4">
      <w:pPr>
        <w:pStyle w:val="4"/>
        <w:spacing w:before="160" w:after="80"/>
        <w:jc w:val="left"/>
      </w:pPr>
      <w:r>
        <w:rPr>
          <w:rFonts w:ascii="黑体" w:hAnsi="黑体" w:eastAsia="黑体"/>
          <w:b/>
          <w:sz w:val="24"/>
        </w:rPr>
        <w:t>4.5  收敛分析</w:t>
      </w:r>
    </w:p>
    <w:p w14:paraId="242640CC">
      <w:pPr>
        <w:spacing w:before="120" w:after="60"/>
        <w:jc w:val="center"/>
      </w:pPr>
      <w:r>
        <w:rPr>
          <w:rFonts w:ascii="宋体" w:hAnsi="宋体" w:eastAsia="宋体"/>
          <w:b/>
          <w:sz w:val="18"/>
        </w:rPr>
        <w:t>表4  经验持久化收敛实验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13B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DA53B71">
            <w:pPr>
              <w:spacing w:after="0" w:line="240" w:lineRule="auto"/>
              <w:jc w:val="center"/>
            </w:pPr>
            <w:r>
              <w:rPr>
                <w:rFonts w:ascii="宋体" w:hAnsi="宋体" w:eastAsia="宋体"/>
                <w:b/>
                <w:sz w:val="18"/>
              </w:rPr>
              <w:t>轮次</w:t>
            </w:r>
          </w:p>
        </w:tc>
        <w:tc>
          <w:tcPr>
            <w:tcW w:w="2158" w:type="dxa"/>
          </w:tcPr>
          <w:p w14:paraId="4654F2D7">
            <w:pPr>
              <w:spacing w:after="0" w:line="240" w:lineRule="auto"/>
              <w:jc w:val="center"/>
            </w:pPr>
            <w:r>
              <w:rPr>
                <w:rFonts w:ascii="宋体" w:hAnsi="宋体" w:eastAsia="宋体"/>
                <w:b/>
                <w:sz w:val="18"/>
              </w:rPr>
              <w:t>成功率</w:t>
            </w:r>
          </w:p>
        </w:tc>
        <w:tc>
          <w:tcPr>
            <w:tcW w:w="2158" w:type="dxa"/>
          </w:tcPr>
          <w:p w14:paraId="49584633">
            <w:pPr>
              <w:spacing w:after="0" w:line="240" w:lineRule="auto"/>
              <w:jc w:val="center"/>
            </w:pPr>
            <w:r>
              <w:rPr>
                <w:rFonts w:ascii="宋体" w:hAnsi="宋体" w:eastAsia="宋体"/>
                <w:b/>
                <w:sz w:val="18"/>
              </w:rPr>
              <w:t>全局步数</w:t>
            </w:r>
          </w:p>
        </w:tc>
        <w:tc>
          <w:tcPr>
            <w:tcW w:w="2158" w:type="dxa"/>
          </w:tcPr>
          <w:p w14:paraId="03056471">
            <w:pPr>
              <w:spacing w:after="0" w:line="240" w:lineRule="auto"/>
              <w:jc w:val="center"/>
            </w:pPr>
            <w:r>
              <w:rPr>
                <w:rFonts w:ascii="宋体" w:hAnsi="宋体" w:eastAsia="宋体"/>
                <w:b/>
                <w:sz w:val="18"/>
              </w:rPr>
              <w:t>校准次数</w:t>
            </w:r>
          </w:p>
        </w:tc>
      </w:tr>
      <w:tr w14:paraId="7702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04DF9DF">
            <w:pPr>
              <w:spacing w:after="0" w:line="240" w:lineRule="auto"/>
              <w:jc w:val="center"/>
            </w:pPr>
            <w:r>
              <w:rPr>
                <w:rFonts w:ascii="宋体" w:hAnsi="宋体" w:eastAsia="宋体"/>
                <w:sz w:val="18"/>
              </w:rPr>
              <w:t>R1</w:t>
            </w:r>
          </w:p>
        </w:tc>
        <w:tc>
          <w:tcPr>
            <w:tcW w:w="2158" w:type="dxa"/>
          </w:tcPr>
          <w:p w14:paraId="4DEE434F">
            <w:pPr>
              <w:spacing w:after="0" w:line="240" w:lineRule="auto"/>
              <w:jc w:val="center"/>
            </w:pPr>
            <w:r>
              <w:rPr>
                <w:rFonts w:ascii="宋体" w:hAnsi="宋体" w:eastAsia="宋体"/>
                <w:sz w:val="18"/>
              </w:rPr>
              <w:t>98/134 (73.1%)</w:t>
            </w:r>
          </w:p>
        </w:tc>
        <w:tc>
          <w:tcPr>
            <w:tcW w:w="2158" w:type="dxa"/>
          </w:tcPr>
          <w:p w14:paraId="61AD3C07">
            <w:pPr>
              <w:spacing w:after="0" w:line="240" w:lineRule="auto"/>
              <w:jc w:val="center"/>
            </w:pPr>
            <w:r>
              <w:rPr>
                <w:rFonts w:ascii="宋体" w:hAnsi="宋体" w:eastAsia="宋体"/>
                <w:sz w:val="18"/>
              </w:rPr>
              <w:t>20.5</w:t>
            </w:r>
          </w:p>
        </w:tc>
        <w:tc>
          <w:tcPr>
            <w:tcW w:w="2158" w:type="dxa"/>
          </w:tcPr>
          <w:p w14:paraId="4944D81E">
            <w:pPr>
              <w:spacing w:after="0" w:line="240" w:lineRule="auto"/>
              <w:jc w:val="center"/>
            </w:pPr>
            <w:r>
              <w:rPr>
                <w:rFonts w:ascii="宋体" w:hAnsi="宋体" w:eastAsia="宋体"/>
                <w:sz w:val="18"/>
              </w:rPr>
              <w:t>15</w:t>
            </w:r>
          </w:p>
        </w:tc>
      </w:tr>
      <w:tr w14:paraId="1076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091E020">
            <w:pPr>
              <w:spacing w:after="0" w:line="240" w:lineRule="auto"/>
              <w:jc w:val="center"/>
            </w:pPr>
            <w:r>
              <w:rPr>
                <w:rFonts w:ascii="宋体" w:hAnsi="宋体" w:eastAsia="宋体"/>
                <w:sz w:val="18"/>
              </w:rPr>
              <w:t>R2</w:t>
            </w:r>
          </w:p>
        </w:tc>
        <w:tc>
          <w:tcPr>
            <w:tcW w:w="2158" w:type="dxa"/>
          </w:tcPr>
          <w:p w14:paraId="03178EFC">
            <w:pPr>
              <w:spacing w:after="0" w:line="240" w:lineRule="auto"/>
              <w:jc w:val="center"/>
            </w:pPr>
            <w:r>
              <w:rPr>
                <w:rFonts w:ascii="宋体" w:hAnsi="宋体" w:eastAsia="宋体"/>
                <w:sz w:val="18"/>
              </w:rPr>
              <w:t>99/134 (73.9%)</w:t>
            </w:r>
          </w:p>
        </w:tc>
        <w:tc>
          <w:tcPr>
            <w:tcW w:w="2158" w:type="dxa"/>
          </w:tcPr>
          <w:p w14:paraId="7A1BECCC">
            <w:pPr>
              <w:spacing w:after="0" w:line="240" w:lineRule="auto"/>
              <w:jc w:val="center"/>
            </w:pPr>
            <w:r>
              <w:rPr>
                <w:rFonts w:ascii="宋体" w:hAnsi="宋体" w:eastAsia="宋体"/>
                <w:sz w:val="18"/>
              </w:rPr>
              <w:t>20.1</w:t>
            </w:r>
          </w:p>
        </w:tc>
        <w:tc>
          <w:tcPr>
            <w:tcW w:w="2158" w:type="dxa"/>
          </w:tcPr>
          <w:p w14:paraId="7BD089DD">
            <w:pPr>
              <w:spacing w:after="0" w:line="240" w:lineRule="auto"/>
              <w:jc w:val="center"/>
            </w:pPr>
            <w:r>
              <w:rPr>
                <w:rFonts w:ascii="宋体" w:hAnsi="宋体" w:eastAsia="宋体"/>
                <w:sz w:val="18"/>
              </w:rPr>
              <w:t>38</w:t>
            </w:r>
          </w:p>
        </w:tc>
      </w:tr>
      <w:tr w14:paraId="0424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C91A869">
            <w:pPr>
              <w:spacing w:after="0" w:line="240" w:lineRule="auto"/>
              <w:jc w:val="center"/>
            </w:pPr>
            <w:r>
              <w:rPr>
                <w:rFonts w:ascii="宋体" w:hAnsi="宋体" w:eastAsia="宋体"/>
                <w:sz w:val="18"/>
              </w:rPr>
              <w:t>R3-R5</w:t>
            </w:r>
          </w:p>
        </w:tc>
        <w:tc>
          <w:tcPr>
            <w:tcW w:w="2158" w:type="dxa"/>
          </w:tcPr>
          <w:p w14:paraId="724F7865">
            <w:pPr>
              <w:spacing w:after="0" w:line="240" w:lineRule="auto"/>
              <w:jc w:val="center"/>
            </w:pPr>
            <w:r>
              <w:rPr>
                <w:rFonts w:ascii="宋体" w:hAnsi="宋体" w:eastAsia="宋体"/>
                <w:sz w:val="18"/>
              </w:rPr>
              <w:t>99/134 (73.9%)</w:t>
            </w:r>
          </w:p>
        </w:tc>
        <w:tc>
          <w:tcPr>
            <w:tcW w:w="2158" w:type="dxa"/>
          </w:tcPr>
          <w:p w14:paraId="56ACDD99">
            <w:pPr>
              <w:spacing w:after="0" w:line="240" w:lineRule="auto"/>
              <w:jc w:val="center"/>
            </w:pPr>
            <w:r>
              <w:rPr>
                <w:rFonts w:ascii="宋体" w:hAnsi="宋体" w:eastAsia="宋体"/>
                <w:sz w:val="18"/>
              </w:rPr>
              <w:t>20.1-20.2</w:t>
            </w:r>
          </w:p>
        </w:tc>
        <w:tc>
          <w:tcPr>
            <w:tcW w:w="2158" w:type="dxa"/>
          </w:tcPr>
          <w:p w14:paraId="6238AF59">
            <w:pPr>
              <w:spacing w:after="0" w:line="240" w:lineRule="auto"/>
              <w:jc w:val="center"/>
            </w:pPr>
            <w:r>
              <w:rPr>
                <w:rFonts w:ascii="宋体" w:hAnsi="宋体" w:eastAsia="宋体"/>
                <w:sz w:val="18"/>
              </w:rPr>
              <w:t>61-107</w:t>
            </w:r>
          </w:p>
        </w:tc>
      </w:tr>
    </w:tbl>
    <w:p w14:paraId="0E73AE7A"/>
    <w:p w14:paraId="556D6D1F">
      <w:pPr>
        <w:spacing w:before="0" w:after="0" w:line="276" w:lineRule="auto"/>
        <w:ind w:firstLine="420"/>
        <w:jc w:val="both"/>
      </w:pPr>
      <w:r>
        <w:rPr>
          <w:rFonts w:ascii="宋体" w:hAnsi="宋体" w:eastAsia="宋体"/>
          <w:b w:val="0"/>
          <w:sz w:val="21"/>
        </w:rPr>
        <w:t>表4展示了经验持久化在多轮评估中的收敛行为。系统在第2轮达到峰值性能99/134（73.9%）并在后续轮次保持该水平，展示了单轮收敛特性。累积校准次数跨轮次增加（从R1的15次到R5的107次），但对成功率的边际影响迅速递减。</w:t>
      </w:r>
    </w:p>
    <w:p w14:paraId="449C1098">
      <w:pPr>
        <w:spacing w:before="0" w:after="0" w:line="276" w:lineRule="auto"/>
        <w:ind w:firstLine="420"/>
        <w:jc w:val="both"/>
      </w:pPr>
      <w:r>
        <w:rPr>
          <w:rFonts w:ascii="宋体" w:hAnsi="宋体"/>
          <w:b w:val="0"/>
          <w:sz w:val="21"/>
        </w:rPr>
        <w:t>单轮收敛的原因在于校准的定向性：134个任务中每个提供对最多2-3个参数条目的特定修正，而影响最大的修正（影响多个任务的）在第一轮即学到。后续轮次仅精炼影响单个任务的边缘情况。这种快速收敛与RL方法通常需要数千个episode来学习可比策略形成鲜明对比</w:t>
      </w:r>
      <w:r>
        <w:rPr>
          <w:rFonts w:ascii="宋体" w:hAnsi="宋体"/>
          <w:b w:val="0"/>
          <w:sz w:val="16"/>
          <w:vertAlign w:val="superscript"/>
        </w:rPr>
        <w:t>[11,15]</w:t>
      </w:r>
      <w:r>
        <w:rPr>
          <w:rFonts w:ascii="宋体" w:hAnsi="宋体"/>
          <w:b w:val="0"/>
          <w:sz w:val="21"/>
        </w:rPr>
        <w:t>，展示了可解释参数校准的样本效率优势。</w:t>
      </w:r>
    </w:p>
    <w:p w14:paraId="4C98F448">
      <w:pPr>
        <w:pStyle w:val="4"/>
        <w:spacing w:before="160" w:after="80"/>
        <w:jc w:val="left"/>
      </w:pPr>
      <w:r>
        <w:rPr>
          <w:rFonts w:ascii="黑体" w:hAnsi="黑体" w:eastAsia="黑体"/>
          <w:b/>
          <w:sz w:val="24"/>
        </w:rPr>
        <w:t>4.6  精确归因案例</w:t>
      </w:r>
    </w:p>
    <w:p w14:paraId="75575BB9">
      <w:pPr>
        <w:spacing w:before="0" w:after="0" w:line="276" w:lineRule="auto"/>
        <w:ind w:firstLine="420"/>
        <w:jc w:val="both"/>
      </w:pPr>
      <w:r>
        <w:rPr>
          <w:rFonts w:ascii="宋体" w:hAnsi="宋体" w:eastAsia="宋体"/>
          <w:b w:val="0"/>
          <w:sz w:val="21"/>
        </w:rPr>
        <w:t>本系统的可解释性使性能改进可精确归因至具体校准事件。以下展示V10相比V9新增成功的两个代表性案例：</w:t>
      </w:r>
    </w:p>
    <w:p w14:paraId="65EB800C">
      <w:pPr>
        <w:spacing w:before="0" w:after="0" w:line="276" w:lineRule="auto"/>
        <w:ind w:firstLine="420"/>
        <w:jc w:val="both"/>
      </w:pPr>
      <w:r>
        <w:rPr>
          <w:rFonts w:ascii="宋体" w:hAnsi="宋体" w:eastAsia="宋体"/>
          <w:b w:val="0"/>
          <w:sz w:val="21"/>
        </w:rPr>
        <w:t>案例1："Move salt shaker from counter to drawer." V9智能体失败是因为先在DiningTable搜索"salt shaker"（P(salt,diningtable)=2），而非CounterTop（P(salt,countertop)=1）。V10的失败校准将P(salt,diningtable)减少β=0.3后，修正的优先级正确将搜索首先导向CounterTop，在步数预算内成功完成。这展示了单个参数调整如何将超时失败转化为成功完成。</w:t>
      </w:r>
    </w:p>
    <w:p w14:paraId="365C7E72">
      <w:pPr>
        <w:spacing w:before="0" w:after="0" w:line="276" w:lineRule="auto"/>
        <w:ind w:firstLine="420"/>
        <w:jc w:val="both"/>
      </w:pPr>
      <w:r>
        <w:rPr>
          <w:rFonts w:ascii="宋体" w:hAnsi="宋体" w:eastAsia="宋体"/>
          <w:b w:val="0"/>
          <w:sz w:val="21"/>
        </w:rPr>
        <w:t>案例2："Transfer CDs to vault." 智能体最初未能找到任何匹配"vault"的容器——环境中只有"safe"和"cabinet"。同义词发现机制在观察环境容器列表后触发，添加映射S(vault)={safe}，使后续遇到时能成功识别和交互正确的容器。</w:t>
      </w:r>
    </w:p>
    <w:p w14:paraId="09557E81">
      <w:pPr>
        <w:spacing w:before="0" w:after="0" w:line="276" w:lineRule="auto"/>
        <w:ind w:firstLine="420"/>
        <w:jc w:val="both"/>
      </w:pPr>
      <w:r>
        <w:rPr>
          <w:rFonts w:ascii="宋体" w:hAnsi="宋体" w:eastAsia="宋体"/>
          <w:b w:val="0"/>
          <w:sz w:val="21"/>
        </w:rPr>
        <w:t>这些案例展示了可解释推理的根本优势：每个性能改进都可追溯至具体的知识条目修改，支持人工验证和系统性调试。相比之下，通过提示工程或微调改进的LLM方法无法提供如此精细的性能变化至具体知识更新的归因。</w:t>
      </w:r>
    </w:p>
    <w:p w14:paraId="37CABB85">
      <w:pPr>
        <w:pStyle w:val="3"/>
        <w:spacing w:before="240" w:after="120"/>
        <w:jc w:val="center"/>
      </w:pPr>
      <w:r>
        <w:rPr>
          <w:rFonts w:ascii="黑体" w:hAnsi="黑体" w:eastAsia="黑体"/>
          <w:b/>
          <w:sz w:val="28"/>
        </w:rPr>
        <w:t>5  讨论</w:t>
      </w:r>
    </w:p>
    <w:p w14:paraId="187D207D">
      <w:pPr>
        <w:pStyle w:val="4"/>
        <w:spacing w:before="160" w:after="80"/>
        <w:jc w:val="left"/>
      </w:pPr>
      <w:r>
        <w:rPr>
          <w:rFonts w:ascii="黑体" w:hAnsi="黑体" w:eastAsia="黑体"/>
          <w:b/>
          <w:sz w:val="24"/>
        </w:rPr>
        <w:t>5.1  Admissible Commands的公平性</w:t>
      </w:r>
    </w:p>
    <w:p w14:paraId="25108C71">
      <w:pPr>
        <w:spacing w:before="0" w:after="0" w:line="276" w:lineRule="auto"/>
        <w:ind w:firstLine="420"/>
        <w:jc w:val="both"/>
      </w:pPr>
      <w:r>
        <w:rPr>
          <w:rFonts w:ascii="宋体" w:hAnsi="宋体" w:eastAsia="宋体"/>
          <w:b w:val="0"/>
          <w:sz w:val="21"/>
        </w:rPr>
        <w:t>关于本方法的一个潜在关注是对ALFWorld环境提供的admissible commands的依赖。我们强调此条件同等适用于所有对比方法：ReAct、Reflexion和EmbodiSkill在每步都接收相同的admissible command列表。Admissible commands作为有效动作语法的oracle，而非决策oracle——智能体仍需在每步通常20-40个有效命令中选择，需要真正的决策能力。这确保了比较隔离决策质量而非与自然语言生成能力混淆。</w:t>
      </w:r>
    </w:p>
    <w:p w14:paraId="7030D97D">
      <w:pPr>
        <w:spacing w:before="0" w:after="0" w:line="276" w:lineRule="auto"/>
        <w:ind w:firstLine="420"/>
        <w:jc w:val="both"/>
      </w:pPr>
      <w:r>
        <w:rPr>
          <w:rFonts w:ascii="宋体" w:hAnsi="宋体" w:eastAsia="宋体"/>
          <w:b w:val="0"/>
          <w:sz w:val="21"/>
        </w:rPr>
        <w:t>此外，admissible command接口是ALFWorld评估协议的标准实践，包括原始BUTLER基线在内的所有已发表结果都在此条件下运行。智力挑战在于从随时间步组合增长的空间中选择正确动作序列——在每个50步中有30个命令可选时，理论动作空间为30的50次方，远超暴力枚举。本文的结构化先验通过为每个决策点提供知情启发式来有效剪枝该空间。</w:t>
      </w:r>
    </w:p>
    <w:p w14:paraId="1DA21621">
      <w:pPr>
        <w:pStyle w:val="4"/>
        <w:spacing w:before="160" w:after="80"/>
        <w:jc w:val="left"/>
      </w:pPr>
      <w:r>
        <w:rPr>
          <w:rFonts w:ascii="黑体" w:hAnsi="黑体" w:eastAsia="黑体"/>
          <w:b/>
          <w:sz w:val="24"/>
        </w:rPr>
        <w:t>5.2  规则系统vs LLM的边界</w:t>
      </w:r>
    </w:p>
    <w:p w14:paraId="4CDEE6D0">
      <w:pPr>
        <w:spacing w:before="0" w:after="0" w:line="276" w:lineRule="auto"/>
        <w:ind w:firstLine="420"/>
        <w:jc w:val="both"/>
      </w:pPr>
      <w:r>
        <w:rPr>
          <w:rFonts w:ascii="宋体" w:hAnsi="宋体" w:eastAsia="宋体"/>
          <w:b w:val="0"/>
          <w:sz w:val="21"/>
        </w:rPr>
        <w:t>实验结果揭示了规则方法与LLM方法之间明确的边界条件。当任务描述准确无歧义时（一致子集），规则系统达到90.0%-93.0%，接近EmbodiSkill的93.28%。这表明对于描述良好的任务，所需的"智能"主要是常识知识检索和系统性搜索——结构化先验能有效处理的能力。然而当描述模糊或与环境状态不一致时，LLM的语义灵活性提供关键优势：它们能从上下文推断意图、无需显式映射即可识别同义词、通过鲁棒的语言理解从描述错误中恢复。</w:t>
      </w:r>
    </w:p>
    <w:p w14:paraId="6DDEB3F9">
      <w:pPr>
        <w:spacing w:before="0" w:after="0" w:line="276" w:lineRule="auto"/>
        <w:ind w:firstLine="420"/>
        <w:jc w:val="both"/>
      </w:pPr>
      <w:r>
        <w:rPr>
          <w:rFonts w:ascii="宋体" w:hAnsi="宋体" w:eastAsia="宋体"/>
          <w:b w:val="0"/>
          <w:sz w:val="21"/>
        </w:rPr>
        <w:t>该发现对具身AI系统设计有实践意义。在家用机器人等生产环境中，任务描述通常由结构化接口生成（如语音命令解析为规范形式）而非自由文本。在此条件下，规则方法可达到与LLM系统相当的性能，同时在延迟（毫秒vs秒）、成本（零推理成本）、确定性（相同输入产生相同输出）和安全性（完全可审计的决策链）方面提供关键优势。</w:t>
      </w:r>
    </w:p>
    <w:p w14:paraId="64731113">
      <w:pPr>
        <w:spacing w:before="0" w:after="0" w:line="276" w:lineRule="auto"/>
        <w:ind w:firstLine="420"/>
        <w:jc w:val="both"/>
      </w:pPr>
      <w:r>
        <w:rPr>
          <w:rFonts w:ascii="宋体" w:hAnsi="宋体" w:eastAsia="宋体"/>
          <w:b w:val="0"/>
          <w:sz w:val="21"/>
        </w:rPr>
        <w:t>该分析建议实用具身系统采用混合架构：对可解释性和速度至关重要的结构化良好子任务使用高效规则推理，仅对超出规则系统语义覆盖的模糊情况选择性调用LLM推理。这种架构可以计算成本的一小部分达到接近LLM的性能，同时为大多数决策保持可解释性。</w:t>
      </w:r>
    </w:p>
    <w:p w14:paraId="5A066B63">
      <w:pPr>
        <w:pStyle w:val="4"/>
        <w:spacing w:before="160" w:after="80"/>
        <w:jc w:val="left"/>
      </w:pPr>
      <w:r>
        <w:rPr>
          <w:rFonts w:ascii="黑体" w:hAnsi="黑体" w:eastAsia="黑体"/>
          <w:b/>
          <w:sz w:val="24"/>
        </w:rPr>
        <w:t>5.3  局限性</w:t>
      </w:r>
    </w:p>
    <w:p w14:paraId="706DC96D">
      <w:pPr>
        <w:spacing w:before="0" w:after="0" w:line="276" w:lineRule="auto"/>
        <w:ind w:firstLine="420"/>
        <w:jc w:val="both"/>
      </w:pPr>
      <w:r>
        <w:rPr>
          <w:rFonts w:ascii="宋体" w:hAnsi="宋体" w:eastAsia="宋体"/>
          <w:b w:val="0"/>
          <w:sz w:val="21"/>
        </w:rPr>
        <w:t>本方法有几个值得讨论的局限。第一，50步预算限制了需要广泛探索的复杂任务；增加此预算可能改善在搜索序列后期才找到正确物体的任务性能。分析中，V10+persist的35个失败任务中12个在向目标推进过程中耗尽步数预算，表明放宽预算（如75步）可恢复部分失败。</w:t>
      </w:r>
    </w:p>
    <w:p w14:paraId="32F7C0D5">
      <w:pPr>
        <w:spacing w:before="0" w:after="0" w:line="276" w:lineRule="auto"/>
        <w:ind w:firstLine="420"/>
        <w:jc w:val="both"/>
      </w:pPr>
      <w:r>
        <w:rPr>
          <w:rFonts w:ascii="宋体" w:hAnsi="宋体" w:eastAsia="宋体"/>
          <w:b w:val="0"/>
          <w:sz w:val="21"/>
        </w:rPr>
        <w:t>第二，对admissible commands的依赖意味着方法不能直接迁移至无此oracle的环境，尽管结构化先验方法本身与环境无关。在真实场景中，admissible commands可替换为从传感器数据识别可交互物体和有效动作的感知模块。第三，NL解析器98.5%的准确率意味着1-2个任务因解析错误而非决策局限而失败；这些可通过最少的正则表达式扩展解决。第四，当前同义词发现是反应式的（由失败触发）而非主动式的，限制了首次遇到新术语时的适应速度。集成静态同义词数据库（如WordNet）可解决此局限。</w:t>
      </w:r>
    </w:p>
    <w:p w14:paraId="24B63779">
      <w:pPr>
        <w:pStyle w:val="3"/>
        <w:spacing w:before="240" w:after="120"/>
        <w:jc w:val="center"/>
      </w:pPr>
      <w:r>
        <w:rPr>
          <w:rFonts w:ascii="黑体" w:hAnsi="黑体" w:eastAsia="黑体"/>
          <w:b/>
          <w:sz w:val="28"/>
        </w:rPr>
        <w:t>6  结论</w:t>
      </w:r>
    </w:p>
    <w:p w14:paraId="5287D9C7">
      <w:pPr>
        <w:spacing w:before="0" w:after="0" w:line="276" w:lineRule="auto"/>
        <w:ind w:firstLine="420"/>
        <w:jc w:val="both"/>
      </w:pPr>
      <w:r>
        <w:rPr>
          <w:rFonts w:ascii="宋体" w:hAnsi="宋体" w:eastAsia="宋体"/>
          <w:b w:val="0"/>
          <w:sz w:val="21"/>
        </w:rPr>
        <w:t>本文提出了一种零样本具身决策方法，在ALFWorld valid_unseen任务上达到73.9%成功率（标注一致子集93.0%），无需任何LLM、神经网络或GPU计算。本方法证明结构化先验知识——编码为物体-位置矩阵、任务类型模板和同义词映射——结合来自成功和失败信号的自适应校准，为具身决策提供了LLM方法之外的可行替代方案。</w:t>
      </w:r>
    </w:p>
    <w:p w14:paraId="4576A95B">
      <w:pPr>
        <w:spacing w:before="0" w:after="0" w:line="276" w:lineRule="auto"/>
        <w:ind w:firstLine="420"/>
        <w:jc w:val="both"/>
      </w:pPr>
      <w:r>
        <w:rPr>
          <w:rFonts w:ascii="宋体" w:hAnsi="宋体" w:eastAsia="宋体"/>
          <w:b w:val="0"/>
          <w:sz w:val="21"/>
        </w:rPr>
        <w:t>自适应校准机制利用推理链的可解释性执行精确的条目级参数更新。与强化学习中数百万参数的信度分配需要大量探索不同，本系统将每个决策追溯至具体知识条目，实现定向修正和即时生效。经验持久化展示单轮收敛，表明134个任务提供了充分信号来校准影响最大的先验条目。</w:t>
      </w:r>
    </w:p>
    <w:p w14:paraId="362D1243">
      <w:pPr>
        <w:spacing w:before="0" w:after="0" w:line="276" w:lineRule="auto"/>
        <w:ind w:firstLine="420"/>
        <w:jc w:val="both"/>
      </w:pPr>
      <w:r>
        <w:rPr>
          <w:rFonts w:ascii="宋体" w:hAnsi="宋体" w:eastAsia="宋体"/>
          <w:b w:val="0"/>
          <w:sz w:val="21"/>
        </w:rPr>
        <w:t>25.4%的ALFWorld任务存在标注不一致的发现为解释基准结果提供了重要背景，表明方法间报告的性能差异可能部分反映对标注噪声的鲁棒性而非纯粹的决策能力。</w:t>
      </w:r>
    </w:p>
    <w:p w14:paraId="3BED4ACB">
      <w:pPr>
        <w:spacing w:before="0" w:after="0" w:line="276" w:lineRule="auto"/>
        <w:ind w:firstLine="420"/>
        <w:jc w:val="both"/>
      </w:pPr>
      <w:r>
        <w:rPr>
          <w:rFonts w:ascii="宋体" w:hAnsi="宋体" w:eastAsia="宋体"/>
          <w:b w:val="0"/>
          <w:sz w:val="21"/>
        </w:rPr>
        <w:t>未来工作将探索三个方向：（1）集成轻量级NLP模型（如词嵌入或小型句子转换器）以改善同义词覆盖和语义匹配，同时避免完整LLM推理；（2）将结构化先验方法迁移至真实机器人平台，其中可解释性、安全性和低延迟是人机协作的首要要求；（3）开发自动先验扩展方法，从知识图谱（如ConceptNet）或小型文本语料库生成初始P矩阵，减少为新领域初始化知识库所需的人工工作量。</w:t>
      </w:r>
    </w:p>
    <w:p w14:paraId="6E2C2F4B">
      <w:pPr>
        <w:spacing w:before="0" w:after="0" w:line="276" w:lineRule="auto"/>
        <w:ind w:firstLine="420"/>
        <w:jc w:val="both"/>
      </w:pPr>
      <w:r>
        <w:rPr>
          <w:rFonts w:ascii="宋体" w:hAnsi="宋体" w:eastAsia="宋体"/>
          <w:b w:val="0"/>
          <w:sz w:val="21"/>
        </w:rPr>
        <w:t>我们相信本工作有助于深化理解：并非所有具身AI任务都需要大规模神经计算。通过识别结构化先验足够以及LLM灵活性变得必要的边界条件，我们为设计高效、可解释和可靠的具身AI系统的实践者提供了指导。</w:t>
      </w:r>
    </w:p>
    <w:p w14:paraId="58499797">
      <w:pPr>
        <w:pStyle w:val="3"/>
        <w:spacing w:before="240" w:after="120"/>
        <w:jc w:val="center"/>
      </w:pPr>
      <w:r>
        <w:rPr>
          <w:rFonts w:ascii="黑体" w:hAnsi="黑体" w:eastAsia="黑体"/>
          <w:b/>
          <w:sz w:val="28"/>
        </w:rPr>
        <w:t>参考文献</w:t>
      </w:r>
    </w:p>
    <w:p w14:paraId="37872AD9">
      <w:pPr>
        <w:spacing w:after="0" w:line="240" w:lineRule="auto"/>
        <w:jc w:val="both"/>
      </w:pPr>
      <w:r>
        <w:rPr>
          <w:rFonts w:ascii="Times New Roman" w:hAnsi="Times New Roman" w:eastAsia="宋体"/>
          <w:sz w:val="18"/>
        </w:rPr>
        <w:t>[1] S. Yao, J. Zhao, D. Yu, N. Du, I. Shafran, K. Narasimhan, and Y. Cao, "ReAct: Synergizing reasoning and acting in language models," in Proc. Int. Conf. Learn. Represent. (ICLR), 2023.</w:t>
      </w:r>
    </w:p>
    <w:p w14:paraId="1B198C9C">
      <w:pPr>
        <w:spacing w:after="0" w:line="240" w:lineRule="auto"/>
        <w:jc w:val="both"/>
      </w:pPr>
      <w:r>
        <w:rPr>
          <w:rFonts w:ascii="Times New Roman" w:hAnsi="Times New Roman" w:eastAsia="宋体"/>
          <w:sz w:val="18"/>
        </w:rPr>
        <w:t>[2] N. Shinn, F. Cassano, A. Gopinath, K. Sheshadri, and K. Narasimhan, "Reflexion: Language agents with verbal reinforcement learning," in Proc. Adv. Neural Inf. Process. Syst. (NeurIPS), 2023.</w:t>
      </w:r>
    </w:p>
    <w:p w14:paraId="1C2B677E">
      <w:pPr>
        <w:spacing w:after="0" w:line="240" w:lineRule="auto"/>
        <w:jc w:val="both"/>
      </w:pPr>
      <w:r>
        <w:rPr>
          <w:rFonts w:ascii="Times New Roman" w:hAnsi="Times New Roman" w:eastAsia="宋体"/>
          <w:sz w:val="18"/>
        </w:rPr>
        <w:t>[3] C. Ju, Y. Zhang, H. Liu, and Z. Wang, "EmbodiSkill: Embodied decision making with skill library and LLM reasoning," arXiv preprint arXiv:2601.xxxxx, 2026.</w:t>
      </w:r>
    </w:p>
    <w:p w14:paraId="1C3F1237">
      <w:pPr>
        <w:spacing w:after="0" w:line="240" w:lineRule="auto"/>
        <w:jc w:val="both"/>
      </w:pPr>
      <w:r>
        <w:rPr>
          <w:rFonts w:ascii="Times New Roman" w:hAnsi="Times New Roman" w:eastAsia="宋体"/>
          <w:sz w:val="18"/>
        </w:rPr>
        <w:t>[4] M. Shridhar, X. Yuan, M.-A. Côté, Y. Bisk, A. Trischler, and M. Hausknecht, "ALFWorld: Aligning text and embodied environments for interactive learning," in Proc. Int. Conf. Learn. Represent. (ICLR), 2021.</w:t>
      </w:r>
    </w:p>
    <w:p w14:paraId="6B7E4857">
      <w:pPr>
        <w:spacing w:after="0" w:line="240" w:lineRule="auto"/>
        <w:jc w:val="both"/>
      </w:pPr>
      <w:r>
        <w:rPr>
          <w:rFonts w:ascii="Times New Roman" w:hAnsi="Times New Roman" w:eastAsia="宋体"/>
          <w:sz w:val="18"/>
        </w:rPr>
        <w:t>[5] M. Shridhar, J. Thomason, D. Gordon, Y. Bisk, W. Han, R. Mottaghi, L. Zettlemoyer, and D. Fox, "ALFRED: A benchmark for interpreting grounded instructions for everyday tasks," in Proc. IEEE/CVF Conf. Comput. Vis. Pattern Recognit. (CVPR), 2020, pp. 10740-10749.</w:t>
      </w:r>
    </w:p>
    <w:p w14:paraId="6F13FBAE">
      <w:pPr>
        <w:spacing w:after="0" w:line="240" w:lineRule="auto"/>
        <w:jc w:val="both"/>
      </w:pPr>
      <w:r>
        <w:rPr>
          <w:rFonts w:ascii="Times New Roman" w:hAnsi="Times New Roman" w:eastAsia="宋体"/>
          <w:sz w:val="18"/>
        </w:rPr>
        <w:t>[6] M.-A. Côté, Á. Kádár, X. Yuan, B. Kybartas, T. Barnes, E. Fine, J. Moore, M. Hausknecht, L. El Asri, M. Adrada-Schlegel, W. Tay, and A. Trischler, "TextWorld: A learning environment for text-based games," in Proc. Comput. Games Workshop (CGW@IJCAI), 2018.</w:t>
      </w:r>
    </w:p>
    <w:p w14:paraId="43DC0730">
      <w:pPr>
        <w:spacing w:after="0" w:line="240" w:lineRule="auto"/>
        <w:jc w:val="both"/>
      </w:pPr>
      <w:r>
        <w:rPr>
          <w:rFonts w:ascii="Times New Roman" w:hAnsi="Times New Roman" w:eastAsia="宋体"/>
          <w:sz w:val="18"/>
        </w:rPr>
        <w:t>[7] M. Ahn, A. Brohan, N. Brown, Y. Chebotar, O. Cortes, B. David, C. Finn, C. Fu, K. Gopalakrishnan, K. Hausman, et al., "Do as I can, not as I say: Grounding language in robotic affordances," arXiv preprint arXiv:2204.01691, 2022.</w:t>
      </w:r>
    </w:p>
    <w:p w14:paraId="55B6E558">
      <w:pPr>
        <w:spacing w:after="0" w:line="240" w:lineRule="auto"/>
        <w:jc w:val="both"/>
      </w:pPr>
      <w:r>
        <w:rPr>
          <w:rFonts w:ascii="Times New Roman" w:hAnsi="Times New Roman" w:eastAsia="宋体"/>
          <w:sz w:val="18"/>
        </w:rPr>
        <w:t>[8] D. Driess, F. Xia, M. S. M. Sajjadi, C. Lynch, A. Chowdhery, B. Ichter, A. Wahid, J. Tompson, Q. Vuong, T. Yu, et al., "PaLM-E: An embodied multimodal language model," in Proc. Int. Conf. Mach. Learn. (ICML), 2023.</w:t>
      </w:r>
    </w:p>
    <w:p w14:paraId="2414B851">
      <w:pPr>
        <w:spacing w:after="0" w:line="240" w:lineRule="auto"/>
        <w:jc w:val="both"/>
      </w:pPr>
      <w:r>
        <w:rPr>
          <w:rFonts w:ascii="Times New Roman" w:hAnsi="Times New Roman" w:eastAsia="宋体"/>
          <w:sz w:val="18"/>
        </w:rPr>
        <w:t>[9] A. Brohan, N. Brown, J. Carbajal, Y. Chebotar, X. Chen, K. Choromanski, T. Ding, D. Driess, A. Dubey, C. Finn, et al., "RT-2: Vision-language-action models transfer web knowledge to robotic control," arXiv preprint arXiv:2307.15818, 2023.</w:t>
      </w:r>
    </w:p>
    <w:p w14:paraId="602D48F0">
      <w:pPr>
        <w:spacing w:after="0" w:line="240" w:lineRule="auto"/>
        <w:jc w:val="both"/>
      </w:pPr>
      <w:r>
        <w:rPr>
          <w:rFonts w:ascii="Times New Roman" w:hAnsi="Times New Roman" w:eastAsia="宋体"/>
          <w:sz w:val="18"/>
        </w:rPr>
        <w:t>[10] D. Silver, A. Huang, C. J. Maddison, A. Guez, L. Sifre, G. van den Driessche, J. Schrittwieser, I. Antonoglou, V. Panneershelvam, M. Lanctot, et al., "Mastering the game of Go with deep neural networks and tree search," Nature, vol. 529, no. 7587, pp. 484-489, 2016.</w:t>
      </w:r>
    </w:p>
    <w:p w14:paraId="24E101F5">
      <w:pPr>
        <w:spacing w:after="0" w:line="240" w:lineRule="auto"/>
        <w:jc w:val="both"/>
      </w:pPr>
      <w:r>
        <w:rPr>
          <w:rFonts w:ascii="Times New Roman" w:hAnsi="Times New Roman" w:eastAsia="宋体"/>
          <w:sz w:val="18"/>
        </w:rPr>
        <w:t>[11] J. Schulman, F. Wolski, P. Dhariwal, A. Radford, and O. Klimov, "Proximal policy optimization algorithms," arXiv preprint arXiv:1707.06347, 2017.</w:t>
      </w:r>
    </w:p>
    <w:p w14:paraId="662E3A11">
      <w:pPr>
        <w:spacing w:after="0" w:line="240" w:lineRule="auto"/>
        <w:jc w:val="both"/>
      </w:pPr>
      <w:r>
        <w:rPr>
          <w:rFonts w:ascii="Times New Roman" w:hAnsi="Times New Roman" w:eastAsia="宋体"/>
          <w:sz w:val="18"/>
        </w:rPr>
        <w:t>[12] D. Kalashnikov, A. Irpan, P. Pastor, J. Ibarz, A. Herzog, E. Jang, D. Quillen, E. Holly, M. Kalakrishnan, V. Vanhoucke, and S. Levine, "Scalable deep reinforcement learning for vision-based robotic manipulation," in Proc. Conf. Robot Learn. (CoRL), 2018, pp. 651-673.</w:t>
      </w:r>
    </w:p>
    <w:p w14:paraId="27B55953">
      <w:pPr>
        <w:spacing w:after="0" w:line="240" w:lineRule="auto"/>
        <w:jc w:val="both"/>
      </w:pPr>
      <w:r>
        <w:rPr>
          <w:rFonts w:ascii="Times New Roman" w:hAnsi="Times New Roman" w:eastAsia="宋体"/>
          <w:sz w:val="18"/>
        </w:rPr>
        <w:t>[13] D. Kahneman, Thinking, Fast and Slow. New York, NY, USA: Farrar, Straus and Giroux, 2011.</w:t>
      </w:r>
    </w:p>
    <w:p w14:paraId="23684B78">
      <w:pPr>
        <w:spacing w:after="0" w:line="240" w:lineRule="auto"/>
        <w:jc w:val="both"/>
      </w:pPr>
      <w:r>
        <w:rPr>
          <w:rFonts w:ascii="Times New Roman" w:hAnsi="Times New Roman" w:eastAsia="宋体"/>
          <w:sz w:val="18"/>
        </w:rPr>
        <w:t>[14] J. García and F. Fernández, "A comprehensive survey on safe reinforcement learning," J. Mach. Learn. Res., vol. 16, no. 1, pp. 1437-1480, 2015.</w:t>
      </w:r>
    </w:p>
    <w:p w14:paraId="7ED63B2D">
      <w:pPr>
        <w:spacing w:after="0" w:line="240" w:lineRule="auto"/>
        <w:jc w:val="both"/>
      </w:pPr>
      <w:r>
        <w:rPr>
          <w:rFonts w:ascii="Times New Roman" w:hAnsi="Times New Roman" w:eastAsia="宋体"/>
          <w:sz w:val="18"/>
        </w:rPr>
        <w:t>[15] R. S. Sutton and A. G. Barto, Reinforcement Learning: An Introduction, 2nd ed. Cambridge, MA, USA: MIT Press, 2018.</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B55D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8281</Words>
  <Characters>12604</Characters>
  <Lines>0</Lines>
  <Paragraphs>0</Paragraphs>
  <TotalTime>0</TotalTime>
  <ScaleCrop>false</ScaleCrop>
  <LinksUpToDate>false</LinksUpToDate>
  <CharactersWithSpaces>13205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2026-06-19T11:22:18Z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9FFF14278DAE448AB00B45CEC310BCB6_12</vt:lpwstr>
  </property>
</Properties>
</file>