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/>
          <w:b/>
          <w:i w:val="0"/>
          <w:sz w:val="28"/>
        </w:rPr>
        <w:t>Zero-Shot Embodied Decision Making with Structured Prior Knowledge and Adaptive Calibration in ALFWorld</w:t>
      </w:r>
    </w:p>
    <w:p>
      <w:pPr>
        <w:spacing w:after="60"/>
        <w:jc w:val="center"/>
      </w:pPr>
      <w:r>
        <w:rPr>
          <w:rFonts w:ascii="Times New Roman" w:hAnsi="Times New Roman"/>
          <w:b w:val="0"/>
          <w:i w:val="0"/>
          <w:sz w:val="22"/>
        </w:rPr>
        <w:t>Xinglu Ma, Jinhan Li, Guoan Zhang, Jingtao Yu, Wang Li, Shengjie Ma*</w:t>
      </w:r>
    </w:p>
    <w:p>
      <w:pPr>
        <w:spacing w:after="60"/>
        <w:jc w:val="center"/>
      </w:pPr>
      <w:r>
        <w:rPr>
          <w:rFonts w:ascii="Times New Roman" w:hAnsi="Times New Roman"/>
          <w:b w:val="0"/>
          <w:i/>
          <w:sz w:val="18"/>
        </w:rPr>
        <w:t>School of Information Science and Technology, Qingdao University of Science and Technology, Qingdao 266061, China</w:t>
      </w:r>
    </w:p>
    <w:p>
      <w:pPr>
        <w:spacing w:after="60"/>
        <w:jc w:val="center"/>
      </w:pPr>
      <w:r>
        <w:rPr>
          <w:rFonts w:ascii="Times New Roman" w:hAnsi="Times New Roman"/>
          <w:b w:val="0"/>
          <w:i/>
          <w:sz w:val="18"/>
        </w:rPr>
        <w:t>*Corresponding author</w:t>
      </w:r>
    </w:p>
    <w:p/>
    <w:sectPr w:rsidR="00FC693F" w:rsidRPr="0006063C" w:rsidSect="00034616">
      <w:pgSz w:w="12240" w:h="15840"/>
      <w:pgMar w:top="1080" w:right="900" w:bottom="1440" w:left="900" w:header="720" w:footer="720" w:gutter="0"/>
      <w:cols w:space="720"/>
      <w:docGrid w:linePitch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