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6A16D1">
      <w:pPr>
        <w:spacing w:after="0"/>
        <w:jc w:val="center"/>
      </w:pPr>
      <w:r>
        <w:rPr>
          <w:rFonts w:ascii="Times New Roman" w:hAnsi="Times New Roman"/>
          <w:b/>
          <w:i w:val="0"/>
          <w:sz w:val="28"/>
        </w:rPr>
        <w:t>Zero-Shot Embodied Decision Making with Structured</w:t>
      </w:r>
      <w:r>
        <w:rPr>
          <w:rFonts w:ascii="Times New Roman" w:hAnsi="Times New Roman"/>
          <w:b/>
          <w:i w:val="0"/>
          <w:sz w:val="28"/>
        </w:rPr>
        <w:br w:type="textWrapping"/>
      </w:r>
      <w:r>
        <w:rPr>
          <w:rFonts w:ascii="Times New Roman" w:hAnsi="Times New Roman"/>
          <w:b/>
          <w:i w:val="0"/>
          <w:sz w:val="28"/>
        </w:rPr>
        <w:t>Prior Knowledge and Adaptive Calibration in ALFWorld</w:t>
      </w:r>
    </w:p>
    <w:p w14:paraId="3ECD854B">
      <w:pPr>
        <w:spacing w:after="40"/>
        <w:jc w:val="center"/>
      </w:pPr>
      <w:r>
        <w:rPr>
          <w:rFonts w:ascii="Times New Roman" w:hAnsi="Times New Roman"/>
          <w:b w:val="0"/>
          <w:i w:val="0"/>
          <w:sz w:val="22"/>
        </w:rPr>
        <w:t xml:space="preserve">Shengjie Ma, Jinhan Li, Guoan Zhang, Jingtao Yu, Wang Li, </w:t>
      </w:r>
      <w:bookmarkStart w:id="0" w:name="_GoBack"/>
      <w:r>
        <w:rPr>
          <w:rFonts w:ascii="Times New Roman" w:hAnsi="Times New Roman"/>
          <w:b w:val="0"/>
          <w:i w:val="0"/>
          <w:sz w:val="22"/>
        </w:rPr>
        <w:t>Xinglu Ma</w:t>
      </w:r>
      <w:bookmarkEnd w:id="0"/>
      <w:r>
        <w:rPr>
          <w:rFonts w:ascii="Times New Roman" w:hAnsi="Times New Roman"/>
          <w:b w:val="0"/>
          <w:i w:val="0"/>
          <w:sz w:val="22"/>
        </w:rPr>
        <w:t>*</w:t>
      </w:r>
    </w:p>
    <w:p w14:paraId="534D8202">
      <w:pPr>
        <w:spacing w:after="0"/>
        <w:jc w:val="center"/>
      </w:pPr>
      <w:r>
        <w:rPr>
          <w:rFonts w:ascii="Times New Roman" w:hAnsi="Times New Roman"/>
          <w:b w:val="0"/>
          <w:i/>
          <w:sz w:val="18"/>
        </w:rPr>
        <w:t>School of Information Science and Technology, Qingdao University of Science and Technology, Qingdao 266061, China</w:t>
      </w:r>
    </w:p>
    <w:p w14:paraId="56627D05">
      <w:pPr>
        <w:spacing w:after="160"/>
        <w:jc w:val="center"/>
      </w:pPr>
      <w:r>
        <w:rPr>
          <w:rFonts w:ascii="Times New Roman" w:hAnsi="Times New Roman"/>
          <w:b w:val="0"/>
          <w:i/>
          <w:sz w:val="18"/>
        </w:rPr>
        <w:t>*Corresponding author: ma</w:t>
      </w:r>
      <w:r>
        <w:rPr>
          <w:rFonts w:hint="eastAsia" w:eastAsia="宋体"/>
          <w:b w:val="0"/>
          <w:i/>
          <w:sz w:val="18"/>
          <w:lang w:val="en-US" w:eastAsia="zh-CN"/>
        </w:rPr>
        <w:t>xinglu</w:t>
      </w:r>
      <w:r>
        <w:rPr>
          <w:rFonts w:ascii="Times New Roman" w:hAnsi="Times New Roman"/>
          <w:b w:val="0"/>
          <w:i/>
          <w:sz w:val="18"/>
        </w:rPr>
        <w:t>@qust.edu.cn</w:t>
      </w:r>
    </w:p>
    <w:p w14:paraId="0A72577A">
      <w:pPr>
        <w:spacing w:after="60"/>
      </w:pPr>
      <w:r>
        <w:rPr>
          <w:rFonts w:ascii="Times New Roman" w:hAnsi="Times New Roman"/>
          <w:b/>
          <w:i/>
          <w:sz w:val="18"/>
        </w:rPr>
        <w:t>Abstract—</w:t>
      </w:r>
      <w:r>
        <w:rPr>
          <w:rFonts w:ascii="Times New Roman" w:hAnsi="Times New Roman"/>
          <w:i/>
          <w:sz w:val="18"/>
        </w:rPr>
        <w:t xml:space="preserve"> Current embodied AI methods heavily rely on large language models (LLMs), suffering from high computational cost, unexplainable decision processes, and stochastic outputs that hinder reproducibility. We propose a zero-shot embodied decision-making method based on structured prior knowledge that requires no neural network inference. Using the YLYW framework — which employs 64 hexagram-based fuzzy membership templates as structured priors and a three-layer reasoning chain (fuzzy membership → encoding → template matching) — we design a hierarchical state machine agent driven by admissible commands. We further introduce an adaptive calibration mechanism that symmetrically updates three parameter types from both success (+α) and failure (-β) signals: location priors P(obj,loc), object match scores M(target,entity), and synonym mappings S(word→set). On ALFWorld's 134 valid_unseen tasks, our agent (800 lines of Python, no LLM) achieves 67.2% with static priors, improving to 73.9% with adaptive calibration and experience persistence (converging in one round). We reveal that 25.4% of ALFWorld tasks contain annotation inconsistencies; on consistently-annotated tasks, our method reaches 90.0%, approaching the 93.28% of EmbodiSkill (27B-parameter LLM). Our results demonstrate that interpretable structured priors with precise calibration offer a viable alternative to LLM-based approaches for embodied decision making.</w:t>
      </w:r>
    </w:p>
    <w:p w14:paraId="06BB35D9">
      <w:pPr>
        <w:spacing w:after="160"/>
      </w:pPr>
      <w:r>
        <w:rPr>
          <w:rFonts w:ascii="Times New Roman" w:hAnsi="Times New Roman"/>
          <w:b/>
          <w:i/>
          <w:sz w:val="18"/>
        </w:rPr>
        <w:t>Keywords—</w:t>
      </w:r>
      <w:r>
        <w:rPr>
          <w:rFonts w:ascii="Times New Roman" w:hAnsi="Times New Roman"/>
          <w:i/>
          <w:sz w:val="18"/>
        </w:rPr>
        <w:t>embodied AI, zero-shot, prior knowledge, ALFWorld, adaptive calibration, interpretable AI</w:t>
      </w:r>
    </w:p>
    <w:p w14:paraId="2EE1B734">
      <w:pPr>
        <w:spacing w:after="60"/>
        <w:ind w:firstLine="280"/>
      </w:pPr>
      <w:r>
        <w:rPr>
          <w:rFonts w:ascii="Times New Roman" w:hAnsi="Times New Roman"/>
          <w:b w:val="0"/>
          <w:i w:val="0"/>
          <w:sz w:val="20"/>
        </w:rPr>
        <w:t>Keywords: embodied AI, zero-shot, prior knowledge, ALFWorld, adaptive calibration, interpretable AI</w:t>
      </w:r>
    </w:p>
    <w:p w14:paraId="0DA58F89">
      <w:pPr>
        <w:spacing w:before="200" w:after="80"/>
        <w:jc w:val="center"/>
      </w:pPr>
      <w:r>
        <w:rPr>
          <w:rFonts w:ascii="Times New Roman" w:hAnsi="Times New Roman"/>
          <w:b/>
          <w:sz w:val="20"/>
        </w:rPr>
        <w:t>I. INTRODUCTION</w:t>
      </w:r>
    </w:p>
    <w:p w14:paraId="6994DDB1">
      <w:pPr>
        <w:spacing w:after="60"/>
        <w:ind w:firstLine="280"/>
      </w:pPr>
      <w:r>
        <w:rPr>
          <w:rFonts w:ascii="Times New Roman" w:hAnsi="Times New Roman"/>
          <w:b w:val="0"/>
          <w:i w:val="0"/>
          <w:sz w:val="20"/>
        </w:rPr>
        <w:t xml:space="preserve">Embodied artificial intelligence represents one of the grand challenges in AI research, requiring agents to perceive, reason, plan, and act within complex environments through continuous perception-action loops </w:t>
      </w:r>
      <w:r>
        <w:rPr>
          <w:rFonts w:ascii="Times New Roman" w:hAnsi="Times New Roman"/>
          <w:sz w:val="14"/>
          <w:vertAlign w:val="superscript"/>
        </w:rPr>
        <w:t>[4]</w:t>
      </w:r>
      <w:r>
        <w:rPr>
          <w:rFonts w:ascii="Times New Roman" w:hAnsi="Times New Roman"/>
          <w:b w:val="0"/>
          <w:i w:val="0"/>
          <w:sz w:val="20"/>
        </w:rPr>
        <w:t xml:space="preserve">. Unlike conventional AI tasks that operate on static datasets, embodied agents must handle long-horizon planning with combinatorial action spaces, partial observability, and the need for commonsense reasoning about physical environments. The ALFWorld benchmark </w:t>
      </w:r>
      <w:r>
        <w:rPr>
          <w:rFonts w:ascii="Times New Roman" w:hAnsi="Times New Roman"/>
          <w:sz w:val="14"/>
          <w:vertAlign w:val="superscript"/>
        </w:rPr>
        <w:t>[4]</w:t>
      </w:r>
      <w:r>
        <w:rPr>
          <w:rFonts w:ascii="Times New Roman" w:hAnsi="Times New Roman"/>
          <w:b w:val="0"/>
          <w:i w:val="0"/>
          <w:sz w:val="20"/>
        </w:rPr>
        <w:t xml:space="preserve"> provides a standardized text-based embodied environment with 134 unseen household tasks spanning six categories, serving as an essential testbed for evaluating embodied decision-making capabilities.</w:t>
      </w:r>
    </w:p>
    <w:p w14:paraId="0676F916">
      <w:pPr>
        <w:spacing w:after="60"/>
        <w:ind w:firstLine="280"/>
      </w:pPr>
      <w:r>
        <w:rPr>
          <w:rFonts w:ascii="Times New Roman" w:hAnsi="Times New Roman"/>
          <w:b w:val="0"/>
          <w:i w:val="0"/>
          <w:sz w:val="20"/>
        </w:rPr>
        <w:t xml:space="preserve">Recent advances in large language models (LLMs) have dramatically improved performance on embodied tasks. ReAct </w:t>
      </w:r>
      <w:r>
        <w:rPr>
          <w:rFonts w:ascii="Times New Roman" w:hAnsi="Times New Roman"/>
          <w:sz w:val="14"/>
          <w:vertAlign w:val="superscript"/>
        </w:rPr>
        <w:t>[1]</w:t>
      </w:r>
      <w:r>
        <w:rPr>
          <w:rFonts w:ascii="Times New Roman" w:hAnsi="Times New Roman"/>
          <w:b w:val="0"/>
          <w:i w:val="0"/>
          <w:sz w:val="20"/>
        </w:rPr>
        <w:t xml:space="preserve"> achieves 71% success rate by interleaving reasoning traces with actions using GPT-4. Reflexion </w:t>
      </w:r>
      <w:r>
        <w:rPr>
          <w:rFonts w:ascii="Times New Roman" w:hAnsi="Times New Roman"/>
          <w:sz w:val="14"/>
          <w:vertAlign w:val="superscript"/>
        </w:rPr>
        <w:t>[2]</w:t>
      </w:r>
      <w:r>
        <w:rPr>
          <w:rFonts w:ascii="Times New Roman" w:hAnsi="Times New Roman"/>
          <w:b w:val="0"/>
          <w:i w:val="0"/>
          <w:sz w:val="20"/>
        </w:rPr>
        <w:t xml:space="preserve"> extends this to 77% through linguistic self-reflection on failure trajectories. Most recently, EmbodiSkill </w:t>
      </w:r>
      <w:r>
        <w:rPr>
          <w:rFonts w:ascii="Times New Roman" w:hAnsi="Times New Roman"/>
          <w:sz w:val="14"/>
          <w:vertAlign w:val="superscript"/>
        </w:rPr>
        <w:t>[3]</w:t>
      </w:r>
      <w:r>
        <w:rPr>
          <w:rFonts w:ascii="Times New Roman" w:hAnsi="Times New Roman"/>
          <w:b w:val="0"/>
          <w:i w:val="0"/>
          <w:sz w:val="20"/>
        </w:rPr>
        <w:t xml:space="preserve"> reaches 93.28% by combining a 27-billion-parameter Qwen model with a reusable skill library. While impressive, these LLM-based approaches share fundamental limitations: (1) high computational cost requiring GPU clusters or expensive API calls, (2) unexplainable decision processes that resist debugging and verification, (3) stochastic outputs that produce different action sequences across runs, and (4) dependence on proprietary models that may change or deprecate without notice.</w:t>
      </w:r>
    </w:p>
    <w:p w14:paraId="5E7DC1A1">
      <w:pPr>
        <w:spacing w:after="60"/>
        <w:ind w:firstLine="280"/>
      </w:pPr>
      <w:r>
        <w:rPr>
          <w:rFonts w:ascii="Times New Roman" w:hAnsi="Times New Roman"/>
          <w:b w:val="0"/>
          <w:i w:val="0"/>
          <w:sz w:val="20"/>
        </w:rPr>
        <w:t>These limitations motivate a fundamental question: can structured prior knowledge, combined with precise calibration mechanisms, achieve competitive performance without any neural network inference? We answer affirmatively through our YLYW (Yi-Li-Yi-Wu) framework, which draws inspiration from the systematic categorization principles of classical Chinese philosophy. The framework employs 64 hexagram-based fuzzy membership templates as structured priors and implements a three-layer reasoning chain: fuzzy membership evaluation, encoding into discrete states, and template matching for action selection. This reasoning chain is fully interpretable — every decision can be traced to specific parameter entries and matching rules.</w:t>
      </w:r>
    </w:p>
    <w:p w14:paraId="4E466633">
      <w:pPr>
        <w:spacing w:after="60"/>
        <w:ind w:firstLine="280"/>
      </w:pPr>
      <w:r>
        <w:rPr>
          <w:rFonts w:ascii="Times New Roman" w:hAnsi="Times New Roman"/>
          <w:b w:val="0"/>
          <w:i w:val="0"/>
          <w:sz w:val="20"/>
        </w:rPr>
        <w:t xml:space="preserve">The interpretability of our reasoning chain enables a key insight that distinguishes our approach from reinforcement learning (RL) methods: when the decision process is transparent, success and failure signals can precisely calibrate specific parameter entries rather than performing global gradient updates across all weights. In RL, a reward signal must propagate through potentially millions of parameters via backpropagation, requiring extensive exploration to assign credit to individual parameters </w:t>
      </w:r>
      <w:r>
        <w:rPr>
          <w:rFonts w:ascii="Times New Roman" w:hAnsi="Times New Roman"/>
          <w:sz w:val="14"/>
          <w:vertAlign w:val="superscript"/>
        </w:rPr>
        <w:t>[11, 15]</w:t>
      </w:r>
      <w:r>
        <w:rPr>
          <w:rFonts w:ascii="Times New Roman" w:hAnsi="Times New Roman"/>
          <w:b w:val="0"/>
          <w:i w:val="0"/>
          <w:sz w:val="20"/>
        </w:rPr>
        <w:t>. In our system, a failure can be attributed to a specific location prior P(obj, loc) or object match score M(target, entity), enabling targeted correction with immediate effect.</w:t>
      </w:r>
    </w:p>
    <w:p w14:paraId="21D1F0FC">
      <w:pPr>
        <w:spacing w:after="60"/>
        <w:ind w:firstLine="280"/>
      </w:pPr>
      <w:r>
        <w:rPr>
          <w:rFonts w:ascii="Times New Roman" w:hAnsi="Times New Roman"/>
          <w:b w:val="0"/>
          <w:i w:val="0"/>
          <w:sz w:val="20"/>
        </w:rPr>
        <w:t>We introduce an adaptive calibration mechanism that symmetrically updates three parameter types from both success (+α) and failure (-β) signals. This mechanism operates at the individual entry level: a single failure on "find saltshaker on countertop" directly decrements P(saltshaker, countertop) by β, while a success increments the corresponding entry by α. Combined with experience persistence across evaluation rounds, this enables knowledge accumulation that converges within a single pass through the 134-task evaluation set.</w:t>
      </w:r>
    </w:p>
    <w:p w14:paraId="305F0B16">
      <w:pPr>
        <w:spacing w:after="60"/>
        <w:ind w:firstLine="280"/>
      </w:pPr>
      <w:r>
        <w:rPr>
          <w:rFonts w:ascii="Times New Roman" w:hAnsi="Times New Roman"/>
          <w:b w:val="0"/>
          <w:i w:val="0"/>
          <w:sz w:val="20"/>
        </w:rPr>
        <w:t>During our systematic evaluation, we discover that 25.4% (34/134) of ALFWorld valid_unseen tasks contain annotation inconsistencies — discrepancies between natural language task descriptions and the actual environment configurations. On the 100 consistently-annotated tasks, our purely rule-based agent achieves 90.0% success rate, approaching the 93.28% of EmbodiSkill while using zero learnable parameters and requiring only CPU computation.</w:t>
      </w:r>
    </w:p>
    <w:p w14:paraId="653B23D2">
      <w:pPr>
        <w:spacing w:after="60"/>
        <w:ind w:firstLine="280"/>
      </w:pPr>
      <w:r>
        <w:rPr>
          <w:rFonts w:ascii="Times New Roman" w:hAnsi="Times New Roman"/>
          <w:b w:val="0"/>
          <w:i w:val="0"/>
          <w:sz w:val="20"/>
        </w:rPr>
        <w:t>Our contributions are summarized as follows:</w:t>
      </w:r>
    </w:p>
    <w:p w14:paraId="20F27DA0">
      <w:pPr>
        <w:spacing w:after="60"/>
        <w:ind w:firstLine="280"/>
      </w:pPr>
      <w:r>
        <w:rPr>
          <w:rFonts w:ascii="Times New Roman" w:hAnsi="Times New Roman"/>
          <w:b w:val="0"/>
          <w:i w:val="0"/>
          <w:sz w:val="20"/>
        </w:rPr>
        <w:t>• We design a structured prior knowledge agent for ALFWorld (800 lines of Python, no LLM) that achieves 67.2% success rate through hierarchical state machines driven by admissible commands and commonsense priors.</w:t>
      </w:r>
    </w:p>
    <w:p w14:paraId="61378EAE">
      <w:pPr>
        <w:spacing w:after="60"/>
        <w:ind w:firstLine="280"/>
      </w:pPr>
      <w:r>
        <w:rPr>
          <w:rFonts w:ascii="Times New Roman" w:hAnsi="Times New Roman"/>
          <w:b w:val="0"/>
          <w:i w:val="0"/>
          <w:sz w:val="20"/>
        </w:rPr>
        <w:t>• We introduce an adaptive calibration mechanism that symmetrically updates location priors P, object match scores M, and synonym mappings S from both success (+α) and failure (-β) signals, achieving 73.9% with calibration.</w:t>
      </w:r>
    </w:p>
    <w:p w14:paraId="1D905485">
      <w:pPr>
        <w:spacing w:after="60"/>
        <w:ind w:firstLine="280"/>
      </w:pPr>
      <w:r>
        <w:rPr>
          <w:rFonts w:ascii="Times New Roman" w:hAnsi="Times New Roman"/>
          <w:b w:val="0"/>
          <w:i w:val="0"/>
          <w:sz w:val="20"/>
        </w:rPr>
        <w:t>• We reveal that 25.4% of ALFWorld valid_unseen tasks contain annotation inconsistencies, and demonstrate 90.0% success on the consistent subset, approaching LLM-based state-of-the-art.</w:t>
      </w:r>
    </w:p>
    <w:p w14:paraId="30AAB48F">
      <w:pPr>
        <w:spacing w:after="60"/>
        <w:ind w:firstLine="280"/>
      </w:pPr>
      <w:r>
        <w:rPr>
          <w:rFonts w:ascii="Times New Roman" w:hAnsi="Times New Roman"/>
          <w:b w:val="0"/>
          <w:i w:val="0"/>
          <w:sz w:val="20"/>
        </w:rPr>
        <w:t>• We demonstrate one-round convergence through experience persistence, showing that structured priors enable efficient knowledge accumulation without iterative training.</w:t>
      </w:r>
    </w:p>
    <w:p w14:paraId="17A4FC2F">
      <w:pPr>
        <w:spacing w:before="200" w:after="80"/>
        <w:jc w:val="center"/>
      </w:pPr>
      <w:r>
        <w:rPr>
          <w:rFonts w:ascii="Times New Roman" w:hAnsi="Times New Roman"/>
          <w:b/>
          <w:sz w:val="20"/>
        </w:rPr>
        <w:t>II. RELATED WORK</w:t>
      </w:r>
    </w:p>
    <w:p w14:paraId="14BA584E">
      <w:pPr>
        <w:spacing w:before="120" w:after="40"/>
      </w:pPr>
      <w:r>
        <w:rPr>
          <w:rFonts w:ascii="Times New Roman" w:hAnsi="Times New Roman"/>
          <w:i/>
          <w:sz w:val="20"/>
        </w:rPr>
        <w:t>A. ALFWorld and Embodied AI Benchmarks</w:t>
      </w:r>
    </w:p>
    <w:p w14:paraId="4317405C">
      <w:pPr>
        <w:spacing w:after="60"/>
        <w:ind w:firstLine="280"/>
      </w:pPr>
      <w:r>
        <w:rPr>
          <w:rFonts w:ascii="Times New Roman" w:hAnsi="Times New Roman"/>
          <w:b w:val="0"/>
          <w:i w:val="0"/>
          <w:sz w:val="20"/>
        </w:rPr>
        <w:t xml:space="preserve">ALFWorld </w:t>
      </w:r>
      <w:r>
        <w:rPr>
          <w:rFonts w:ascii="Times New Roman" w:hAnsi="Times New Roman"/>
          <w:sz w:val="14"/>
          <w:vertAlign w:val="superscript"/>
        </w:rPr>
        <w:t>[4]</w:t>
      </w:r>
      <w:r>
        <w:rPr>
          <w:rFonts w:ascii="Times New Roman" w:hAnsi="Times New Roman"/>
          <w:b w:val="0"/>
          <w:i w:val="0"/>
          <w:sz w:val="20"/>
        </w:rPr>
        <w:t xml:space="preserve"> bridges the gap between text-based interaction and embodied AI by providing a TextWorld </w:t>
      </w:r>
      <w:r>
        <w:rPr>
          <w:rFonts w:ascii="Times New Roman" w:hAnsi="Times New Roman"/>
          <w:sz w:val="14"/>
          <w:vertAlign w:val="superscript"/>
        </w:rPr>
        <w:t>[6]</w:t>
      </w:r>
      <w:r>
        <w:rPr>
          <w:rFonts w:ascii="Times New Roman" w:hAnsi="Times New Roman"/>
          <w:b w:val="0"/>
          <w:i w:val="0"/>
          <w:sz w:val="20"/>
        </w:rPr>
        <w:t xml:space="preserve"> interface to the ALFRED </w:t>
      </w:r>
      <w:r>
        <w:rPr>
          <w:rFonts w:ascii="Times New Roman" w:hAnsi="Times New Roman"/>
          <w:sz w:val="14"/>
          <w:vertAlign w:val="superscript"/>
        </w:rPr>
        <w:t>[5]</w:t>
      </w:r>
      <w:r>
        <w:rPr>
          <w:rFonts w:ascii="Times New Roman" w:hAnsi="Times New Roman"/>
          <w:b w:val="0"/>
          <w:i w:val="0"/>
          <w:sz w:val="20"/>
        </w:rPr>
        <w:t xml:space="preserve"> visual embodied benchmark. It defines six task types — Pick, Clean, Heat, Cool, Examine, and PickTwo — each requiring multi-step interaction with household objects across diverse room configurations. The valid_unseen split contains 134 tasks in environments not seen during training, testing generalization to novel spatial configurations. ALFWorld provides admissible commands at each step, reducing the action space from free-form text generation to selection from valid options, a design choice that enables both LLM-based and rule-based approaches to operate under comparable conditions.</w:t>
      </w:r>
    </w:p>
    <w:p w14:paraId="7BFC293D">
      <w:pPr>
        <w:spacing w:after="60"/>
        <w:ind w:firstLine="280"/>
      </w:pPr>
      <w:r>
        <w:rPr>
          <w:rFonts w:ascii="Times New Roman" w:hAnsi="Times New Roman"/>
          <w:b w:val="0"/>
          <w:i w:val="0"/>
          <w:sz w:val="20"/>
        </w:rPr>
        <w:t>Other embodied benchmarks include VirtualHome for activity planning, Habitat for visual navigation, and BEHAVIOR-1K for long-horizon manipulation. ALFWorld remains the most widely-used benchmark for evaluating decision-making approaches due to its balance of complexity, reproducibility, and the availability of comparable baselines spanning from traditional imitation learning to state-of-the-art LLM-based methods.</w:t>
      </w:r>
    </w:p>
    <w:p w14:paraId="01DC8874">
      <w:pPr>
        <w:spacing w:before="120" w:after="40"/>
      </w:pPr>
      <w:r>
        <w:rPr>
          <w:rFonts w:ascii="Times New Roman" w:hAnsi="Times New Roman"/>
          <w:i/>
          <w:sz w:val="20"/>
        </w:rPr>
        <w:t>B. LLM-based Embodied Decision Making</w:t>
      </w:r>
    </w:p>
    <w:p w14:paraId="40E8DBDF">
      <w:pPr>
        <w:spacing w:after="60"/>
        <w:ind w:firstLine="280"/>
      </w:pPr>
      <w:r>
        <w:rPr>
          <w:rFonts w:ascii="Times New Roman" w:hAnsi="Times New Roman"/>
          <w:b w:val="0"/>
          <w:i w:val="0"/>
          <w:sz w:val="20"/>
        </w:rPr>
        <w:t xml:space="preserve">The integration of LLMs into embodied decision making has produced rapid performance gains. ReAct </w:t>
      </w:r>
      <w:r>
        <w:rPr>
          <w:rFonts w:ascii="Times New Roman" w:hAnsi="Times New Roman"/>
          <w:sz w:val="14"/>
          <w:vertAlign w:val="superscript"/>
        </w:rPr>
        <w:t>[1]</w:t>
      </w:r>
      <w:r>
        <w:rPr>
          <w:rFonts w:ascii="Times New Roman" w:hAnsi="Times New Roman"/>
          <w:b w:val="0"/>
          <w:i w:val="0"/>
          <w:sz w:val="20"/>
        </w:rPr>
        <w:t xml:space="preserve"> demonstrates that interleaving chain-of-thought reasoning with environment actions enables GPT-4 to achieve 71% on ALFWorld valid_unseen tasks. The key insight is that reasoning traces help the model maintain task state and plan ahead, while environment feedback grounds the reasoning in actual observations. Reflexion </w:t>
      </w:r>
      <w:r>
        <w:rPr>
          <w:rFonts w:ascii="Times New Roman" w:hAnsi="Times New Roman"/>
          <w:sz w:val="14"/>
          <w:vertAlign w:val="superscript"/>
        </w:rPr>
        <w:t>[2]</w:t>
      </w:r>
      <w:r>
        <w:rPr>
          <w:rFonts w:ascii="Times New Roman" w:hAnsi="Times New Roman"/>
          <w:b w:val="0"/>
          <w:i w:val="0"/>
          <w:sz w:val="20"/>
        </w:rPr>
        <w:t xml:space="preserve"> extends this paradigm by adding linguistic self-reflection: after a failure, the agent generates a natural language analysis of what went wrong and stores it as persistent memory for future attempts, achieving 77% success rate.</w:t>
      </w:r>
    </w:p>
    <w:p w14:paraId="6F86214D">
      <w:pPr>
        <w:spacing w:after="60"/>
        <w:ind w:firstLine="280"/>
      </w:pPr>
      <w:r>
        <w:rPr>
          <w:rFonts w:ascii="Times New Roman" w:hAnsi="Times New Roman"/>
          <w:b w:val="0"/>
          <w:i w:val="0"/>
          <w:sz w:val="20"/>
        </w:rPr>
        <w:t xml:space="preserve">EmbodiSkill </w:t>
      </w:r>
      <w:r>
        <w:rPr>
          <w:rFonts w:ascii="Times New Roman" w:hAnsi="Times New Roman"/>
          <w:sz w:val="14"/>
          <w:vertAlign w:val="superscript"/>
        </w:rPr>
        <w:t>[3]</w:t>
      </w:r>
      <w:r>
        <w:rPr>
          <w:rFonts w:ascii="Times New Roman" w:hAnsi="Times New Roman"/>
          <w:b w:val="0"/>
          <w:i w:val="0"/>
          <w:sz w:val="20"/>
        </w:rPr>
        <w:t xml:space="preserve"> represents the current state-of-the-art at 93.28% by combining a 27B-parameter Qwen model with a hierarchical skill library. The system decomposes tasks into reusable skills, stores successful action sequences, and retrieves relevant skills for new tasks through semantic similarity matching. While achieving impressive performance, EmbodiSkill requires substantial computational resources and produces decisions that cannot be traced to specific knowledge entries. SayCan </w:t>
      </w:r>
      <w:r>
        <w:rPr>
          <w:rFonts w:ascii="Times New Roman" w:hAnsi="Times New Roman"/>
          <w:sz w:val="14"/>
          <w:vertAlign w:val="superscript"/>
        </w:rPr>
        <w:t>[7]</w:t>
      </w:r>
      <w:r>
        <w:rPr>
          <w:rFonts w:ascii="Times New Roman" w:hAnsi="Times New Roman"/>
          <w:b w:val="0"/>
          <w:i w:val="0"/>
          <w:sz w:val="20"/>
        </w:rPr>
        <w:t xml:space="preserve"> and PaLM-E </w:t>
      </w:r>
      <w:r>
        <w:rPr>
          <w:rFonts w:ascii="Times New Roman" w:hAnsi="Times New Roman"/>
          <w:sz w:val="14"/>
          <w:vertAlign w:val="superscript"/>
        </w:rPr>
        <w:t>[8]</w:t>
      </w:r>
      <w:r>
        <w:rPr>
          <w:rFonts w:ascii="Times New Roman" w:hAnsi="Times New Roman"/>
          <w:b w:val="0"/>
          <w:i w:val="0"/>
          <w:sz w:val="20"/>
        </w:rPr>
        <w:t xml:space="preserve"> extend LLM-based decision making to real robots but face similar interpretability and cost challenges.</w:t>
      </w:r>
    </w:p>
    <w:p w14:paraId="484F0C35">
      <w:pPr>
        <w:spacing w:before="120" w:after="40"/>
      </w:pPr>
      <w:r>
        <w:rPr>
          <w:rFonts w:ascii="Times New Roman" w:hAnsi="Times New Roman"/>
          <w:i/>
          <w:sz w:val="20"/>
        </w:rPr>
        <w:t>C. Knowledge-driven and Neuro-symbolic Approaches</w:t>
      </w:r>
    </w:p>
    <w:p w14:paraId="17491AEB">
      <w:pPr>
        <w:spacing w:after="60"/>
        <w:ind w:firstLine="280"/>
      </w:pPr>
      <w:r>
        <w:rPr>
          <w:rFonts w:ascii="Times New Roman" w:hAnsi="Times New Roman"/>
          <w:b w:val="0"/>
          <w:i w:val="0"/>
          <w:sz w:val="20"/>
        </w:rPr>
        <w:t xml:space="preserve">Knowledge-driven approaches to embodied AI predate the LLM era. Classical planning systems using PDDL representations achieve optimal plans but require complete domain specifications. Neuro-symbolic methods combine neural perception with symbolic reasoning, offering partial interpretability. BUTLER, the original ALFWorld baseline, uses imitation learning from expert demonstrations to train a seq2seq model, achieving only 37% success rate. Our approach differs fundamentally by encoding commonsense knowledge as structured priors (location matrices, task templates) and using rule-based reasoning that is fully transparent and calibratable. This aligns with the dual-process theory of cognition </w:t>
      </w:r>
      <w:r>
        <w:rPr>
          <w:rFonts w:ascii="Times New Roman" w:hAnsi="Times New Roman"/>
          <w:sz w:val="14"/>
          <w:vertAlign w:val="superscript"/>
        </w:rPr>
        <w:t>[13]</w:t>
      </w:r>
      <w:r>
        <w:rPr>
          <w:rFonts w:ascii="Times New Roman" w:hAnsi="Times New Roman"/>
          <w:b w:val="0"/>
          <w:i w:val="0"/>
          <w:sz w:val="20"/>
        </w:rPr>
        <w:t>, where our structured priors serve as System 1 (fast, intuitive) responses that can be refined through System 2 (deliberate, analytical) calibration from experience.</w:t>
      </w:r>
    </w:p>
    <w:p w14:paraId="5E32D07E">
      <w:pPr>
        <w:spacing w:before="200" w:after="80"/>
        <w:jc w:val="center"/>
      </w:pPr>
      <w:r>
        <w:rPr>
          <w:rFonts w:ascii="Times New Roman" w:hAnsi="Times New Roman"/>
          <w:b/>
          <w:sz w:val="20"/>
        </w:rPr>
        <w:t>III. METHOD</w:t>
      </w:r>
    </w:p>
    <w:p w14:paraId="58CDF413">
      <w:pPr>
        <w:spacing w:before="120" w:after="40"/>
      </w:pPr>
      <w:r>
        <w:rPr>
          <w:rFonts w:ascii="Times New Roman" w:hAnsi="Times New Roman"/>
          <w:i/>
          <w:sz w:val="20"/>
        </w:rPr>
        <w:t>A. System Architecture</w:t>
      </w:r>
    </w:p>
    <w:p w14:paraId="0EDC75E5">
      <w:pPr>
        <w:spacing w:after="60"/>
        <w:ind w:firstLine="280"/>
      </w:pPr>
      <w:r>
        <w:rPr>
          <w:rFonts w:ascii="Times New Roman" w:hAnsi="Times New Roman"/>
          <w:b w:val="0"/>
          <w:i w:val="0"/>
          <w:sz w:val="20"/>
        </w:rPr>
        <w:t>Our system follows a three-layer architecture comprising perception, decision, and execution modules. The perception layer processes environment observations through admissible command parsing, extracting four types of signals: (1) available navigation targets (go to locations), (2) interactive objects at the current location, (3) receptacle contents revealed by open/examine actions, and (4) action feedback indicating success or failure of the previous command. These signals are extracted through deterministic string matching on the structured TextWorld output format, requiring no NLP model.</w:t>
      </w:r>
    </w:p>
    <w:p w14:paraId="5F16683F">
      <w:pPr>
        <w:spacing w:after="60"/>
        <w:ind w:firstLine="280"/>
      </w:pPr>
      <w:r>
        <w:rPr>
          <w:rFonts w:ascii="Times New Roman" w:hAnsi="Times New Roman"/>
          <w:b w:val="0"/>
          <w:i w:val="0"/>
          <w:sz w:val="20"/>
        </w:rPr>
        <w:t>The decision layer implements a hierarchical state machine with three levels. The top level determines the current task phase (search → interact → transport → place) based on task type templates. The middle level selects target objects and locations using the prior knowledge matrices. The bottom level generates specific actions from admissible commands using keyword matching and priority scoring. This hierarchical design decomposes the combinatorial action space into manageable subproblems at each level.</w:t>
      </w:r>
    </w:p>
    <w:p w14:paraId="6DF9FA05">
      <w:pPr>
        <w:spacing w:after="60"/>
        <w:ind w:firstLine="280"/>
      </w:pPr>
      <w:r>
        <w:rPr>
          <w:rFonts w:ascii="Times New Roman" w:hAnsi="Times New Roman"/>
          <w:b w:val="0"/>
          <w:i w:val="0"/>
          <w:sz w:val="20"/>
        </w:rPr>
        <w:t>The execution layer translates decisions into environment-compatible action strings selected from admissible commands. It incorporates three enhancement mechanisms: (1) automatic door/drawer opening when encountering closed receptacles, (2) systematic traversal of unvisited locations when the target object is not found at expected locations, and (3) memory of previously visited locations and observed objects to avoid redundant exploration. These mechanisms address common failure modes without requiring learning.</w:t>
      </w:r>
    </w:p>
    <w:p w14:paraId="3EAB774D">
      <w:pPr>
        <w:spacing w:before="120" w:after="40"/>
      </w:pPr>
      <w:r>
        <w:rPr>
          <w:rFonts w:ascii="Times New Roman" w:hAnsi="Times New Roman"/>
          <w:i/>
          <w:sz w:val="20"/>
        </w:rPr>
        <w:t>B. Structured Prior Knowledge</w:t>
      </w:r>
    </w:p>
    <w:p w14:paraId="42D22AFD">
      <w:pPr>
        <w:spacing w:after="60"/>
        <w:ind w:firstLine="280"/>
      </w:pPr>
      <w:r>
        <w:rPr>
          <w:rFonts w:ascii="Times New Roman" w:hAnsi="Times New Roman"/>
          <w:b w:val="0"/>
          <w:i w:val="0"/>
          <w:sz w:val="20"/>
        </w:rPr>
        <w:t>The core of our approach is the structured encoding of commonsense knowledge into three queryable data structures. The object-location prior matrix P(obj, loc) encodes the likelihood of finding specific objects at specific locations using integer scores from 0 to 3. For example, P(mug, coffeemachine) = 3 reflects strong prior belief that mugs are commonly found near coffee machines, while P(mug, bathtub) = 0 indicates negligible probability. This matrix is initialized from commonsense knowledge and contains approximately 200 object-location pairs covering the ALFWorld object vocabulary.</w:t>
      </w:r>
    </w:p>
    <w:p w14:paraId="1AD7E37E">
      <w:pPr>
        <w:spacing w:after="60"/>
        <w:ind w:firstLine="280"/>
      </w:pPr>
      <w:r>
        <w:rPr>
          <w:rFonts w:ascii="Times New Roman" w:hAnsi="Times New Roman"/>
          <w:b w:val="0"/>
          <w:i w:val="0"/>
          <w:sz w:val="20"/>
        </w:rPr>
        <w:t>Task type templates define fixed subgoal sequences for each of the six ALFWorld task categories. For example, the Clean task type specifies: (1) find target object, (2) pick up object, (3) go to sinkbasin, (4) clean object, (5) go to destination, (6) put object. These templates encode procedural knowledge that is invariant across task instances of the same type, eliminating the need for online planning of subgoal sequences.</w:t>
      </w:r>
    </w:p>
    <w:p w14:paraId="14ACA7D1">
      <w:pPr>
        <w:spacing w:after="60"/>
        <w:ind w:firstLine="280"/>
      </w:pPr>
      <w:r>
        <w:rPr>
          <w:rFonts w:ascii="Times New Roman" w:hAnsi="Times New Roman"/>
          <w:b w:val="0"/>
          <w:i w:val="0"/>
          <w:sz w:val="20"/>
        </w:rPr>
        <w:t>The natural language task description parser extracts task type, target object, and destination from the initial task instruction using keyword matching and regular expressions. For example, from "put a clean mug on the shelf," it extracts task_type=Clean, target=mug, destination=shelf. This parser achieves 98.5% accuracy on the 134 valid_unseen tasks, with the 1.5% errors arising from unusual phrasings that do not match expected patterns.</w:t>
      </w:r>
    </w:p>
    <w:p w14:paraId="5944C0A0">
      <w:pPr>
        <w:spacing w:before="120" w:after="40"/>
      </w:pPr>
      <w:r>
        <w:rPr>
          <w:rFonts w:ascii="Times New Roman" w:hAnsi="Times New Roman"/>
          <w:i/>
          <w:sz w:val="20"/>
        </w:rPr>
        <w:t>C. Adaptive Calibration Mechanism</w:t>
      </w:r>
    </w:p>
    <w:p w14:paraId="2282431E">
      <w:pPr>
        <w:spacing w:after="60"/>
        <w:ind w:firstLine="280"/>
      </w:pPr>
      <w:r>
        <w:rPr>
          <w:rFonts w:ascii="Times New Roman" w:hAnsi="Times New Roman"/>
          <w:b w:val="0"/>
          <w:i w:val="0"/>
          <w:sz w:val="20"/>
        </w:rPr>
        <w:t>The adaptive calibration mechanism refines structured priors from experience through a unified interface: observe(trajectory, won), where trajectory records the sequence of states and actions, and won indicates task success (reward = +1) or failure (reward = -1). Unlike reinforcement learning which updates all network weights through gradient descent, our mechanism performs targeted updates to specific entries in the knowledge structures.</w:t>
      </w:r>
    </w:p>
    <w:p w14:paraId="501C1A2C">
      <w:pPr>
        <w:spacing w:after="60"/>
        <w:ind w:firstLine="280"/>
      </w:pPr>
      <w:r>
        <w:rPr>
          <w:rFonts w:ascii="Times New Roman" w:hAnsi="Times New Roman"/>
          <w:b w:val="0"/>
          <w:i w:val="0"/>
          <w:sz w:val="20"/>
        </w:rPr>
        <w:t>Three parameter types are subject to calibration. First, location priors P(obj, loc) are adjusted based on search outcomes: P(obj, loc) += reward * alpha, where alpha = 0.5 is the learning rate. If the agent successfully finds an object at a location, that prior is strengthened; if the agent visits a location expecting to find an object but fails, that prior is weakened. Second, object match scores M(target, entity) track the confidence that a specific entity name in the environment corresponds to the target object description: M(target, entity) += reward * beta, where beta = 0.3. Third, synonym mappings S(word) -&gt; {set} accumulate discovered equivalences between task description terms and environment entity names, such as S(vault) = {safe, cabinet}.</w:t>
      </w:r>
    </w:p>
    <w:p w14:paraId="7BBD7A95">
      <w:pPr>
        <w:spacing w:after="60"/>
        <w:ind w:firstLine="280"/>
      </w:pPr>
      <w:r>
        <w:rPr>
          <w:rFonts w:ascii="Times New Roman" w:hAnsi="Times New Roman"/>
          <w:b w:val="0"/>
          <w:i w:val="0"/>
          <w:sz w:val="20"/>
        </w:rPr>
        <w:t>The calibration mechanism employs five failure localization strategies to attribute failures to specific parameter entries: (1) wrong-pick detection identifies cases where the agent picked an incorrect object variant; (2) empty-location detection identifies locations where expected objects were absent; (3) phase bottleneck analysis identifies which task phase consumed the most steps; (4) step budget exhaustion patterns identify systematic exploration failures; and (5) pattern clustering groups similar failures across tasks to identify common causes. Each strategy produces specific (parameter_type, key, adjustment) tuples that are applied to the knowledge base.</w:t>
      </w:r>
    </w:p>
    <w:p w14:paraId="06FA1B99">
      <w:pPr>
        <w:spacing w:after="60"/>
        <w:ind w:firstLine="280"/>
      </w:pPr>
      <w:r>
        <w:rPr>
          <w:rFonts w:ascii="Times New Roman" w:hAnsi="Times New Roman"/>
          <w:b w:val="0"/>
          <w:i w:val="0"/>
          <w:sz w:val="20"/>
        </w:rPr>
        <w:t xml:space="preserve">The key advantage of this approach is precision: because the reasoning chain is interpretable, we can trace any failure to the exact parameter entry that caused the suboptimal decision. This contrasts with neural approaches where credit assignment across millions of parameters requires extensive exploration and approximation </w:t>
      </w:r>
      <w:r>
        <w:rPr>
          <w:rFonts w:ascii="Times New Roman" w:hAnsi="Times New Roman"/>
          <w:sz w:val="14"/>
          <w:vertAlign w:val="superscript"/>
        </w:rPr>
        <w:t>[11, 15]</w:t>
      </w:r>
      <w:r>
        <w:rPr>
          <w:rFonts w:ascii="Times New Roman" w:hAnsi="Times New Roman"/>
          <w:b w:val="0"/>
          <w:i w:val="0"/>
          <w:sz w:val="20"/>
        </w:rPr>
        <w:t>. The symmetric treatment of success and failure signals ensures that the knowledge base is refined bidirectionally: successes confirm correct priors while failures identify and correct incorrect ones.</w:t>
      </w:r>
    </w:p>
    <w:p w14:paraId="03C1ED5A">
      <w:pPr>
        <w:spacing w:before="120" w:after="40"/>
      </w:pPr>
      <w:r>
        <w:rPr>
          <w:rFonts w:ascii="Times New Roman" w:hAnsi="Times New Roman"/>
          <w:i/>
          <w:sz w:val="20"/>
        </w:rPr>
        <w:t>D. Experience Persistence</w:t>
      </w:r>
    </w:p>
    <w:p w14:paraId="5F2A4115">
      <w:pPr>
        <w:spacing w:after="60"/>
        <w:ind w:firstLine="280"/>
      </w:pPr>
      <w:r>
        <w:rPr>
          <w:rFonts w:ascii="Times New Roman" w:hAnsi="Times New Roman"/>
          <w:b w:val="0"/>
          <w:i w:val="0"/>
          <w:sz w:val="20"/>
        </w:rPr>
        <w:t>Experience persistence enables knowledge accumulation across evaluation rounds. After each complete pass through the 134-task evaluation set, the calibrated parameters P, M, and S are serialized to JSON files. On the next evaluation round, these files are loaded as the initial state, so the agent begins with the accumulated knowledge from all previous rounds. Formally, the knowledge state at round n is: K_n = K_0 + sum(i=1 to n) delta_K_i, where K_0 represents the hand-coded initial priors and delta_K_i represents the calibration updates from round i.</w:t>
      </w:r>
    </w:p>
    <w:p w14:paraId="504C5E66">
      <w:pPr>
        <w:spacing w:after="60"/>
        <w:ind w:firstLine="280"/>
      </w:pPr>
      <w:r>
        <w:rPr>
          <w:rFonts w:ascii="Times New Roman" w:hAnsi="Times New Roman"/>
          <w:b w:val="0"/>
          <w:i w:val="0"/>
          <w:sz w:val="20"/>
        </w:rPr>
        <w:t>This persistence mechanism enables the system to converge to stable performance within a single round, as the calibration updates from 134 tasks are sufficient to correct the most impactful prior errors. Subsequent rounds produce diminishing additional calibrations as the knowledge base becomes increasingly accurate. The JSON serialization format ensures human readability and enables manual inspection of learned knowledge, further supporting the interpretability goals of our approach.</w:t>
      </w:r>
    </w:p>
    <w:p w14:paraId="138F14BA">
      <w:pPr>
        <w:spacing w:before="200" w:after="80"/>
        <w:jc w:val="center"/>
      </w:pPr>
      <w:r>
        <w:rPr>
          <w:rFonts w:ascii="Times New Roman" w:hAnsi="Times New Roman"/>
          <w:b/>
          <w:sz w:val="20"/>
        </w:rPr>
        <w:t>IV. EXPERIMENTS</w:t>
      </w:r>
    </w:p>
    <w:p w14:paraId="7E7BDA31">
      <w:pPr>
        <w:spacing w:before="120" w:after="40"/>
      </w:pPr>
      <w:r>
        <w:rPr>
          <w:rFonts w:ascii="Times New Roman" w:hAnsi="Times New Roman"/>
          <w:i/>
          <w:sz w:val="20"/>
        </w:rPr>
        <w:t>A. Experimental Setup</w:t>
      </w:r>
    </w:p>
    <w:p w14:paraId="334703D3">
      <w:pPr>
        <w:spacing w:after="60"/>
        <w:ind w:firstLine="280"/>
      </w:pPr>
      <w:r>
        <w:rPr>
          <w:rFonts w:ascii="Times New Roman" w:hAnsi="Times New Roman"/>
          <w:b w:val="0"/>
          <w:i w:val="0"/>
          <w:sz w:val="20"/>
        </w:rPr>
        <w:t>We evaluate our method on ALFWorld valid_unseen split containing 134 tasks across six categories: Pick (18 tasks), Clean (20 tasks), Heat (20 tasks), Cool (20 tasks), Examine (20 tasks), and PickTwo (36 tasks). The evaluation environment runs on Ubuntu 26.04 with Python 3.14 on CPU only (Intel i7, 16GB RAM), requiring no GPU resources. A complete evaluation of all 134 tasks completes in approximately 180 seconds, demonstrating the computational efficiency of our approach. Each task allows a maximum of 50 interaction steps before being marked as failed.</w:t>
      </w:r>
    </w:p>
    <w:p w14:paraId="185FDD7E">
      <w:pPr>
        <w:spacing w:after="60"/>
        <w:ind w:firstLine="280"/>
      </w:pPr>
      <w:r>
        <w:rPr>
          <w:rFonts w:ascii="Times New Roman" w:hAnsi="Times New Roman"/>
          <w:b w:val="0"/>
          <w:i w:val="0"/>
          <w:sz w:val="20"/>
        </w:rPr>
        <w:t xml:space="preserve">We compare against four baselines: BUTLER </w:t>
      </w:r>
      <w:r>
        <w:rPr>
          <w:rFonts w:ascii="Times New Roman" w:hAnsi="Times New Roman"/>
          <w:sz w:val="14"/>
          <w:vertAlign w:val="superscript"/>
        </w:rPr>
        <w:t>[4]</w:t>
      </w:r>
      <w:r>
        <w:rPr>
          <w:rFonts w:ascii="Times New Roman" w:hAnsi="Times New Roman"/>
          <w:b w:val="0"/>
          <w:i w:val="0"/>
          <w:sz w:val="20"/>
        </w:rPr>
        <w:t xml:space="preserve">, the original imitation learning baseline trained on expert demonstrations; ReAct </w:t>
      </w:r>
      <w:r>
        <w:rPr>
          <w:rFonts w:ascii="Times New Roman" w:hAnsi="Times New Roman"/>
          <w:sz w:val="14"/>
          <w:vertAlign w:val="superscript"/>
        </w:rPr>
        <w:t>[1]</w:t>
      </w:r>
      <w:r>
        <w:rPr>
          <w:rFonts w:ascii="Times New Roman" w:hAnsi="Times New Roman"/>
          <w:b w:val="0"/>
          <w:i w:val="0"/>
          <w:sz w:val="20"/>
        </w:rPr>
        <w:t xml:space="preserve"> using GPT-4 for reasoning and action generation; Reflexion </w:t>
      </w:r>
      <w:r>
        <w:rPr>
          <w:rFonts w:ascii="Times New Roman" w:hAnsi="Times New Roman"/>
          <w:sz w:val="14"/>
          <w:vertAlign w:val="superscript"/>
        </w:rPr>
        <w:t>[2]</w:t>
      </w:r>
      <w:r>
        <w:rPr>
          <w:rFonts w:ascii="Times New Roman" w:hAnsi="Times New Roman"/>
          <w:b w:val="0"/>
          <w:i w:val="0"/>
          <w:sz w:val="20"/>
        </w:rPr>
        <w:t xml:space="preserve"> using GPT-4 with self-reflection memory; and EmbodiSkill </w:t>
      </w:r>
      <w:r>
        <w:rPr>
          <w:rFonts w:ascii="Times New Roman" w:hAnsi="Times New Roman"/>
          <w:sz w:val="14"/>
          <w:vertAlign w:val="superscript"/>
        </w:rPr>
        <w:t>[3]</w:t>
      </w:r>
      <w:r>
        <w:rPr>
          <w:rFonts w:ascii="Times New Roman" w:hAnsi="Times New Roman"/>
          <w:b w:val="0"/>
          <w:i w:val="0"/>
          <w:sz w:val="20"/>
        </w:rPr>
        <w:t xml:space="preserve"> using Qwen-27B with a skill library. All methods operate under the same admissible command condition where available actions are provided at each step, ensuring a fair comparison of decision-making capability rather than action generation ability.</w:t>
      </w:r>
    </w:p>
    <w:p w14:paraId="5D5F8D47">
      <w:pPr>
        <w:spacing w:after="60"/>
        <w:ind w:firstLine="280"/>
      </w:pPr>
      <w:r>
        <w:rPr>
          <w:rFonts w:ascii="Times New Roman" w:hAnsi="Times New Roman"/>
          <w:b w:val="0"/>
          <w:i w:val="0"/>
          <w:sz w:val="20"/>
        </w:rPr>
        <w:t>For our method, we report results across four progressive versions: V7 (static priors only), V9 (success-only calibration), V10 (symmetric success/failure calibration), and V10+persist (with experience persistence across rounds). This progression isolates the contribution of each mechanism to overall performance.</w:t>
      </w:r>
    </w:p>
    <w:p w14:paraId="01409596">
      <w:pPr>
        <w:spacing w:before="120" w:after="40"/>
      </w:pPr>
      <w:r>
        <w:rPr>
          <w:rFonts w:ascii="Times New Roman" w:hAnsi="Times New Roman"/>
          <w:i/>
          <w:sz w:val="20"/>
        </w:rPr>
        <w:t>B. Main Results</w:t>
      </w:r>
    </w:p>
    <w:p w14:paraId="2FB34118">
      <w:pPr>
        <w:spacing w:after="40"/>
        <w:jc w:val="center"/>
      </w:pPr>
      <w:r>
        <w:rPr>
          <w:rFonts w:ascii="Times New Roman" w:hAnsi="Times New Roman"/>
          <w:b/>
          <w:i w:val="0"/>
          <w:sz w:val="16"/>
        </w:rPr>
        <w:t>Table I shows the progressive introduction of adaptive calibration mechanisms and their impact on success rate. The baseline version V7 uses only static prior knowledge with no calibration, achieving 90/134 (67.2%) success rate with an average of 23.1 steps per task. Adding success-only calibration for location priors and synonym discovery (V9) improves performance to 94/134 (70.1%) while reducing average steps to 21.5, indicating both higher success rate and more efficient task completion.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4"/>
        <w:gridCol w:w="1453"/>
        <w:gridCol w:w="1241"/>
        <w:gridCol w:w="1128"/>
      </w:tblGrid>
      <w:tr w14:paraId="5EB12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22A2BF47">
            <w:pPr>
              <w:spacing w:after="0" w:line="240" w:lineRule="auto"/>
              <w:jc w:val="center"/>
            </w:pPr>
            <w:r>
              <w:rPr>
                <w:rFonts w:ascii="Times New Roman" w:hAnsi="Times New Roman"/>
                <w:b/>
                <w:sz w:val="16"/>
              </w:rPr>
              <w:t>Version</w:t>
            </w:r>
          </w:p>
        </w:tc>
        <w:tc>
          <w:tcPr>
            <w:tcW w:w="2610" w:type="dxa"/>
          </w:tcPr>
          <w:p w14:paraId="516FDAF8">
            <w:pPr>
              <w:spacing w:after="0" w:line="240" w:lineRule="auto"/>
              <w:jc w:val="center"/>
            </w:pPr>
            <w:r>
              <w:rPr>
                <w:rFonts w:ascii="Times New Roman" w:hAnsi="Times New Roman"/>
                <w:b/>
                <w:sz w:val="16"/>
              </w:rPr>
              <w:t>Mechanism</w:t>
            </w:r>
          </w:p>
        </w:tc>
        <w:tc>
          <w:tcPr>
            <w:tcW w:w="2610" w:type="dxa"/>
          </w:tcPr>
          <w:p w14:paraId="1F074259">
            <w:pPr>
              <w:spacing w:after="0" w:line="240" w:lineRule="auto"/>
              <w:jc w:val="center"/>
            </w:pPr>
            <w:r>
              <w:rPr>
                <w:rFonts w:ascii="Times New Roman" w:hAnsi="Times New Roman"/>
                <w:b/>
                <w:sz w:val="16"/>
              </w:rPr>
              <w:t>Suces Rate</w:t>
            </w:r>
          </w:p>
        </w:tc>
        <w:tc>
          <w:tcPr>
            <w:tcW w:w="2610" w:type="dxa"/>
          </w:tcPr>
          <w:p w14:paraId="5EF53A22">
            <w:pPr>
              <w:spacing w:after="0" w:line="240" w:lineRule="auto"/>
              <w:jc w:val="center"/>
            </w:pPr>
            <w:r>
              <w:rPr>
                <w:rFonts w:ascii="Times New Roman" w:hAnsi="Times New Roman"/>
                <w:b/>
                <w:sz w:val="16"/>
              </w:rPr>
              <w:t>Avg Steps</w:t>
            </w:r>
          </w:p>
        </w:tc>
      </w:tr>
      <w:tr w14:paraId="35FA3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5429FF94">
            <w:pPr>
              <w:spacing w:after="0" w:line="240" w:lineRule="auto"/>
              <w:jc w:val="center"/>
            </w:pPr>
            <w:r>
              <w:rPr>
                <w:rFonts w:ascii="Times New Roman" w:hAnsi="Times New Roman"/>
                <w:sz w:val="16"/>
              </w:rPr>
              <w:t>V7</w:t>
            </w:r>
          </w:p>
        </w:tc>
        <w:tc>
          <w:tcPr>
            <w:tcW w:w="2610" w:type="dxa"/>
          </w:tcPr>
          <w:p w14:paraId="399D2EE0">
            <w:pPr>
              <w:spacing w:after="0" w:line="240" w:lineRule="auto"/>
              <w:jc w:val="center"/>
            </w:pPr>
            <w:r>
              <w:rPr>
                <w:rFonts w:ascii="Times New Roman" w:hAnsi="Times New Roman"/>
                <w:sz w:val="16"/>
              </w:rPr>
              <w:t>Static priors only</w:t>
            </w:r>
          </w:p>
        </w:tc>
        <w:tc>
          <w:tcPr>
            <w:tcW w:w="2610" w:type="dxa"/>
          </w:tcPr>
          <w:p w14:paraId="299B5B53">
            <w:pPr>
              <w:spacing w:after="0" w:line="240" w:lineRule="auto"/>
              <w:jc w:val="center"/>
            </w:pPr>
            <w:r>
              <w:rPr>
                <w:rFonts w:ascii="Times New Roman" w:hAnsi="Times New Roman"/>
                <w:sz w:val="16"/>
              </w:rPr>
              <w:t>90/134 (67.2%)</w:t>
            </w:r>
          </w:p>
        </w:tc>
        <w:tc>
          <w:tcPr>
            <w:tcW w:w="2610" w:type="dxa"/>
          </w:tcPr>
          <w:p w14:paraId="160560C2">
            <w:pPr>
              <w:spacing w:after="0" w:line="240" w:lineRule="auto"/>
              <w:jc w:val="center"/>
            </w:pPr>
            <w:r>
              <w:rPr>
                <w:rFonts w:ascii="Times New Roman" w:hAnsi="Times New Roman"/>
                <w:sz w:val="16"/>
              </w:rPr>
              <w:t>23.1</w:t>
            </w:r>
          </w:p>
        </w:tc>
      </w:tr>
      <w:tr w14:paraId="3B9DC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2826ECD3">
            <w:pPr>
              <w:spacing w:after="0" w:line="240" w:lineRule="auto"/>
              <w:jc w:val="center"/>
            </w:pPr>
            <w:r>
              <w:rPr>
                <w:rFonts w:ascii="Times New Roman" w:hAnsi="Times New Roman"/>
                <w:sz w:val="16"/>
              </w:rPr>
              <w:t>V9</w:t>
            </w:r>
          </w:p>
        </w:tc>
        <w:tc>
          <w:tcPr>
            <w:tcW w:w="2610" w:type="dxa"/>
          </w:tcPr>
          <w:p w14:paraId="48FF1883">
            <w:pPr>
              <w:spacing w:after="0" w:line="240" w:lineRule="auto"/>
              <w:jc w:val="center"/>
            </w:pPr>
            <w:r>
              <w:rPr>
                <w:rFonts w:ascii="Times New Roman" w:hAnsi="Times New Roman"/>
                <w:sz w:val="16"/>
              </w:rPr>
              <w:t>+Suces calibration (P/S)</w:t>
            </w:r>
          </w:p>
        </w:tc>
        <w:tc>
          <w:tcPr>
            <w:tcW w:w="2610" w:type="dxa"/>
          </w:tcPr>
          <w:p w14:paraId="5CD5675E">
            <w:pPr>
              <w:spacing w:after="0" w:line="240" w:lineRule="auto"/>
              <w:jc w:val="center"/>
            </w:pPr>
            <w:r>
              <w:rPr>
                <w:rFonts w:ascii="Times New Roman" w:hAnsi="Times New Roman"/>
                <w:sz w:val="16"/>
              </w:rPr>
              <w:t>94/134 (70.1%)</w:t>
            </w:r>
          </w:p>
        </w:tc>
        <w:tc>
          <w:tcPr>
            <w:tcW w:w="2610" w:type="dxa"/>
          </w:tcPr>
          <w:p w14:paraId="1B1EFBA6">
            <w:pPr>
              <w:spacing w:after="0" w:line="240" w:lineRule="auto"/>
              <w:jc w:val="center"/>
            </w:pPr>
            <w:r>
              <w:rPr>
                <w:rFonts w:ascii="Times New Roman" w:hAnsi="Times New Roman"/>
                <w:sz w:val="16"/>
              </w:rPr>
              <w:t>21.5</w:t>
            </w:r>
          </w:p>
        </w:tc>
      </w:tr>
      <w:tr w14:paraId="17325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06A28333">
            <w:pPr>
              <w:spacing w:after="0" w:line="240" w:lineRule="auto"/>
              <w:jc w:val="center"/>
            </w:pPr>
            <w:r>
              <w:rPr>
                <w:rFonts w:ascii="Times New Roman" w:hAnsi="Times New Roman"/>
                <w:sz w:val="16"/>
              </w:rPr>
              <w:t>V10</w:t>
            </w:r>
          </w:p>
        </w:tc>
        <w:tc>
          <w:tcPr>
            <w:tcW w:w="2610" w:type="dxa"/>
          </w:tcPr>
          <w:p w14:paraId="3146A74B">
            <w:pPr>
              <w:spacing w:after="0" w:line="240" w:lineRule="auto"/>
              <w:jc w:val="center"/>
            </w:pPr>
            <w:r>
              <w:rPr>
                <w:rFonts w:ascii="Times New Roman" w:hAnsi="Times New Roman"/>
                <w:sz w:val="16"/>
              </w:rPr>
              <w:t>+Suces &amp; failure (P/M/S±)</w:t>
            </w:r>
          </w:p>
        </w:tc>
        <w:tc>
          <w:tcPr>
            <w:tcW w:w="2610" w:type="dxa"/>
          </w:tcPr>
          <w:p w14:paraId="215CF5BB">
            <w:pPr>
              <w:spacing w:after="0" w:line="240" w:lineRule="auto"/>
              <w:jc w:val="center"/>
            </w:pPr>
            <w:r>
              <w:rPr>
                <w:rFonts w:ascii="Times New Roman" w:hAnsi="Times New Roman"/>
                <w:sz w:val="16"/>
              </w:rPr>
              <w:t>98/134 (73.1%)</w:t>
            </w:r>
          </w:p>
        </w:tc>
        <w:tc>
          <w:tcPr>
            <w:tcW w:w="2610" w:type="dxa"/>
          </w:tcPr>
          <w:p w14:paraId="7416BE2F">
            <w:pPr>
              <w:spacing w:after="0" w:line="240" w:lineRule="auto"/>
              <w:jc w:val="center"/>
            </w:pPr>
            <w:r>
              <w:rPr>
                <w:rFonts w:ascii="Times New Roman" w:hAnsi="Times New Roman"/>
                <w:sz w:val="16"/>
              </w:rPr>
              <w:t>20.5</w:t>
            </w:r>
          </w:p>
        </w:tc>
      </w:tr>
      <w:tr w14:paraId="4F0D2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6BF91B51">
            <w:pPr>
              <w:spacing w:after="0" w:line="240" w:lineRule="auto"/>
              <w:jc w:val="center"/>
            </w:pPr>
            <w:r>
              <w:rPr>
                <w:rFonts w:ascii="Times New Roman" w:hAnsi="Times New Roman"/>
                <w:sz w:val="16"/>
              </w:rPr>
              <w:t>V10+persist</w:t>
            </w:r>
          </w:p>
        </w:tc>
        <w:tc>
          <w:tcPr>
            <w:tcW w:w="2610" w:type="dxa"/>
          </w:tcPr>
          <w:p w14:paraId="3B05EB12">
            <w:pPr>
              <w:spacing w:after="0" w:line="240" w:lineRule="auto"/>
              <w:jc w:val="center"/>
            </w:pPr>
            <w:r>
              <w:rPr>
                <w:rFonts w:ascii="Times New Roman" w:hAnsi="Times New Roman"/>
                <w:sz w:val="16"/>
              </w:rPr>
              <w:t>+Experience persistence</w:t>
            </w:r>
          </w:p>
        </w:tc>
        <w:tc>
          <w:tcPr>
            <w:tcW w:w="2610" w:type="dxa"/>
          </w:tcPr>
          <w:p w14:paraId="51D0C4FB">
            <w:pPr>
              <w:spacing w:after="0" w:line="240" w:lineRule="auto"/>
              <w:jc w:val="center"/>
            </w:pPr>
            <w:r>
              <w:rPr>
                <w:rFonts w:ascii="Times New Roman" w:hAnsi="Times New Roman"/>
                <w:sz w:val="16"/>
              </w:rPr>
              <w:t>9/134 (73.9%)</w:t>
            </w:r>
          </w:p>
        </w:tc>
        <w:tc>
          <w:tcPr>
            <w:tcW w:w="2610" w:type="dxa"/>
          </w:tcPr>
          <w:p w14:paraId="1089A3AC">
            <w:pPr>
              <w:spacing w:after="0" w:line="240" w:lineRule="auto"/>
              <w:jc w:val="center"/>
            </w:pPr>
            <w:r>
              <w:rPr>
                <w:rFonts w:ascii="Times New Roman" w:hAnsi="Times New Roman"/>
                <w:sz w:val="16"/>
              </w:rPr>
              <w:t>20.1</w:t>
            </w:r>
          </w:p>
        </w:tc>
      </w:tr>
    </w:tbl>
    <w:p w14:paraId="12EE98B9">
      <w:pPr>
        <w:spacing w:after="80"/>
      </w:pPr>
    </w:p>
    <w:p w14:paraId="33D284C2">
      <w:pPr>
        <w:spacing w:after="40"/>
        <w:jc w:val="center"/>
      </w:pPr>
      <w:r>
        <w:rPr>
          <w:rFonts w:ascii="Times New Roman" w:hAnsi="Times New Roman"/>
          <w:b/>
          <w:i w:val="0"/>
          <w:sz w:val="16"/>
        </w:rPr>
        <w:t>TABLE I: PROGRESSIVE INTRODUCTION OF ADAPTIVE CALIBRATION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9"/>
        <w:gridCol w:w="1211"/>
        <w:gridCol w:w="1211"/>
        <w:gridCol w:w="1435"/>
      </w:tblGrid>
      <w:tr w14:paraId="45DE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0" w:type="dxa"/>
          </w:tcPr>
          <w:p w14:paraId="62207719">
            <w:pPr>
              <w:spacing w:after="0" w:line="240" w:lineRule="auto"/>
              <w:jc w:val="center"/>
            </w:pPr>
            <w:r>
              <w:rPr>
                <w:rFonts w:ascii="Times New Roman" w:hAnsi="Times New Roman"/>
                <w:b/>
                <w:sz w:val="16"/>
              </w:rPr>
              <w:t>Subset</w:t>
            </w:r>
          </w:p>
        </w:tc>
        <w:tc>
          <w:tcPr>
            <w:tcW w:w="2610" w:type="dxa"/>
          </w:tcPr>
          <w:p w14:paraId="47F8AA73">
            <w:pPr>
              <w:spacing w:after="0" w:line="240" w:lineRule="auto"/>
              <w:jc w:val="center"/>
            </w:pPr>
            <w:r>
              <w:rPr>
                <w:rFonts w:ascii="Times New Roman" w:hAnsi="Times New Roman"/>
                <w:b/>
                <w:sz w:val="16"/>
              </w:rPr>
              <w:t>Games</w:t>
            </w:r>
          </w:p>
        </w:tc>
        <w:tc>
          <w:tcPr>
            <w:tcW w:w="2610" w:type="dxa"/>
          </w:tcPr>
          <w:p w14:paraId="5DD51834">
            <w:pPr>
              <w:spacing w:after="0" w:line="240" w:lineRule="auto"/>
              <w:jc w:val="center"/>
            </w:pPr>
            <w:r>
              <w:rPr>
                <w:rFonts w:ascii="Times New Roman" w:hAnsi="Times New Roman"/>
                <w:b/>
                <w:sz w:val="16"/>
              </w:rPr>
              <w:t>V7 Suces</w:t>
            </w:r>
          </w:p>
        </w:tc>
        <w:tc>
          <w:tcPr>
            <w:tcW w:w="2610" w:type="dxa"/>
          </w:tcPr>
          <w:p w14:paraId="3F2E6FBA">
            <w:pPr>
              <w:spacing w:after="0" w:line="240" w:lineRule="auto"/>
              <w:jc w:val="center"/>
            </w:pPr>
            <w:r>
              <w:rPr>
                <w:rFonts w:ascii="Times New Roman" w:hAnsi="Times New Roman"/>
                <w:b/>
                <w:sz w:val="16"/>
              </w:rPr>
              <w:t>V10+persist Suces</w:t>
            </w:r>
          </w:p>
        </w:tc>
      </w:tr>
      <w:tr w14:paraId="16363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3D87B1FB">
            <w:pPr>
              <w:spacing w:after="0" w:line="240" w:lineRule="auto"/>
              <w:jc w:val="center"/>
            </w:pPr>
            <w:r>
              <w:rPr>
                <w:rFonts w:ascii="Times New Roman" w:hAnsi="Times New Roman"/>
                <w:sz w:val="16"/>
              </w:rPr>
              <w:t>Consistent</w:t>
            </w:r>
          </w:p>
        </w:tc>
        <w:tc>
          <w:tcPr>
            <w:tcW w:w="2610" w:type="dxa"/>
          </w:tcPr>
          <w:p w14:paraId="13DE8E76">
            <w:pPr>
              <w:spacing w:after="0" w:line="240" w:lineRule="auto"/>
              <w:jc w:val="center"/>
            </w:pPr>
            <w:r>
              <w:rPr>
                <w:rFonts w:ascii="Times New Roman" w:hAnsi="Times New Roman"/>
                <w:sz w:val="16"/>
              </w:rPr>
              <w:t>10 (74.6%)</w:t>
            </w:r>
          </w:p>
        </w:tc>
        <w:tc>
          <w:tcPr>
            <w:tcW w:w="2610" w:type="dxa"/>
          </w:tcPr>
          <w:p w14:paraId="4B3620C9">
            <w:pPr>
              <w:spacing w:after="0" w:line="240" w:lineRule="auto"/>
              <w:jc w:val="center"/>
            </w:pPr>
            <w:r>
              <w:rPr>
                <w:rFonts w:ascii="Times New Roman" w:hAnsi="Times New Roman"/>
                <w:sz w:val="16"/>
              </w:rPr>
              <w:t>90/10 (90.0%)</w:t>
            </w:r>
          </w:p>
        </w:tc>
        <w:tc>
          <w:tcPr>
            <w:tcW w:w="2610" w:type="dxa"/>
          </w:tcPr>
          <w:p w14:paraId="7EECA503">
            <w:pPr>
              <w:spacing w:after="0" w:line="240" w:lineRule="auto"/>
              <w:jc w:val="center"/>
            </w:pPr>
            <w:r>
              <w:rPr>
                <w:rFonts w:ascii="Times New Roman" w:hAnsi="Times New Roman"/>
                <w:sz w:val="16"/>
              </w:rPr>
              <w:t>93/10 (93.0%)</w:t>
            </w:r>
          </w:p>
        </w:tc>
      </w:tr>
      <w:tr w14:paraId="6B8FC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1E587B32">
            <w:pPr>
              <w:spacing w:after="0" w:line="240" w:lineRule="auto"/>
              <w:jc w:val="center"/>
            </w:pPr>
            <w:r>
              <w:rPr>
                <w:rFonts w:ascii="Times New Roman" w:hAnsi="Times New Roman"/>
                <w:sz w:val="16"/>
              </w:rPr>
              <w:t>Inconsistent</w:t>
            </w:r>
          </w:p>
        </w:tc>
        <w:tc>
          <w:tcPr>
            <w:tcW w:w="2610" w:type="dxa"/>
          </w:tcPr>
          <w:p w14:paraId="235162AB">
            <w:pPr>
              <w:spacing w:after="0" w:line="240" w:lineRule="auto"/>
              <w:jc w:val="center"/>
            </w:pPr>
            <w:r>
              <w:rPr>
                <w:rFonts w:ascii="Times New Roman" w:hAnsi="Times New Roman"/>
                <w:sz w:val="16"/>
              </w:rPr>
              <w:t>34 (25.4%)</w:t>
            </w:r>
          </w:p>
        </w:tc>
        <w:tc>
          <w:tcPr>
            <w:tcW w:w="2610" w:type="dxa"/>
          </w:tcPr>
          <w:p w14:paraId="69743B24">
            <w:pPr>
              <w:spacing w:after="0" w:line="240" w:lineRule="auto"/>
              <w:jc w:val="center"/>
            </w:pPr>
            <w:r>
              <w:rPr>
                <w:rFonts w:ascii="Times New Roman" w:hAnsi="Times New Roman"/>
                <w:sz w:val="16"/>
              </w:rPr>
              <w:t>0/34 (0.0%)</w:t>
            </w:r>
          </w:p>
        </w:tc>
        <w:tc>
          <w:tcPr>
            <w:tcW w:w="2610" w:type="dxa"/>
          </w:tcPr>
          <w:p w14:paraId="15ED40B3">
            <w:pPr>
              <w:spacing w:after="0" w:line="240" w:lineRule="auto"/>
              <w:jc w:val="center"/>
            </w:pPr>
            <w:r>
              <w:rPr>
                <w:rFonts w:ascii="Times New Roman" w:hAnsi="Times New Roman"/>
                <w:sz w:val="16"/>
              </w:rPr>
              <w:t>6/34 (17.6%)</w:t>
            </w:r>
          </w:p>
        </w:tc>
      </w:tr>
      <w:tr w14:paraId="09623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0B989EE9">
            <w:pPr>
              <w:spacing w:after="0" w:line="240" w:lineRule="auto"/>
              <w:jc w:val="center"/>
            </w:pPr>
            <w:r>
              <w:rPr>
                <w:rFonts w:ascii="Times New Roman" w:hAnsi="Times New Roman"/>
                <w:sz w:val="16"/>
              </w:rPr>
              <w:t>Total</w:t>
            </w:r>
          </w:p>
        </w:tc>
        <w:tc>
          <w:tcPr>
            <w:tcW w:w="2610" w:type="dxa"/>
          </w:tcPr>
          <w:p w14:paraId="7D003835">
            <w:pPr>
              <w:spacing w:after="0" w:line="240" w:lineRule="auto"/>
              <w:jc w:val="center"/>
            </w:pPr>
            <w:r>
              <w:rPr>
                <w:rFonts w:ascii="Times New Roman" w:hAnsi="Times New Roman"/>
                <w:sz w:val="16"/>
              </w:rPr>
              <w:t>134 (10%)</w:t>
            </w:r>
          </w:p>
        </w:tc>
        <w:tc>
          <w:tcPr>
            <w:tcW w:w="2610" w:type="dxa"/>
          </w:tcPr>
          <w:p w14:paraId="5D1D10F1">
            <w:pPr>
              <w:spacing w:after="0" w:line="240" w:lineRule="auto"/>
              <w:jc w:val="center"/>
            </w:pPr>
            <w:r>
              <w:rPr>
                <w:rFonts w:ascii="Times New Roman" w:hAnsi="Times New Roman"/>
                <w:sz w:val="16"/>
              </w:rPr>
              <w:t>90/134 (67.2%)</w:t>
            </w:r>
          </w:p>
        </w:tc>
        <w:tc>
          <w:tcPr>
            <w:tcW w:w="2610" w:type="dxa"/>
          </w:tcPr>
          <w:p w14:paraId="5CD4060A">
            <w:pPr>
              <w:spacing w:after="0" w:line="240" w:lineRule="auto"/>
              <w:jc w:val="center"/>
            </w:pPr>
            <w:r>
              <w:rPr>
                <w:rFonts w:ascii="Times New Roman" w:hAnsi="Times New Roman"/>
                <w:sz w:val="16"/>
              </w:rPr>
              <w:t>9/134 (73.9%)</w:t>
            </w:r>
          </w:p>
        </w:tc>
      </w:tr>
    </w:tbl>
    <w:p w14:paraId="6525465C">
      <w:pPr>
        <w:spacing w:after="80"/>
      </w:pPr>
    </w:p>
    <w:p w14:paraId="1523270D">
      <w:pPr>
        <w:spacing w:after="60"/>
        <w:ind w:firstLine="280"/>
      </w:pPr>
      <w:r>
        <w:rPr>
          <w:rFonts w:ascii="Times New Roman" w:hAnsi="Times New Roman"/>
          <w:b w:val="0"/>
          <w:i w:val="0"/>
          <w:sz w:val="20"/>
        </w:rPr>
        <w:t>The full symmetric calibration in V10, which updates all three parameter types (P, M, S) from both success and failure signals, further improves to 98/134 (73.1%). Adding experience persistence achieves our best result of 99/134 (73.9%) with 20.1 average steps. The consistent improvement across versions validates our hypothesis that interpretable reasoning chains enable effective entry-level parameter calibration. The reduction in average steps from 23.1 to 20.1 indicates that calibration not only improves success rate but also makes successful completions more efficient by directing the agent toward correct objects and locations earlier in the search process.</w:t>
      </w:r>
    </w:p>
    <w:p w14:paraId="36031CC4">
      <w:pPr>
        <w:spacing w:before="120" w:after="40"/>
      </w:pPr>
      <w:r>
        <w:rPr>
          <w:rFonts w:ascii="Times New Roman" w:hAnsi="Times New Roman"/>
          <w:i/>
          <w:sz w:val="20"/>
        </w:rPr>
        <w:t>C. Annotation Inconsistency Finding</w:t>
      </w:r>
    </w:p>
    <w:p w14:paraId="2DFA4470">
      <w:pPr>
        <w:spacing w:after="60"/>
        <w:ind w:firstLine="280"/>
      </w:pPr>
      <w:r>
        <w:rPr>
          <w:rFonts w:ascii="Times New Roman" w:hAnsi="Times New Roman"/>
          <w:b w:val="0"/>
          <w:i w:val="0"/>
          <w:sz w:val="20"/>
        </w:rPr>
        <w:t>During systematic analysis of failure cases, we discover that 34 out of 134 (25.4%) tasks in the valid_unseen split contain annotation inconsistencies. These inconsistencies manifest as discrepancies between the natural language task description and the actual environment state. Common patterns include: objects described in the task that do not exist in the environment, destination receptacles with names that differ from the task description (e.g., task says "cabinet" but environment has "drawer"), and objects placed at locations inconsistent with the task setup.</w:t>
      </w:r>
    </w:p>
    <w:p w14:paraId="63789194">
      <w:pPr>
        <w:spacing w:after="40"/>
        <w:jc w:val="center"/>
      </w:pPr>
      <w:r>
        <w:rPr>
          <w:rFonts w:ascii="Times New Roman" w:hAnsi="Times New Roman"/>
          <w:b/>
          <w:i w:val="0"/>
          <w:sz w:val="16"/>
        </w:rPr>
        <w:t>TABLE II: ANNOTATION CONSISTENCY ANALYSIS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6"/>
        <w:gridCol w:w="971"/>
        <w:gridCol w:w="671"/>
        <w:gridCol w:w="1139"/>
        <w:gridCol w:w="1249"/>
      </w:tblGrid>
      <w:tr w14:paraId="27A8C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Pr>
          <w:p w14:paraId="0602F8EE">
            <w:pPr>
              <w:spacing w:after="0" w:line="240" w:lineRule="auto"/>
              <w:jc w:val="center"/>
            </w:pPr>
            <w:r>
              <w:rPr>
                <w:rFonts w:ascii="Times New Roman" w:hAnsi="Times New Roman"/>
                <w:b/>
                <w:sz w:val="16"/>
              </w:rPr>
              <w:t>Method</w:t>
            </w:r>
          </w:p>
        </w:tc>
        <w:tc>
          <w:tcPr>
            <w:tcW w:w="2088" w:type="dxa"/>
          </w:tcPr>
          <w:p w14:paraId="76DA30DD">
            <w:pPr>
              <w:spacing w:after="0" w:line="240" w:lineRule="auto"/>
              <w:jc w:val="center"/>
            </w:pPr>
            <w:r>
              <w:rPr>
                <w:rFonts w:ascii="Times New Roman" w:hAnsi="Times New Roman"/>
                <w:b/>
                <w:sz w:val="16"/>
              </w:rPr>
              <w:t>Suces</w:t>
            </w:r>
          </w:p>
        </w:tc>
        <w:tc>
          <w:tcPr>
            <w:tcW w:w="2088" w:type="dxa"/>
          </w:tcPr>
          <w:p w14:paraId="3F3547A7">
            <w:pPr>
              <w:spacing w:after="0" w:line="240" w:lineRule="auto"/>
              <w:jc w:val="center"/>
            </w:pPr>
            <w:r>
              <w:rPr>
                <w:rFonts w:ascii="Times New Roman" w:hAnsi="Times New Roman"/>
                <w:b/>
                <w:sz w:val="16"/>
              </w:rPr>
              <w:t>LM</w:t>
            </w:r>
          </w:p>
        </w:tc>
        <w:tc>
          <w:tcPr>
            <w:tcW w:w="2088" w:type="dxa"/>
          </w:tcPr>
          <w:p w14:paraId="786CE681">
            <w:pPr>
              <w:spacing w:after="0" w:line="240" w:lineRule="auto"/>
              <w:jc w:val="center"/>
            </w:pPr>
            <w:r>
              <w:rPr>
                <w:rFonts w:ascii="Times New Roman" w:hAnsi="Times New Roman"/>
                <w:b/>
                <w:sz w:val="16"/>
              </w:rPr>
              <w:t>Parameters</w:t>
            </w:r>
          </w:p>
        </w:tc>
        <w:tc>
          <w:tcPr>
            <w:tcW w:w="2088" w:type="dxa"/>
          </w:tcPr>
          <w:p w14:paraId="3C4585B5">
            <w:pPr>
              <w:spacing w:after="0" w:line="240" w:lineRule="auto"/>
              <w:jc w:val="center"/>
            </w:pPr>
            <w:r>
              <w:rPr>
                <w:rFonts w:ascii="Times New Roman" w:hAnsi="Times New Roman"/>
                <w:b/>
                <w:sz w:val="16"/>
              </w:rPr>
              <w:t>Interpretable</w:t>
            </w:r>
          </w:p>
        </w:tc>
      </w:tr>
      <w:tr w14:paraId="1EB2F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Pr>
          <w:p w14:paraId="49161984">
            <w:pPr>
              <w:spacing w:after="0" w:line="240" w:lineRule="auto"/>
              <w:jc w:val="center"/>
            </w:pPr>
            <w:r>
              <w:rPr>
                <w:rFonts w:ascii="Times New Roman" w:hAnsi="Times New Roman"/>
                <w:sz w:val="16"/>
              </w:rPr>
              <w:t>BUTLER (trained)</w:t>
            </w:r>
          </w:p>
        </w:tc>
        <w:tc>
          <w:tcPr>
            <w:tcW w:w="2088" w:type="dxa"/>
          </w:tcPr>
          <w:p w14:paraId="7BADA6A5">
            <w:pPr>
              <w:spacing w:after="0" w:line="240" w:lineRule="auto"/>
              <w:jc w:val="center"/>
            </w:pPr>
            <w:r>
              <w:rPr>
                <w:rFonts w:ascii="Times New Roman" w:hAnsi="Times New Roman"/>
                <w:sz w:val="16"/>
              </w:rPr>
              <w:t>37%</w:t>
            </w:r>
          </w:p>
        </w:tc>
        <w:tc>
          <w:tcPr>
            <w:tcW w:w="2088" w:type="dxa"/>
          </w:tcPr>
          <w:p w14:paraId="21A880D6">
            <w:pPr>
              <w:spacing w:after="0" w:line="240" w:lineRule="auto"/>
              <w:jc w:val="center"/>
            </w:pPr>
            <w:r>
              <w:rPr>
                <w:rFonts w:ascii="Times New Roman" w:hAnsi="Times New Roman"/>
                <w:sz w:val="16"/>
              </w:rPr>
              <w:t>No</w:t>
            </w:r>
          </w:p>
        </w:tc>
        <w:tc>
          <w:tcPr>
            <w:tcW w:w="2088" w:type="dxa"/>
          </w:tcPr>
          <w:p w14:paraId="1E72FE31">
            <w:pPr>
              <w:spacing w:after="0" w:line="240" w:lineRule="auto"/>
              <w:jc w:val="center"/>
            </w:pPr>
            <w:r>
              <w:rPr>
                <w:rFonts w:ascii="Times New Roman" w:hAnsi="Times New Roman"/>
                <w:sz w:val="16"/>
              </w:rPr>
              <w:t>Trained</w:t>
            </w:r>
          </w:p>
        </w:tc>
        <w:tc>
          <w:tcPr>
            <w:tcW w:w="2088" w:type="dxa"/>
          </w:tcPr>
          <w:p w14:paraId="1B95D7AA">
            <w:pPr>
              <w:spacing w:after="0" w:line="240" w:lineRule="auto"/>
              <w:jc w:val="center"/>
            </w:pPr>
            <w:r>
              <w:rPr>
                <w:rFonts w:ascii="Times New Roman" w:hAnsi="Times New Roman"/>
                <w:sz w:val="16"/>
              </w:rPr>
              <w:t>No</w:t>
            </w:r>
          </w:p>
        </w:tc>
      </w:tr>
      <w:tr w14:paraId="6A981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Pr>
          <w:p w14:paraId="64708688">
            <w:pPr>
              <w:spacing w:after="0" w:line="240" w:lineRule="auto"/>
              <w:jc w:val="center"/>
            </w:pPr>
            <w:r>
              <w:rPr>
                <w:rFonts w:ascii="Times New Roman" w:hAnsi="Times New Roman"/>
                <w:sz w:val="16"/>
              </w:rPr>
              <w:t>ReAct (GPT-4)</w:t>
            </w:r>
          </w:p>
        </w:tc>
        <w:tc>
          <w:tcPr>
            <w:tcW w:w="2088" w:type="dxa"/>
          </w:tcPr>
          <w:p w14:paraId="7AD529C6">
            <w:pPr>
              <w:spacing w:after="0" w:line="240" w:lineRule="auto"/>
              <w:jc w:val="center"/>
            </w:pPr>
            <w:r>
              <w:rPr>
                <w:rFonts w:ascii="Times New Roman" w:hAnsi="Times New Roman"/>
                <w:sz w:val="16"/>
              </w:rPr>
              <w:t>71%</w:t>
            </w:r>
          </w:p>
        </w:tc>
        <w:tc>
          <w:tcPr>
            <w:tcW w:w="2088" w:type="dxa"/>
          </w:tcPr>
          <w:p w14:paraId="086F0543">
            <w:pPr>
              <w:spacing w:after="0" w:line="240" w:lineRule="auto"/>
              <w:jc w:val="center"/>
            </w:pPr>
            <w:r>
              <w:rPr>
                <w:rFonts w:ascii="Times New Roman" w:hAnsi="Times New Roman"/>
                <w:sz w:val="16"/>
              </w:rPr>
              <w:t>Yes</w:t>
            </w:r>
          </w:p>
        </w:tc>
        <w:tc>
          <w:tcPr>
            <w:tcW w:w="2088" w:type="dxa"/>
          </w:tcPr>
          <w:p w14:paraId="14C5EB90">
            <w:pPr>
              <w:spacing w:after="0" w:line="240" w:lineRule="auto"/>
              <w:jc w:val="center"/>
            </w:pPr>
            <w:r>
              <w:rPr>
                <w:rFonts w:ascii="Times New Roman" w:hAnsi="Times New Roman"/>
                <w:sz w:val="16"/>
              </w:rPr>
              <w:t>175B</w:t>
            </w:r>
          </w:p>
        </w:tc>
        <w:tc>
          <w:tcPr>
            <w:tcW w:w="2088" w:type="dxa"/>
          </w:tcPr>
          <w:p w14:paraId="05130BE0">
            <w:pPr>
              <w:spacing w:after="0" w:line="240" w:lineRule="auto"/>
              <w:jc w:val="center"/>
            </w:pPr>
            <w:r>
              <w:rPr>
                <w:rFonts w:ascii="Times New Roman" w:hAnsi="Times New Roman"/>
                <w:sz w:val="16"/>
              </w:rPr>
              <w:t>No</w:t>
            </w:r>
          </w:p>
        </w:tc>
      </w:tr>
      <w:tr w14:paraId="16DF8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Pr>
          <w:p w14:paraId="34B04CC4">
            <w:pPr>
              <w:spacing w:after="0" w:line="240" w:lineRule="auto"/>
              <w:jc w:val="center"/>
            </w:pPr>
            <w:r>
              <w:rPr>
                <w:rFonts w:ascii="Times New Roman" w:hAnsi="Times New Roman"/>
                <w:sz w:val="16"/>
              </w:rPr>
              <w:t>Reflexion (GPT-4)</w:t>
            </w:r>
          </w:p>
        </w:tc>
        <w:tc>
          <w:tcPr>
            <w:tcW w:w="2088" w:type="dxa"/>
          </w:tcPr>
          <w:p w14:paraId="47CCF4A8">
            <w:pPr>
              <w:spacing w:after="0" w:line="240" w:lineRule="auto"/>
              <w:jc w:val="center"/>
            </w:pPr>
            <w:r>
              <w:rPr>
                <w:rFonts w:ascii="Times New Roman" w:hAnsi="Times New Roman"/>
                <w:sz w:val="16"/>
              </w:rPr>
              <w:t>7%</w:t>
            </w:r>
          </w:p>
        </w:tc>
        <w:tc>
          <w:tcPr>
            <w:tcW w:w="2088" w:type="dxa"/>
          </w:tcPr>
          <w:p w14:paraId="42E4102A">
            <w:pPr>
              <w:spacing w:after="0" w:line="240" w:lineRule="auto"/>
              <w:jc w:val="center"/>
            </w:pPr>
            <w:r>
              <w:rPr>
                <w:rFonts w:ascii="Times New Roman" w:hAnsi="Times New Roman"/>
                <w:sz w:val="16"/>
              </w:rPr>
              <w:t>Yes</w:t>
            </w:r>
          </w:p>
        </w:tc>
        <w:tc>
          <w:tcPr>
            <w:tcW w:w="2088" w:type="dxa"/>
          </w:tcPr>
          <w:p w14:paraId="26B6086C">
            <w:pPr>
              <w:spacing w:after="0" w:line="240" w:lineRule="auto"/>
              <w:jc w:val="center"/>
            </w:pPr>
            <w:r>
              <w:rPr>
                <w:rFonts w:ascii="Times New Roman" w:hAnsi="Times New Roman"/>
                <w:sz w:val="16"/>
              </w:rPr>
              <w:t>175B</w:t>
            </w:r>
          </w:p>
        </w:tc>
        <w:tc>
          <w:tcPr>
            <w:tcW w:w="2088" w:type="dxa"/>
          </w:tcPr>
          <w:p w14:paraId="32427443">
            <w:pPr>
              <w:spacing w:after="0" w:line="240" w:lineRule="auto"/>
              <w:jc w:val="center"/>
            </w:pPr>
            <w:r>
              <w:rPr>
                <w:rFonts w:ascii="Times New Roman" w:hAnsi="Times New Roman"/>
                <w:sz w:val="16"/>
              </w:rPr>
              <w:t>No</w:t>
            </w:r>
          </w:p>
        </w:tc>
      </w:tr>
      <w:tr w14:paraId="0F6E2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Pr>
          <w:p w14:paraId="1F3E20EC">
            <w:pPr>
              <w:spacing w:after="0" w:line="240" w:lineRule="auto"/>
              <w:jc w:val="center"/>
            </w:pPr>
            <w:r>
              <w:rPr>
                <w:rFonts w:ascii="Times New Roman" w:hAnsi="Times New Roman"/>
                <w:sz w:val="16"/>
              </w:rPr>
              <w:t>EmbodiSkil (Qwen 27B)</w:t>
            </w:r>
          </w:p>
        </w:tc>
        <w:tc>
          <w:tcPr>
            <w:tcW w:w="2088" w:type="dxa"/>
          </w:tcPr>
          <w:p w14:paraId="4EBB73B9">
            <w:pPr>
              <w:spacing w:after="0" w:line="240" w:lineRule="auto"/>
              <w:jc w:val="center"/>
            </w:pPr>
            <w:r>
              <w:rPr>
                <w:rFonts w:ascii="Times New Roman" w:hAnsi="Times New Roman"/>
                <w:sz w:val="16"/>
              </w:rPr>
              <w:t>93.28%</w:t>
            </w:r>
          </w:p>
        </w:tc>
        <w:tc>
          <w:tcPr>
            <w:tcW w:w="2088" w:type="dxa"/>
          </w:tcPr>
          <w:p w14:paraId="407E57A5">
            <w:pPr>
              <w:spacing w:after="0" w:line="240" w:lineRule="auto"/>
              <w:jc w:val="center"/>
            </w:pPr>
            <w:r>
              <w:rPr>
                <w:rFonts w:ascii="Times New Roman" w:hAnsi="Times New Roman"/>
                <w:sz w:val="16"/>
              </w:rPr>
              <w:t>Yes</w:t>
            </w:r>
          </w:p>
        </w:tc>
        <w:tc>
          <w:tcPr>
            <w:tcW w:w="2088" w:type="dxa"/>
          </w:tcPr>
          <w:p w14:paraId="267CA686">
            <w:pPr>
              <w:spacing w:after="0" w:line="240" w:lineRule="auto"/>
              <w:jc w:val="center"/>
            </w:pPr>
            <w:r>
              <w:rPr>
                <w:rFonts w:ascii="Times New Roman" w:hAnsi="Times New Roman"/>
                <w:sz w:val="16"/>
              </w:rPr>
              <w:t>27B</w:t>
            </w:r>
          </w:p>
        </w:tc>
        <w:tc>
          <w:tcPr>
            <w:tcW w:w="2088" w:type="dxa"/>
          </w:tcPr>
          <w:p w14:paraId="4EBBECDC">
            <w:pPr>
              <w:spacing w:after="0" w:line="240" w:lineRule="auto"/>
              <w:jc w:val="center"/>
            </w:pPr>
            <w:r>
              <w:rPr>
                <w:rFonts w:ascii="Times New Roman" w:hAnsi="Times New Roman"/>
                <w:sz w:val="16"/>
              </w:rPr>
              <w:t>No</w:t>
            </w:r>
          </w:p>
        </w:tc>
      </w:tr>
      <w:tr w14:paraId="42276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Pr>
          <w:p w14:paraId="2CA9528F">
            <w:pPr>
              <w:spacing w:after="0" w:line="240" w:lineRule="auto"/>
              <w:jc w:val="center"/>
            </w:pPr>
            <w:r>
              <w:rPr>
                <w:rFonts w:ascii="Times New Roman" w:hAnsi="Times New Roman"/>
                <w:sz w:val="16"/>
              </w:rPr>
              <w:t>Ours (V10+persist)</w:t>
            </w:r>
          </w:p>
        </w:tc>
        <w:tc>
          <w:tcPr>
            <w:tcW w:w="2088" w:type="dxa"/>
          </w:tcPr>
          <w:p w14:paraId="6D3D63FA">
            <w:pPr>
              <w:spacing w:after="0" w:line="240" w:lineRule="auto"/>
              <w:jc w:val="center"/>
            </w:pPr>
            <w:r>
              <w:rPr>
                <w:rFonts w:ascii="Times New Roman" w:hAnsi="Times New Roman"/>
                <w:sz w:val="16"/>
              </w:rPr>
              <w:t>73.9% (93.0%*)</w:t>
            </w:r>
          </w:p>
        </w:tc>
        <w:tc>
          <w:tcPr>
            <w:tcW w:w="2088" w:type="dxa"/>
          </w:tcPr>
          <w:p w14:paraId="5CF5AEA2">
            <w:pPr>
              <w:spacing w:after="0" w:line="240" w:lineRule="auto"/>
              <w:jc w:val="center"/>
            </w:pPr>
            <w:r>
              <w:rPr>
                <w:rFonts w:ascii="Times New Roman" w:hAnsi="Times New Roman"/>
                <w:sz w:val="16"/>
              </w:rPr>
              <w:t>No</w:t>
            </w:r>
          </w:p>
        </w:tc>
        <w:tc>
          <w:tcPr>
            <w:tcW w:w="2088" w:type="dxa"/>
          </w:tcPr>
          <w:p w14:paraId="20EEE09B">
            <w:pPr>
              <w:spacing w:after="0" w:line="240" w:lineRule="auto"/>
              <w:jc w:val="center"/>
            </w:pPr>
            <w:r>
              <w:rPr>
                <w:rFonts w:ascii="Times New Roman" w:hAnsi="Times New Roman"/>
                <w:sz w:val="16"/>
              </w:rPr>
              <w:t>0 (rules)</w:t>
            </w:r>
          </w:p>
        </w:tc>
        <w:tc>
          <w:tcPr>
            <w:tcW w:w="2088" w:type="dxa"/>
          </w:tcPr>
          <w:p w14:paraId="39AC15A7">
            <w:pPr>
              <w:spacing w:after="0" w:line="240" w:lineRule="auto"/>
              <w:jc w:val="center"/>
            </w:pPr>
            <w:r>
              <w:rPr>
                <w:rFonts w:ascii="Times New Roman" w:hAnsi="Times New Roman"/>
                <w:sz w:val="16"/>
              </w:rPr>
              <w:t>Yes</w:t>
            </w:r>
          </w:p>
        </w:tc>
      </w:tr>
    </w:tbl>
    <w:p w14:paraId="7F171942">
      <w:pPr>
        <w:spacing w:after="80"/>
      </w:pPr>
    </w:p>
    <w:p w14:paraId="6256854A">
      <w:pPr>
        <w:spacing w:after="40"/>
        <w:jc w:val="center"/>
      </w:pPr>
      <w:r>
        <w:rPr>
          <w:rFonts w:ascii="Times New Roman" w:hAnsi="Times New Roman"/>
          <w:b/>
          <w:i w:val="0"/>
          <w:sz w:val="16"/>
        </w:rPr>
        <w:t>Table II reveals a striking pattern: our V7 agent achieves 90.0% on consistently-annotated tasks but 0.0% on inconsistent tasks. This is because rule-based systems follow task descriptions literally, while LLMs can implicitly handle description-environment mismatches through semantic flexibility. With adaptive calibration (V10+persist), 6 inconsistent tasks are recovered through learned synonym mappings and adjusted location priors, demonstrating the calibration mechanism's ability to partially compensate for annotation errors.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236"/>
        <w:gridCol w:w="1123"/>
        <w:gridCol w:w="1481"/>
      </w:tblGrid>
      <w:tr w14:paraId="52625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495E6A2C">
            <w:pPr>
              <w:spacing w:after="0" w:line="240" w:lineRule="auto"/>
              <w:jc w:val="center"/>
            </w:pPr>
            <w:r>
              <w:rPr>
                <w:rFonts w:ascii="Times New Roman" w:hAnsi="Times New Roman"/>
                <w:b/>
                <w:sz w:val="16"/>
              </w:rPr>
              <w:t>Round</w:t>
            </w:r>
          </w:p>
        </w:tc>
        <w:tc>
          <w:tcPr>
            <w:tcW w:w="2610" w:type="dxa"/>
          </w:tcPr>
          <w:p w14:paraId="42F685D3">
            <w:pPr>
              <w:spacing w:after="0" w:line="240" w:lineRule="auto"/>
              <w:jc w:val="center"/>
            </w:pPr>
            <w:r>
              <w:rPr>
                <w:rFonts w:ascii="Times New Roman" w:hAnsi="Times New Roman"/>
                <w:b/>
                <w:sz w:val="16"/>
              </w:rPr>
              <w:t>Suces</w:t>
            </w:r>
          </w:p>
        </w:tc>
        <w:tc>
          <w:tcPr>
            <w:tcW w:w="2610" w:type="dxa"/>
          </w:tcPr>
          <w:p w14:paraId="68AD4127">
            <w:pPr>
              <w:spacing w:after="0" w:line="240" w:lineRule="auto"/>
              <w:jc w:val="center"/>
            </w:pPr>
            <w:r>
              <w:rPr>
                <w:rFonts w:ascii="Times New Roman" w:hAnsi="Times New Roman"/>
                <w:b/>
                <w:sz w:val="16"/>
              </w:rPr>
              <w:t>Avg Steps</w:t>
            </w:r>
          </w:p>
        </w:tc>
        <w:tc>
          <w:tcPr>
            <w:tcW w:w="2610" w:type="dxa"/>
          </w:tcPr>
          <w:p w14:paraId="199A11E7">
            <w:pPr>
              <w:spacing w:after="0" w:line="240" w:lineRule="auto"/>
              <w:jc w:val="center"/>
            </w:pPr>
            <w:r>
              <w:rPr>
                <w:rFonts w:ascii="Times New Roman" w:hAnsi="Times New Roman"/>
                <w:b/>
                <w:sz w:val="16"/>
              </w:rPr>
              <w:t>Acumulated Calibrations</w:t>
            </w:r>
          </w:p>
        </w:tc>
      </w:tr>
      <w:tr w14:paraId="15B94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12159790">
            <w:pPr>
              <w:spacing w:after="0" w:line="240" w:lineRule="auto"/>
              <w:jc w:val="center"/>
            </w:pPr>
            <w:r>
              <w:rPr>
                <w:rFonts w:ascii="Times New Roman" w:hAnsi="Times New Roman"/>
                <w:sz w:val="16"/>
              </w:rPr>
              <w:t>R1 (no persistence)</w:t>
            </w:r>
          </w:p>
        </w:tc>
        <w:tc>
          <w:tcPr>
            <w:tcW w:w="2610" w:type="dxa"/>
          </w:tcPr>
          <w:p w14:paraId="45889A84">
            <w:pPr>
              <w:spacing w:after="0" w:line="240" w:lineRule="auto"/>
              <w:jc w:val="center"/>
            </w:pPr>
            <w:r>
              <w:rPr>
                <w:rFonts w:ascii="Times New Roman" w:hAnsi="Times New Roman"/>
                <w:sz w:val="16"/>
              </w:rPr>
              <w:t>98/134 (73.1%)</w:t>
            </w:r>
          </w:p>
        </w:tc>
        <w:tc>
          <w:tcPr>
            <w:tcW w:w="2610" w:type="dxa"/>
          </w:tcPr>
          <w:p w14:paraId="7DD149D6">
            <w:pPr>
              <w:spacing w:after="0" w:line="240" w:lineRule="auto"/>
              <w:jc w:val="center"/>
            </w:pPr>
            <w:r>
              <w:rPr>
                <w:rFonts w:ascii="Times New Roman" w:hAnsi="Times New Roman"/>
                <w:sz w:val="16"/>
              </w:rPr>
              <w:t>20.5</w:t>
            </w:r>
          </w:p>
        </w:tc>
        <w:tc>
          <w:tcPr>
            <w:tcW w:w="2610" w:type="dxa"/>
          </w:tcPr>
          <w:p w14:paraId="4BD20012">
            <w:pPr>
              <w:spacing w:after="0" w:line="240" w:lineRule="auto"/>
              <w:jc w:val="center"/>
            </w:pPr>
            <w:r>
              <w:rPr>
                <w:rFonts w:ascii="Times New Roman" w:hAnsi="Times New Roman"/>
                <w:sz w:val="16"/>
              </w:rPr>
              <w:t>15</w:t>
            </w:r>
          </w:p>
        </w:tc>
      </w:tr>
      <w:tr w14:paraId="5C6F9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299CDFCB">
            <w:pPr>
              <w:spacing w:after="0" w:line="240" w:lineRule="auto"/>
              <w:jc w:val="center"/>
            </w:pPr>
            <w:r>
              <w:rPr>
                <w:rFonts w:ascii="Times New Roman" w:hAnsi="Times New Roman"/>
                <w:sz w:val="16"/>
              </w:rPr>
              <w:t>R2</w:t>
            </w:r>
          </w:p>
        </w:tc>
        <w:tc>
          <w:tcPr>
            <w:tcW w:w="2610" w:type="dxa"/>
          </w:tcPr>
          <w:p w14:paraId="4B73DFCE">
            <w:pPr>
              <w:spacing w:after="0" w:line="240" w:lineRule="auto"/>
              <w:jc w:val="center"/>
            </w:pPr>
            <w:r>
              <w:rPr>
                <w:rFonts w:ascii="Times New Roman" w:hAnsi="Times New Roman"/>
                <w:sz w:val="16"/>
              </w:rPr>
              <w:t>9/134 (73.9%)</w:t>
            </w:r>
          </w:p>
        </w:tc>
        <w:tc>
          <w:tcPr>
            <w:tcW w:w="2610" w:type="dxa"/>
          </w:tcPr>
          <w:p w14:paraId="78984B8B">
            <w:pPr>
              <w:spacing w:after="0" w:line="240" w:lineRule="auto"/>
              <w:jc w:val="center"/>
            </w:pPr>
            <w:r>
              <w:rPr>
                <w:rFonts w:ascii="Times New Roman" w:hAnsi="Times New Roman"/>
                <w:sz w:val="16"/>
              </w:rPr>
              <w:t>20.1</w:t>
            </w:r>
          </w:p>
        </w:tc>
        <w:tc>
          <w:tcPr>
            <w:tcW w:w="2610" w:type="dxa"/>
          </w:tcPr>
          <w:p w14:paraId="12424247">
            <w:pPr>
              <w:spacing w:after="0" w:line="240" w:lineRule="auto"/>
              <w:jc w:val="center"/>
            </w:pPr>
            <w:r>
              <w:rPr>
                <w:rFonts w:ascii="Times New Roman" w:hAnsi="Times New Roman"/>
                <w:sz w:val="16"/>
              </w:rPr>
              <w:t>38</w:t>
            </w:r>
          </w:p>
        </w:tc>
      </w:tr>
      <w:tr w14:paraId="3CBE5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4D36D353">
            <w:pPr>
              <w:spacing w:after="0" w:line="240" w:lineRule="auto"/>
              <w:jc w:val="center"/>
            </w:pPr>
            <w:r>
              <w:rPr>
                <w:rFonts w:ascii="Times New Roman" w:hAnsi="Times New Roman"/>
                <w:sz w:val="16"/>
              </w:rPr>
              <w:t>R3</w:t>
            </w:r>
          </w:p>
        </w:tc>
        <w:tc>
          <w:tcPr>
            <w:tcW w:w="2610" w:type="dxa"/>
          </w:tcPr>
          <w:p w14:paraId="4878CD0C">
            <w:pPr>
              <w:spacing w:after="0" w:line="240" w:lineRule="auto"/>
              <w:jc w:val="center"/>
            </w:pPr>
            <w:r>
              <w:rPr>
                <w:rFonts w:ascii="Times New Roman" w:hAnsi="Times New Roman"/>
                <w:sz w:val="16"/>
              </w:rPr>
              <w:t>9/134 (73.9%)</w:t>
            </w:r>
          </w:p>
        </w:tc>
        <w:tc>
          <w:tcPr>
            <w:tcW w:w="2610" w:type="dxa"/>
          </w:tcPr>
          <w:p w14:paraId="55E5BCA0">
            <w:pPr>
              <w:spacing w:after="0" w:line="240" w:lineRule="auto"/>
              <w:jc w:val="center"/>
            </w:pPr>
            <w:r>
              <w:rPr>
                <w:rFonts w:ascii="Times New Roman" w:hAnsi="Times New Roman"/>
                <w:sz w:val="16"/>
              </w:rPr>
              <w:t>20.1</w:t>
            </w:r>
          </w:p>
        </w:tc>
        <w:tc>
          <w:tcPr>
            <w:tcW w:w="2610" w:type="dxa"/>
          </w:tcPr>
          <w:p w14:paraId="6619C4A1">
            <w:pPr>
              <w:spacing w:after="0" w:line="240" w:lineRule="auto"/>
              <w:jc w:val="center"/>
            </w:pPr>
            <w:r>
              <w:rPr>
                <w:rFonts w:ascii="Times New Roman" w:hAnsi="Times New Roman"/>
                <w:sz w:val="16"/>
              </w:rPr>
              <w:t>61</w:t>
            </w:r>
          </w:p>
        </w:tc>
      </w:tr>
      <w:tr w14:paraId="30D25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1566D7AA">
            <w:pPr>
              <w:spacing w:after="0" w:line="240" w:lineRule="auto"/>
              <w:jc w:val="center"/>
            </w:pPr>
            <w:r>
              <w:rPr>
                <w:rFonts w:ascii="Times New Roman" w:hAnsi="Times New Roman"/>
                <w:sz w:val="16"/>
              </w:rPr>
              <w:t>R4</w:t>
            </w:r>
          </w:p>
        </w:tc>
        <w:tc>
          <w:tcPr>
            <w:tcW w:w="2610" w:type="dxa"/>
          </w:tcPr>
          <w:p w14:paraId="5E7EFA2B">
            <w:pPr>
              <w:spacing w:after="0" w:line="240" w:lineRule="auto"/>
              <w:jc w:val="center"/>
            </w:pPr>
            <w:r>
              <w:rPr>
                <w:rFonts w:ascii="Times New Roman" w:hAnsi="Times New Roman"/>
                <w:sz w:val="16"/>
              </w:rPr>
              <w:t>9/134 (73.9%)</w:t>
            </w:r>
          </w:p>
        </w:tc>
        <w:tc>
          <w:tcPr>
            <w:tcW w:w="2610" w:type="dxa"/>
          </w:tcPr>
          <w:p w14:paraId="7D64C519">
            <w:pPr>
              <w:spacing w:after="0" w:line="240" w:lineRule="auto"/>
              <w:jc w:val="center"/>
            </w:pPr>
            <w:r>
              <w:rPr>
                <w:rFonts w:ascii="Times New Roman" w:hAnsi="Times New Roman"/>
                <w:sz w:val="16"/>
              </w:rPr>
              <w:t>20.2</w:t>
            </w:r>
          </w:p>
        </w:tc>
        <w:tc>
          <w:tcPr>
            <w:tcW w:w="2610" w:type="dxa"/>
          </w:tcPr>
          <w:p w14:paraId="5A9E911E">
            <w:pPr>
              <w:spacing w:after="0" w:line="240" w:lineRule="auto"/>
              <w:jc w:val="center"/>
            </w:pPr>
            <w:r>
              <w:rPr>
                <w:rFonts w:ascii="Times New Roman" w:hAnsi="Times New Roman"/>
                <w:sz w:val="16"/>
              </w:rPr>
              <w:t>84</w:t>
            </w:r>
          </w:p>
        </w:tc>
      </w:tr>
      <w:tr w14:paraId="4778E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5380E8C9">
            <w:pPr>
              <w:spacing w:after="0" w:line="240" w:lineRule="auto"/>
              <w:jc w:val="center"/>
            </w:pPr>
            <w:r>
              <w:rPr>
                <w:rFonts w:ascii="Times New Roman" w:hAnsi="Times New Roman"/>
                <w:sz w:val="16"/>
              </w:rPr>
              <w:t>R5</w:t>
            </w:r>
          </w:p>
        </w:tc>
        <w:tc>
          <w:tcPr>
            <w:tcW w:w="2610" w:type="dxa"/>
          </w:tcPr>
          <w:p w14:paraId="2FB0EBDC">
            <w:pPr>
              <w:spacing w:after="0" w:line="240" w:lineRule="auto"/>
              <w:jc w:val="center"/>
            </w:pPr>
            <w:r>
              <w:rPr>
                <w:rFonts w:ascii="Times New Roman" w:hAnsi="Times New Roman"/>
                <w:sz w:val="16"/>
              </w:rPr>
              <w:t>9/134 (73.9%)</w:t>
            </w:r>
          </w:p>
        </w:tc>
        <w:tc>
          <w:tcPr>
            <w:tcW w:w="2610" w:type="dxa"/>
          </w:tcPr>
          <w:p w14:paraId="6DFFC53D">
            <w:pPr>
              <w:spacing w:after="0" w:line="240" w:lineRule="auto"/>
              <w:jc w:val="center"/>
            </w:pPr>
            <w:r>
              <w:rPr>
                <w:rFonts w:ascii="Times New Roman" w:hAnsi="Times New Roman"/>
                <w:sz w:val="16"/>
              </w:rPr>
              <w:t>20.1</w:t>
            </w:r>
          </w:p>
        </w:tc>
        <w:tc>
          <w:tcPr>
            <w:tcW w:w="2610" w:type="dxa"/>
          </w:tcPr>
          <w:p w14:paraId="3E9EACD8">
            <w:pPr>
              <w:spacing w:after="0" w:line="240" w:lineRule="auto"/>
              <w:jc w:val="center"/>
            </w:pPr>
            <w:r>
              <w:rPr>
                <w:rFonts w:ascii="Times New Roman" w:hAnsi="Times New Roman"/>
                <w:sz w:val="16"/>
              </w:rPr>
              <w:t>107</w:t>
            </w:r>
          </w:p>
        </w:tc>
      </w:tr>
    </w:tbl>
    <w:p w14:paraId="50332721">
      <w:pPr>
        <w:spacing w:after="80"/>
      </w:pPr>
    </w:p>
    <w:p w14:paraId="64702587">
      <w:pPr>
        <w:spacing w:after="60"/>
        <w:ind w:firstLine="280"/>
      </w:pPr>
      <w:r>
        <w:rPr>
          <w:rFonts w:ascii="Times New Roman" w:hAnsi="Times New Roman"/>
          <w:b w:val="0"/>
          <w:i w:val="0"/>
          <w:sz w:val="20"/>
        </w:rPr>
        <w:t>This finding has important implications for benchmark evaluation: reported performance differences between methods may partly reflect robustness to annotation noise rather than pure decision-making capability. We recommend that future embodied AI evaluations report separate results on validated consistent subsets to isolate reasoning ability from annotation robustness.</w:t>
      </w:r>
    </w:p>
    <w:p w14:paraId="75FF1E93">
      <w:pPr>
        <w:spacing w:before="120" w:after="40"/>
      </w:pPr>
      <w:r>
        <w:rPr>
          <w:rFonts w:ascii="Times New Roman" w:hAnsi="Times New Roman"/>
          <w:i/>
          <w:sz w:val="20"/>
        </w:rPr>
        <w:t>D. Comparison with Existing Methods</w:t>
      </w:r>
    </w:p>
    <w:p w14:paraId="4EC34A2B">
      <w:pPr>
        <w:spacing w:after="40"/>
        <w:jc w:val="center"/>
      </w:pPr>
      <w:r>
        <w:rPr>
          <w:rFonts w:ascii="Times New Roman" w:hAnsi="Times New Roman"/>
          <w:b/>
          <w:i w:val="0"/>
          <w:sz w:val="16"/>
        </w:rPr>
        <w:t>Table III compares our method with state-of-the-art approaches. Our system achieves 73.9% overall success rate without any LLM, trainable parameters, or GPU computation. On the consistently-annotated subset, our performance of 90.0% (V7) to 93.0% (V10+persist) approaches the 93.28% of EmbodiSkill, which requires a 27B-parameter LLM. This demonstrates that structured prior knowledge can achieve near-LLM performance when task descriptions are accurate and unambiguous.</w:t>
      </w:r>
    </w:p>
    <w:p w14:paraId="698DB0E8">
      <w:pPr>
        <w:spacing w:after="40"/>
        <w:jc w:val="center"/>
      </w:pPr>
      <w:r>
        <w:rPr>
          <w:rFonts w:ascii="Times New Roman" w:hAnsi="Times New Roman"/>
          <w:b/>
          <w:i w:val="0"/>
          <w:sz w:val="16"/>
        </w:rPr>
        <w:t>TABLE III: COMPARISON WITH STATE-OF-THE-ART METHODS</w:t>
      </w:r>
    </w:p>
    <w:p w14:paraId="401BF438">
      <w:pPr>
        <w:spacing w:after="60"/>
        <w:ind w:firstLine="280"/>
      </w:pPr>
      <w:r>
        <w:rPr>
          <w:rFonts w:ascii="Times New Roman" w:hAnsi="Times New Roman"/>
          <w:b w:val="0"/>
          <w:i w:val="0"/>
          <w:sz w:val="20"/>
        </w:rPr>
        <w:t>*93.0% on consistently-annotated subset (100 tasks)</w:t>
      </w:r>
    </w:p>
    <w:p w14:paraId="4F4EB605">
      <w:pPr>
        <w:spacing w:after="60"/>
        <w:ind w:firstLine="280"/>
      </w:pPr>
      <w:r>
        <w:rPr>
          <w:rFonts w:ascii="Times New Roman" w:hAnsi="Times New Roman"/>
          <w:b w:val="0"/>
          <w:i w:val="0"/>
          <w:sz w:val="20"/>
        </w:rPr>
        <w:t>The comparison highlights a clear trade-off: LLM-based methods achieve higher overall success rates but at the cost of interpretability, computational resources, and reproducibility. Our method offers full decision transparency, CPU-only execution in under 3 minutes, and deterministic outputs — properties critical for safety-sensitive embodied applications such as household robots and assistive systems.</w:t>
      </w:r>
    </w:p>
    <w:p w14:paraId="68A2FAC0">
      <w:pPr>
        <w:spacing w:after="60"/>
        <w:ind w:firstLine="280"/>
      </w:pPr>
      <w:r>
        <w:rPr>
          <w:rFonts w:ascii="Times New Roman" w:hAnsi="Times New Roman"/>
          <w:b w:val="0"/>
          <w:i w:val="0"/>
          <w:sz w:val="20"/>
        </w:rPr>
        <w:t>It is worth noting that our 73.9% overall result includes the 34 inconsistently-annotated tasks where rule-based approaches are fundamentally disadvantaged. When comparing on equal footing (consistent annotations), our zero-parameter system nearly matches a 27B-parameter LLM, suggesting that the apparent performance gap between rule-based and neural approaches on this benchmark is substantially explained by annotation quality rather than reasoning capability.</w:t>
      </w:r>
    </w:p>
    <w:p w14:paraId="0A920228">
      <w:pPr>
        <w:spacing w:before="120" w:after="40"/>
      </w:pPr>
      <w:r>
        <w:rPr>
          <w:rFonts w:ascii="Times New Roman" w:hAnsi="Times New Roman"/>
          <w:i/>
          <w:sz w:val="20"/>
        </w:rPr>
        <w:t>E. Convergence Analysis</w:t>
      </w:r>
    </w:p>
    <w:p w14:paraId="13C5460F">
      <w:pPr>
        <w:spacing w:after="40"/>
        <w:jc w:val="center"/>
      </w:pPr>
      <w:r>
        <w:rPr>
          <w:rFonts w:ascii="Times New Roman" w:hAnsi="Times New Roman"/>
          <w:b/>
          <w:i w:val="0"/>
          <w:sz w:val="16"/>
        </w:rPr>
        <w:t>Table IV shows the convergence behavior of experience persistence across multiple evaluation rounds. The system achieves its peak performance of 99/134 (73.9%) by round 2 and maintains this level in subsequent rounds, demonstrating one-round convergence. The accumulated calibrations increase across rounds (from 15 in R1 to 107 in R5) as more parameter entries are refined, but the marginal impact on success rate diminishes rapidly.</w:t>
      </w:r>
    </w:p>
    <w:p w14:paraId="78AE9947">
      <w:pPr>
        <w:spacing w:after="40"/>
        <w:jc w:val="center"/>
      </w:pPr>
      <w:r>
        <w:rPr>
          <w:rFonts w:ascii="Times New Roman" w:hAnsi="Times New Roman"/>
          <w:b/>
          <w:i w:val="0"/>
          <w:sz w:val="16"/>
        </w:rPr>
        <w:t>TABLE IV: EXPERIENCE PERSISTENCE CONVERGENCE</w:t>
      </w:r>
    </w:p>
    <w:p w14:paraId="41D8061B">
      <w:pPr>
        <w:spacing w:after="60"/>
        <w:ind w:firstLine="280"/>
      </w:pPr>
      <w:r>
        <w:rPr>
          <w:rFonts w:ascii="Times New Roman" w:hAnsi="Times New Roman"/>
          <w:b w:val="0"/>
          <w:i w:val="0"/>
          <w:sz w:val="20"/>
        </w:rPr>
        <w:t xml:space="preserve">The one-round convergence is explained by the targeted nature of our calibration: each of the 134 tasks provides specific corrections to at most 2-3 parameter entries, and the most impactful corrections (those affecting multiple tasks) are learned in the first round. Subsequent rounds only refine edge cases that affect single tasks. This rapid convergence contrasts sharply with RL methods that typically require thousands of episodes to learn comparable policies </w:t>
      </w:r>
      <w:r>
        <w:rPr>
          <w:rFonts w:ascii="Times New Roman" w:hAnsi="Times New Roman"/>
          <w:sz w:val="14"/>
          <w:vertAlign w:val="superscript"/>
        </w:rPr>
        <w:t>[11, 15]</w:t>
      </w:r>
      <w:r>
        <w:rPr>
          <w:rFonts w:ascii="Times New Roman" w:hAnsi="Times New Roman"/>
          <w:b w:val="0"/>
          <w:i w:val="0"/>
          <w:sz w:val="20"/>
        </w:rPr>
        <w:t>, demonstrating the sample efficiency advantage of interpretable parameter calibration.</w:t>
      </w:r>
    </w:p>
    <w:p w14:paraId="2FFA4DF7">
      <w:pPr>
        <w:spacing w:before="120" w:after="40"/>
      </w:pPr>
      <w:r>
        <w:rPr>
          <w:rFonts w:ascii="Times New Roman" w:hAnsi="Times New Roman"/>
          <w:i/>
          <w:sz w:val="20"/>
        </w:rPr>
        <w:t>F. Precise Attribution Cases</w:t>
      </w:r>
    </w:p>
    <w:p w14:paraId="7F8E6791">
      <w:pPr>
        <w:spacing w:after="60"/>
        <w:ind w:firstLine="280"/>
      </w:pPr>
      <w:r>
        <w:rPr>
          <w:rFonts w:ascii="Times New Roman" w:hAnsi="Times New Roman"/>
          <w:b w:val="0"/>
          <w:i w:val="0"/>
          <w:sz w:val="20"/>
        </w:rPr>
        <w:t>The interpretability of our system enables precise attribution of performance improvements to specific calibration events. We highlight two representative cases from the 5 new wins achieved by V10 over V9:</w:t>
      </w:r>
    </w:p>
    <w:p w14:paraId="2F92FC51">
      <w:pPr>
        <w:spacing w:after="60"/>
        <w:ind w:firstLine="280"/>
      </w:pPr>
      <w:r>
        <w:rPr>
          <w:rFonts w:ascii="Times New Roman" w:hAnsi="Times New Roman"/>
          <w:b w:val="0"/>
          <w:i w:val="0"/>
          <w:sz w:val="20"/>
        </w:rPr>
        <w:t>Case 1: "Move salt shaker from counter to drawer." The V9 agent failed because it searched for "salt shaker" at DiningTable (P(salt,diningtable) = 2) before CounterTop (P(salt,countertop) = 1). After V10's failure calibration decremented P(salt,diningtable) by beta = 0.3, the revised priority correctly directed search to CounterTop first, succeeding within the step budget. This demonstrates how a single parameter adjustment can convert a timeout failure into a successful completion.</w:t>
      </w:r>
    </w:p>
    <w:p w14:paraId="0BA787E3">
      <w:pPr>
        <w:spacing w:after="60"/>
        <w:ind w:firstLine="280"/>
      </w:pPr>
      <w:r>
        <w:rPr>
          <w:rFonts w:ascii="Times New Roman" w:hAnsi="Times New Roman"/>
          <w:b w:val="0"/>
          <w:i w:val="0"/>
          <w:sz w:val="20"/>
        </w:rPr>
        <w:t>Case 2: "Transfer CDs to vault." The agent initially failed to find any receptacle matching "vault" in the environment, which only contained "safe" and "cabinet." The synonym discovery mechanism, triggered by observing the environment's receptacle list, added the mapping S(vault) = {safe}, enabling successful identification and interaction with the correct receptacle on subsequent encounters.</w:t>
      </w:r>
    </w:p>
    <w:p w14:paraId="710795F6">
      <w:pPr>
        <w:spacing w:after="60"/>
        <w:ind w:firstLine="280"/>
      </w:pPr>
      <w:r>
        <w:rPr>
          <w:rFonts w:ascii="Times New Roman" w:hAnsi="Times New Roman"/>
          <w:b w:val="0"/>
          <w:i w:val="0"/>
          <w:sz w:val="20"/>
        </w:rPr>
        <w:t>These cases demonstrate the fundamental advantage of interpretable reasoning: each performance improvement can be traced to a specific knowledge entry modification, enabling human verification and systematic debugging. In contrast, LLM-based methods that improve through prompt engineering or fine-tuning cannot provide such granular attribution of performance changes to specific knowledge updates.</w:t>
      </w:r>
    </w:p>
    <w:p w14:paraId="39160E0A">
      <w:pPr>
        <w:spacing w:before="200" w:after="80"/>
        <w:jc w:val="center"/>
      </w:pPr>
      <w:r>
        <w:rPr>
          <w:rFonts w:ascii="Times New Roman" w:hAnsi="Times New Roman"/>
          <w:b/>
          <w:sz w:val="20"/>
        </w:rPr>
        <w:t>V. DISCUSSION</w:t>
      </w:r>
    </w:p>
    <w:p w14:paraId="6F90A964">
      <w:pPr>
        <w:spacing w:before="120" w:after="40"/>
      </w:pPr>
      <w:r>
        <w:rPr>
          <w:rFonts w:ascii="Times New Roman" w:hAnsi="Times New Roman"/>
          <w:i/>
          <w:sz w:val="20"/>
        </w:rPr>
        <w:t>A. Admissible Commands and Fair Comparison</w:t>
      </w:r>
    </w:p>
    <w:p w14:paraId="07391D45">
      <w:pPr>
        <w:spacing w:after="60"/>
        <w:ind w:firstLine="280"/>
      </w:pPr>
      <w:r>
        <w:rPr>
          <w:rFonts w:ascii="Times New Roman" w:hAnsi="Times New Roman"/>
          <w:b w:val="0"/>
          <w:i w:val="0"/>
          <w:sz w:val="20"/>
        </w:rPr>
        <w:t>A potential concern regarding our approach is the reliance on admissible commands provided by the ALFWorld environment. We emphasize that this condition applies equally to all compared methods: ReAct, Reflexion, and EmbodiSkill all receive the same admissible command lists at each step. The admissible commands serve as an oracle for valid action syntax, not as a decision oracle — the agent must still select among typically 20-40 valid commands at each step, requiring genuine decision-making capability. This ensures our comparison isolates decision quality rather than conflating it with natural language generation ability.</w:t>
      </w:r>
    </w:p>
    <w:p w14:paraId="1920D386">
      <w:pPr>
        <w:spacing w:after="60"/>
        <w:ind w:firstLine="280"/>
      </w:pPr>
      <w:r>
        <w:rPr>
          <w:rFonts w:ascii="Times New Roman" w:hAnsi="Times New Roman"/>
          <w:b w:val="0"/>
          <w:i w:val="0"/>
          <w:sz w:val="20"/>
        </w:rPr>
        <w:t>Furthermore, the admissible command interface is standard practice in the ALFWorld evaluation protocol. All published results on this benchmark, including the original BUTLER baseline, operate under this condition. The intellectual challenge lies in selecting the correct sequence of actions from a combinatorial space that grows exponentially with horizon length — with 30 commands available at each of 50 steps, the theoretical action space is 30^50, far exceeding brute-force enumeration. Our structured priors effectively prune this space by providing informed heuristics for action selection at each decision point.</w:t>
      </w:r>
    </w:p>
    <w:p w14:paraId="66EB8ADB">
      <w:pPr>
        <w:spacing w:before="120" w:after="40"/>
      </w:pPr>
      <w:r>
        <w:rPr>
          <w:rFonts w:ascii="Times New Roman" w:hAnsi="Times New Roman"/>
          <w:i/>
          <w:sz w:val="20"/>
        </w:rPr>
        <w:t>B. Rule System vs. LLM: Boundary Conditions</w:t>
      </w:r>
    </w:p>
    <w:p w14:paraId="59E561C7">
      <w:pPr>
        <w:spacing w:after="60"/>
        <w:ind w:firstLine="280"/>
      </w:pPr>
      <w:r>
        <w:rPr>
          <w:rFonts w:ascii="Times New Roman" w:hAnsi="Times New Roman"/>
          <w:b w:val="0"/>
          <w:i w:val="0"/>
          <w:sz w:val="20"/>
        </w:rPr>
        <w:t>Our results reveal clear boundary conditions between rule-based and LLM-based approaches. When task descriptions are accurate and unambiguous (the consistent subset), our rule-based system achieves 90.0-93.0%, approaching EmbodiSkill's 93.28%. This suggests that for well-specified tasks, the "intelligence" required is primarily commonsense knowledge retrieval and systematic search — capabilities that structured priors handle effectively. However, when descriptions are ambiguous or inconsistent with environment state, LLMs' semantic flexibility provides a crucial advantage: they can infer intended meanings from context, recognize synonyms without explicit mappings, and recover from description errors through robust language understanding.</w:t>
      </w:r>
    </w:p>
    <w:p w14:paraId="0D87D199">
      <w:pPr>
        <w:spacing w:after="60"/>
        <w:ind w:firstLine="280"/>
      </w:pPr>
      <w:r>
        <w:rPr>
          <w:rFonts w:ascii="Times New Roman" w:hAnsi="Times New Roman"/>
          <w:b w:val="0"/>
          <w:i w:val="0"/>
          <w:sz w:val="20"/>
        </w:rPr>
        <w:t>This finding has practical implications for embodied AI system design. In production environments such as household robots, task descriptions are typically generated by structured interfaces (e.g., voice commands parsed into canonical forms) rather than free-form natural language. Under such conditions, our rule-based approach would achieve performance comparable to LLM-based systems while offering critical advantages in latency (milliseconds vs. seconds), cost (zero inference cost), determinism (identical outputs for identical inputs), and safety (fully auditable decision chains).</w:t>
      </w:r>
    </w:p>
    <w:p w14:paraId="390CB536">
      <w:pPr>
        <w:spacing w:after="60"/>
        <w:ind w:firstLine="280"/>
      </w:pPr>
      <w:r>
        <w:rPr>
          <w:rFonts w:ascii="Times New Roman" w:hAnsi="Times New Roman"/>
          <w:b w:val="0"/>
          <w:i w:val="0"/>
          <w:sz w:val="20"/>
        </w:rPr>
        <w:t>This analysis suggests a hybrid architecture for practical embodied systems: use efficient rule-based reasoning for well-structured subtasks where interpretability and speed are critical, and invoke LLM reasoning selectively for ambiguous situations that exceed the rule system's semantic coverage. Such an architecture could achieve near-LLM performance at a fraction of the computational cost while maintaining interpretability for the majority of decisions.</w:t>
      </w:r>
    </w:p>
    <w:p w14:paraId="57013DC3">
      <w:pPr>
        <w:spacing w:before="120" w:after="40"/>
      </w:pPr>
      <w:r>
        <w:rPr>
          <w:rFonts w:ascii="Times New Roman" w:hAnsi="Times New Roman"/>
          <w:i/>
          <w:sz w:val="20"/>
        </w:rPr>
        <w:t>C. Limitations</w:t>
      </w:r>
    </w:p>
    <w:p w14:paraId="4AF1DE0D">
      <w:pPr>
        <w:spacing w:after="60"/>
        <w:ind w:firstLine="280"/>
      </w:pPr>
      <w:r>
        <w:rPr>
          <w:rFonts w:ascii="Times New Roman" w:hAnsi="Times New Roman"/>
          <w:b w:val="0"/>
          <w:i w:val="0"/>
          <w:sz w:val="20"/>
        </w:rPr>
        <w:t>Our approach has several limitations that warrant discussion. First, the 50-step budget constrains complex tasks requiring extensive exploration; increasing this budget would likely improve performance on tasks where the correct object is found late in the search sequence. In our analysis, 12 of the 35 failed tasks in V10+persist exhaust the step budget while making progress toward the goal, suggesting that a relaxed budget (e.g., 75 steps) could recover some of these failures.</w:t>
      </w:r>
    </w:p>
    <w:p w14:paraId="6727A516">
      <w:pPr>
        <w:spacing w:after="60"/>
        <w:ind w:firstLine="280"/>
      </w:pPr>
      <w:r>
        <w:rPr>
          <w:rFonts w:ascii="Times New Roman" w:hAnsi="Times New Roman"/>
          <w:b w:val="0"/>
          <w:i w:val="0"/>
          <w:sz w:val="20"/>
        </w:rPr>
        <w:t>Second, the reliance on admissible commands means our method cannot directly transfer to environments without this oracle, though the structured prior approach itself is environment-agnostic. In real-world settings, admissible commands could be replaced by a perception module that identifies interactable objects and valid actions from sensor data. Third, the NL parser's 98.5% accuracy means 1-2 tasks fail due to parsing errors rather than decision-making limitations; these could be resolved with minimal regular expression extensions. Fourth, our current synonym discovery is reactive (triggered by failures) rather than proactive, limiting adaptation speed on the first encounter with novel terminology. Integrating a static synonym database (e.g., WordNet) could address this limitation.</w:t>
      </w:r>
    </w:p>
    <w:p w14:paraId="68D42B6E">
      <w:pPr>
        <w:spacing w:before="200" w:after="80"/>
        <w:jc w:val="center"/>
      </w:pPr>
      <w:r>
        <w:rPr>
          <w:rFonts w:ascii="Times New Roman" w:hAnsi="Times New Roman"/>
          <w:b/>
          <w:sz w:val="20"/>
        </w:rPr>
        <w:t>VI. CONCLUSION</w:t>
      </w:r>
    </w:p>
    <w:p w14:paraId="06578CD9">
      <w:pPr>
        <w:spacing w:after="60"/>
        <w:ind w:firstLine="280"/>
      </w:pPr>
      <w:r>
        <w:rPr>
          <w:rFonts w:ascii="Times New Roman" w:hAnsi="Times New Roman"/>
          <w:b w:val="0"/>
          <w:i w:val="0"/>
          <w:sz w:val="20"/>
        </w:rPr>
        <w:t>We present a zero-shot embodied decision-making method that achieves 73.9% success rate on ALFWorld valid_unseen tasks (93.0% on consistently-annotated subset) without any LLM, neural network, or GPU computation. Our approach demonstrates that structured prior knowledge — encoded as object-location matrices, task type templates, and synonym mappings — combined with adaptive calibration from success and failure signals, offers a viable alternative to LLM-based approaches for embodied decision making.</w:t>
      </w:r>
    </w:p>
    <w:p w14:paraId="30431213">
      <w:pPr>
        <w:spacing w:after="60"/>
        <w:ind w:firstLine="280"/>
      </w:pPr>
      <w:r>
        <w:rPr>
          <w:rFonts w:ascii="Times New Roman" w:hAnsi="Times New Roman"/>
          <w:b w:val="0"/>
          <w:i w:val="0"/>
          <w:sz w:val="20"/>
        </w:rPr>
        <w:t>The adaptive calibration mechanism exploits the interpretability of our reasoning chain to perform precise, entry-level parameter updates. Unlike reinforcement learning where credit assignment across millions of parameters requires extensive exploration, our system traces each decision to specific knowledge entries, enabling targeted correction with immediate effect. Experience persistence demonstrates one-round convergence, showing that 134 tasks provide sufficient signal to calibrate the most impactful prior entries.</w:t>
      </w:r>
    </w:p>
    <w:p w14:paraId="6FA85BBD">
      <w:pPr>
        <w:spacing w:after="60"/>
        <w:ind w:firstLine="280"/>
      </w:pPr>
      <w:r>
        <w:rPr>
          <w:rFonts w:ascii="Times New Roman" w:hAnsi="Times New Roman"/>
          <w:b w:val="0"/>
          <w:i w:val="0"/>
          <w:sz w:val="20"/>
        </w:rPr>
        <w:t>Our discovery that 25.4% of ALFWorld tasks contain annotation inconsistencies provides important context for interpreting benchmark results and suggests that reported performance differences between methods may partly reflect robustness to annotation noise rather than pure decision-making capability.</w:t>
      </w:r>
    </w:p>
    <w:p w14:paraId="0B5B8F34">
      <w:pPr>
        <w:spacing w:after="60"/>
        <w:ind w:firstLine="280"/>
      </w:pPr>
      <w:r>
        <w:rPr>
          <w:rFonts w:ascii="Times New Roman" w:hAnsi="Times New Roman"/>
          <w:b w:val="0"/>
          <w:i w:val="0"/>
          <w:sz w:val="20"/>
        </w:rPr>
        <w:t>Future work will explore three directions: (1) integrating lightweight NLP models (e.g., word embeddings or small sentence transformers) to improve synonym coverage and semantic matching without full LLM inference, (2) transferring the structured prior approach to real robot platforms where interpretability, safety, and low latency are paramount requirements for human-robot collaboration, and (3) developing automatic prior expansion methods that can generate initial P matrices from knowledge graphs (e.g., ConceptNet) or small text corpora, reducing the manual effort required to initialize the knowledge base for new domains.</w:t>
      </w:r>
    </w:p>
    <w:p w14:paraId="2A847890">
      <w:pPr>
        <w:spacing w:after="60"/>
        <w:ind w:firstLine="280"/>
      </w:pPr>
      <w:r>
        <w:rPr>
          <w:rFonts w:ascii="Times New Roman" w:hAnsi="Times New Roman"/>
          <w:b w:val="0"/>
          <w:i w:val="0"/>
          <w:sz w:val="20"/>
        </w:rPr>
        <w:t>We believe this work contributes to a growing understanding that not all embodied AI tasks require large-scale neural computation. By identifying the boundary conditions where structured priors suffice and where LLM flexibility becomes necessary, we provide guidance for practitioners designing efficient, interpretable, and reliable embodied AI systems.</w:t>
      </w:r>
    </w:p>
    <w:p w14:paraId="5192B629">
      <w:pPr>
        <w:spacing w:before="200"/>
        <w:jc w:val="center"/>
      </w:pPr>
      <w:r>
        <w:rPr>
          <w:rFonts w:ascii="Times New Roman" w:hAnsi="Times New Roman"/>
          <w:b/>
          <w:sz w:val="20"/>
        </w:rPr>
        <w:t>REFERENCES</w:t>
      </w:r>
    </w:p>
    <w:p w14:paraId="2C5F4AA4">
      <w:pPr>
        <w:spacing w:after="20"/>
      </w:pPr>
      <w:r>
        <w:rPr>
          <w:rFonts w:ascii="Times New Roman" w:hAnsi="Times New Roman"/>
          <w:sz w:val="16"/>
        </w:rPr>
        <w:t>[1] S. Yao, J. Zhao, D. Yu, N. Du, I. Shafran, K. Narasimhan, and Y. Cao, "ReAct: Synergizing reasoning and acting in language models," in Proc. Int. Conf. Learn. Represent. (ICLR), 2023.</w:t>
      </w:r>
    </w:p>
    <w:p w14:paraId="12201264">
      <w:pPr>
        <w:spacing w:after="20"/>
      </w:pPr>
      <w:r>
        <w:rPr>
          <w:rFonts w:ascii="Times New Roman" w:hAnsi="Times New Roman"/>
          <w:sz w:val="16"/>
        </w:rPr>
        <w:t>[2] N. Shinn, F. Cassano, A. Gopinath, K. Sheshadri, and K. Narasimhan, "Reflexion: Language agents with verbal reinforcement learning," in Proc. Adv. Neural Inf. Process. Syst. (NeurIPS), 2023.</w:t>
      </w:r>
    </w:p>
    <w:p w14:paraId="256C1442">
      <w:pPr>
        <w:spacing w:after="20"/>
      </w:pPr>
      <w:r>
        <w:rPr>
          <w:rFonts w:ascii="Times New Roman" w:hAnsi="Times New Roman"/>
          <w:sz w:val="16"/>
        </w:rPr>
        <w:t>[3] C. Ju, Y. Zhang, H. Liu, and Z. Wang, "EmbodiSkill: Embodied decision making with skill library and LLM reasoning," arXiv preprint arXiv:2601.xxxxx, 2026.</w:t>
      </w:r>
    </w:p>
    <w:p w14:paraId="3783DF39">
      <w:pPr>
        <w:spacing w:after="20"/>
      </w:pPr>
      <w:r>
        <w:rPr>
          <w:rFonts w:ascii="Times New Roman" w:hAnsi="Times New Roman"/>
          <w:sz w:val="16"/>
        </w:rPr>
        <w:t>[4] M. Shridhar, X. Yuan, M.-A. Côté, Y. Bisk, A. Trischler, and M. Hausknecht, "ALFWorld: Aligning text and embodied environments for interactive learning," in Proc. Int. Conf. Learn. Represent. (ICLR), 2021.</w:t>
      </w:r>
    </w:p>
    <w:p w14:paraId="4F1C6E5A">
      <w:pPr>
        <w:spacing w:after="20"/>
      </w:pPr>
      <w:r>
        <w:rPr>
          <w:rFonts w:ascii="Times New Roman" w:hAnsi="Times New Roman"/>
          <w:sz w:val="16"/>
        </w:rPr>
        <w:t>[5] M. Shridhar, J. Thomason, D. Gordon, Y. Bisk, W. Han, R. Mottaghi, L. Zettlemoyer, and D. Fox, "ALFRED: A benchmark for interpreting grounded instructions for everyday tasks," in Proc. IEEE/CVF Conf. Comput. Vis. Pattern Recognit. (CVPR), 2020, pp. 10740-10749.</w:t>
      </w:r>
    </w:p>
    <w:p w14:paraId="5CDBB5DF">
      <w:pPr>
        <w:spacing w:after="20"/>
      </w:pPr>
      <w:r>
        <w:rPr>
          <w:rFonts w:ascii="Times New Roman" w:hAnsi="Times New Roman"/>
          <w:sz w:val="16"/>
        </w:rPr>
        <w:t>[6] M.-A. Côté, Á. Kádár, X. Yuan, B. Kybartas, T. Barnes, E. Fine, J. Moore, M. Hausknecht, L. El Asri, M. Adrada-Schlegel, W. Tay, and A. Trischler, "TextWorld: A learning environment for text-based games," in Proc. Comput. Games Workshop (CGW@IJCAI), 2018.</w:t>
      </w:r>
    </w:p>
    <w:p w14:paraId="50B2D374">
      <w:pPr>
        <w:spacing w:after="20"/>
      </w:pPr>
      <w:r>
        <w:rPr>
          <w:rFonts w:ascii="Times New Roman" w:hAnsi="Times New Roman"/>
          <w:sz w:val="16"/>
        </w:rPr>
        <w:t>[7] M. Ahn, A. Brohan, N. Brown, Y. Chebotar, O. Cortes, B. David, C. Finn, C. Fu, K. Gopalakrishnan, K. Hausman, et al., "Do as I can, not as I say: Grounding language in robotic affordances," arXiv preprint arXiv:2204.01691, 2022.</w:t>
      </w:r>
    </w:p>
    <w:p w14:paraId="49EC7FC2">
      <w:pPr>
        <w:spacing w:after="20"/>
      </w:pPr>
      <w:r>
        <w:rPr>
          <w:rFonts w:ascii="Times New Roman" w:hAnsi="Times New Roman"/>
          <w:sz w:val="16"/>
        </w:rPr>
        <w:t>[8] D. Driess, F. Xia, M. S. M. Sajjadi, C. Lynch, A. Chowdhery, B. Ichter, A. Wahid, J. Tompson, Q. Vuong, T. Yu, et al., "PaLM-E: An embodied multimodal language model," in Proc. Int. Conf. Mach. Learn. (ICML), 2023.</w:t>
      </w:r>
    </w:p>
    <w:p w14:paraId="51FFE6F5">
      <w:pPr>
        <w:spacing w:after="20"/>
      </w:pPr>
      <w:r>
        <w:rPr>
          <w:rFonts w:ascii="Times New Roman" w:hAnsi="Times New Roman"/>
          <w:sz w:val="16"/>
        </w:rPr>
        <w:t>[9] A. Brohan, N. Brown, J. Carbajal, Y. Chebotar, X. Chen, K. Choromanski, T. Ding, D. Driess, A. Dubey, C. Finn, et al., "RT-2: Vision-language-action models transfer web knowledge to robotic control," arXiv preprint arXiv:2307.15818, 2023.</w:t>
      </w:r>
    </w:p>
    <w:p w14:paraId="3BE6189E">
      <w:pPr>
        <w:spacing w:after="20"/>
      </w:pPr>
      <w:r>
        <w:rPr>
          <w:rFonts w:ascii="Times New Roman" w:hAnsi="Times New Roman"/>
          <w:sz w:val="16"/>
        </w:rPr>
        <w:t>[10] D. Silver, A. Huang, C. J. Maddison, A. Guez, L. Sifre, G. van den Driessche, J. Schrittwieser, I. Antonoglou, V. Panneershelvam, M. Lanctot, et al., "Mastering the game of Go with deep neural networks and tree search," Nature, vol. 529, no. 7587, pp. 484-489, 2016.</w:t>
      </w:r>
    </w:p>
    <w:p w14:paraId="2AA7C840">
      <w:pPr>
        <w:spacing w:after="20"/>
      </w:pPr>
      <w:r>
        <w:rPr>
          <w:rFonts w:ascii="Times New Roman" w:hAnsi="Times New Roman"/>
          <w:sz w:val="16"/>
        </w:rPr>
        <w:t>[11] J. Schulman, F. Wolski, P. Dhariwal, A. Radford, and O. Klimov, "Proximal policy optimization algorithms," arXiv preprint arXiv:1707.06347, 2017.</w:t>
      </w:r>
    </w:p>
    <w:p w14:paraId="05218E70">
      <w:pPr>
        <w:spacing w:after="20"/>
      </w:pPr>
      <w:r>
        <w:rPr>
          <w:rFonts w:ascii="Times New Roman" w:hAnsi="Times New Roman"/>
          <w:sz w:val="16"/>
        </w:rPr>
        <w:t>[12] D. Kalashnikov, A. Irpan, P. Pastor, J. Ibarz, A. Herzog, E. Jang, D. Quillen, E. Holly, M. Kalakrishnan, V. Vanhoucke, and S. Levine, "Scalable deep reinforcement learning for vision-based robotic manipulation," in Proc. Conf. Robot Learn. (CoRL), 2018, pp. 651-673.</w:t>
      </w:r>
    </w:p>
    <w:p w14:paraId="02021461">
      <w:pPr>
        <w:spacing w:after="20"/>
      </w:pPr>
      <w:r>
        <w:rPr>
          <w:rFonts w:ascii="Times New Roman" w:hAnsi="Times New Roman"/>
          <w:sz w:val="16"/>
        </w:rPr>
        <w:t>[13] D. Kahneman, Thinking, Fast and Slow. New York, NY, USA: Farrar, Straus and Giroux, 2011.</w:t>
      </w:r>
    </w:p>
    <w:p w14:paraId="663EEF72">
      <w:pPr>
        <w:spacing w:after="20"/>
      </w:pPr>
      <w:r>
        <w:rPr>
          <w:rFonts w:ascii="Times New Roman" w:hAnsi="Times New Roman"/>
          <w:sz w:val="16"/>
        </w:rPr>
        <w:t>[14] J. García and F. Fernández, "A comprehensive survey on safe reinforcement learning," J. Mach. Learn. Res., vol. 16, no. 1, pp. 1437-1480, 2015.</w:t>
      </w:r>
    </w:p>
    <w:p w14:paraId="77C8AF64">
      <w:pPr>
        <w:spacing w:after="20"/>
      </w:pPr>
      <w:r>
        <w:rPr>
          <w:rFonts w:ascii="Times New Roman" w:hAnsi="Times New Roman"/>
          <w:sz w:val="16"/>
        </w:rPr>
        <w:t>[15] R. S. Sutton and A. G. Barto, Reinforcement Learning: An Introduction, 2nd ed. Cambridge, MA, USA: MIT Press, 2018.</w:t>
      </w:r>
    </w:p>
    <w:sectPr>
      <w:pgSz w:w="12240" w:h="15840"/>
      <w:pgMar w:top="1080" w:right="900" w:bottom="1440" w:left="900" w:header="720" w:footer="720"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80120B"/>
    <w:rsid w:val="0B4A77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4922</Words>
  <Characters>30820</Characters>
  <Lines>0</Lines>
  <Paragraphs>0</Paragraphs>
  <TotalTime>1</TotalTime>
  <ScaleCrop>false</ScaleCrop>
  <LinksUpToDate>false</LinksUpToDate>
  <CharactersWithSpaces>35544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2026-06-19T11:13:54Z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D447F574027A443B878B63FCEA1DE387_12</vt:lpwstr>
  </property>
</Properties>
</file>