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当前具身智能领域由两大主流路线主导：以视觉-语言-动作（VLA）端到端模型为代表的数据驱动路线，和以世界模型（World Models）为代表的环境动力学学习路线。两者共享一个根本假设——"知识必须从数据中习得"，由此导致三重困境：数据饥渴（需百万级轨迹或海量视频）、不可解释（数十亿参数形成黑箱）、安全无保证（缺乏先天约束机制）。本文提出具身智能的</w:t>
      </w:r>
      <w:r>
        <w:rPr>
          <w:b/>
        </w:rPr>
        <w:t>第三条技术路线——先验知识驱动路线</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路线（先验驱动的单条目精确更新、一轮即收敛的自进化机制）。实验表明：在物理域300物体零样本决策中，YLYW达到92.0%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YLYW；具身智能第三条技术路线；先验知识驱动决策；神经符号系统；知几学习；零样本具身推理；可解释AI；双八卦安全架构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具身智能的路线演进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，数据驱动路线取得了令人瞩目的成就。Ma等人（2026）在最新VLA综述中指出，当前VLA模型已达到数十亿参数规模，在标准化实验室环境中表现优异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，世界模型路线试图学习环境动力学的内部模拟器，通过"想象"来规划行动。Li等人（2025）的综述指出，世界模型在短时域预测中展现潜力，但面临长时域误差累积、物理一致性难保证等问题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第三条技术路线：先验知识驱动的具身决策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YLYW与前两条路线的本质区别在于</w:t>
      </w:r>
      <w:r>
        <w:rPr>
          <w:b/>
        </w:rPr>
        <w:t>知识来源不同</w:t>
      </w:r>
      <w:r>
        <w:t>：</w:t>
      </w:r>
    </w:p>
    <w:p w14:paraId="2BF028D0">
      <w:pPr>
        <w:ind w:firstLine="0"/>
        <w:jc w:val="center"/>
      </w:pPr>
      <w:r>
        <w:rPr>
          <w:b/>
          <w:sz w:val="18"/>
        </w:rPr>
        <w:t>表1  三种技术路线的知识获取方式对比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条路线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技术路线创新：</w:t>
      </w:r>
      <w:r>
        <w:t xml:space="preserve"> 首次提出具身智能的"先验知识驱动路线"（第三条技术路线），从理论层面论证其与数据驱动路线和世界模型路线的互补关系，为具身智能研究开辟新方向。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提出知几学习——先验知识驱动的自进化学习方式，无需梯度计算，单条目精确更新，一轮即收敛，实现了自进化具身AI的核心愿景但以先验为基础而非以大模型为基础。</w:t>
      </w:r>
    </w:p>
    <w:p w14:paraId="1838CEFA">
      <w:r>
        <w:t>（5）物理力学评估：50物体（8大类）零样本物理可行性验证达92.0%。YLYW仅使用13维语义特征（不含精确质量/摩擦/承力上限等参数），物理评估器使用标准双指力学+角度增益模型独立评分。与国际同行的间接对比表明，YLYW在完全零样本、无训练条件下达到可比拟的物理表现。</w:t>
      </w:r>
      <w:r>
        <w:rPr>
          <w:b/>
        </w:rPr>
      </w:r>
      <w:r/>
    </w:p>
    <w:p>
      <w:r>
        <w:t>引入基于经典双指夹爪力学模型的独立物理评估器，在50物体（8大类）上完成零样本物理可行性验证（92.0%），自适应学习3轮后收敛于92.0%。与Dex-Net 2.0、GraspNet-1B、GG-CNN等国际同行工作进行间接对比，论证了先验知识提供真实物理可行性。</w:t>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数据驱动路线：从强化学习到VLA大模型</w:t>
      </w:r>
    </w:p>
    <w:p w14:paraId="011F09E7">
      <w:r>
        <w:t>数据驱动路线是当前具身智能的主流路线，其演进脉络清晰：DQN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数据驱动路线的成就不可否认：RT-2首次证明了网络知识可迁移至机器人控制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世界模型路线</w:t>
      </w:r>
    </w:p>
    <w:p w14:paraId="75DCA3AA">
      <w:r>
        <w:t>世界模型路线试图回答一个更根本的问题：智能体能否通过学习环境动力学模型，在"想象"中规划行动？Hafner等人的DreamerV3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知几学习：先验知识驱动的自进化路线</w:t>
      </w:r>
    </w:p>
    <w:p w14:paraId="3BA3E442">
      <w:pPr>
        <w:pStyle w:val="4"/>
        <w:ind w:firstLine="0"/>
      </w:pPr>
      <w:r>
        <w:t>4.1 哲学基础与路线定位</w:t>
      </w:r>
    </w:p>
    <w:p w14:paraId="4D487DBD">
      <w:r>
        <w:t>"知几其神乎"——语出《易经·系辞下传》，意为"能从微小征兆中洞察变化规律，近乎神明"。"几"者，动之微、吉之先见者也。知几学习（Zhi-Ji Learning）以此为哲学基础，提出一种全新的学习路线：</w:t>
      </w:r>
      <w:r>
        <w:rPr>
          <w:b/>
        </w:rPr>
        <w:t>不是从数据中归纳规律，而是从先验出发，以极少量反馈精确校准</w:t>
      </w:r>
      <w:r>
        <w:t>。</w:t>
      </w:r>
    </w:p>
    <w:p w14:paraId="15140456">
      <w:r>
        <w:t>知几学习的路线定位既非强化学习的替代，亦非监督学习的变体，而是"先验知识驱动自进化"的独立路线。它与Feng等人（2026）提出的自进化具身AI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物理域：50物体物理力学评估（零样本）</w:t>
      </w:r>
    </w:p>
    <w:p w14:paraId="746D19E9">
      <w:pPr>
        <w:pStyle w:val="4"/>
        <w:ind w:firstLine="0"/>
      </w:pPr>
      <w:r>
        <w:t/>
      </w:r>
    </w:p>
    <w:p w14:paraId="746D19E9">
      <w:pPr>
        <w:pStyle w:val="4"/>
        <w:ind w:firstLine="0"/>
      </w:pPr>
      <w:r>
        <w:t>5.1.1 评估方法论：从语义合理到物理验证</w:t>
      </w:r>
    </w:p>
    <w:p w14:paraId="746D19E9">
      <w:pPr>
        <w:pStyle w:val="4"/>
        <w:ind w:firstLine="0"/>
      </w:pPr>
      <w:r>
        <w:t/>
      </w:r>
    </w:p>
    <w:p w14:paraId="746D19E9">
      <w:pPr>
        <w:ind w:firstLine="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746D19E9">
      <w:pPr>
        <w:pStyle w:val="4"/>
        <w:ind w:firstLine="0"/>
      </w:pPr>
      <w:r>
        <w:t/>
      </w:r>
    </w:p>
    <w:p w14:paraId="746D19E9">
      <w:pPr>
        <w:ind w:firstLine="42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746D19E9">
      <w:pPr>
        <w:pStyle w:val="4"/>
        <w:ind w:firstLine="0"/>
      </w:pPr>
      <w:r>
        <w:t/>
      </w:r>
    </w:p>
    <w:p w14:paraId="746D19E9">
      <w:pPr>
        <w:ind w:firstLine="42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746D19E9">
      <w:pPr>
        <w:pStyle w:val="4"/>
        <w:ind w:firstLine="0"/>
      </w:pPr>
      <w:r>
        <w:t/>
      </w:r>
    </w:p>
    <w:p w14:paraId="746D19E9">
      <w:pPr>
        <w:pStyle w:val="4"/>
        <w:ind w:firstLine="0"/>
      </w:pPr>
      <w:r>
        <w:t>5.1.2 评估模型：双指夹爪力学与角度增益</w:t>
      </w:r>
    </w:p>
    <w:p w14:paraId="746D19E9">
      <w:pPr>
        <w:pStyle w:val="4"/>
        <w:ind w:firstLine="0"/>
      </w:pPr>
      <w:r>
        <w:t/>
      </w:r>
    </w:p>
    <w:p w14:paraId="746D19E9">
      <w:pPr>
        <w:ind w:firstLine="420"/>
      </w:pPr>
      <w:r>
        <w:t>采用经典双指平行夹爪的力学模型，从三个维度独立评分：</w:t>
      </w:r>
    </w:p>
    <w:p w14:paraId="746D19E9">
      <w:pPr>
        <w:pStyle w:val="4"/>
        <w:ind w:firstLine="0"/>
      </w:pPr>
      <w:r>
        <w:t/>
      </w:r>
    </w:p>
    <w:p w14:paraId="746D19E9">
      <w:pPr>
        <w:ind w:firstLine="0"/>
      </w:pPr>
      <w:r>
        <w:t>（i）力闭合得分FC。基于摩擦锥分析。斜向抓取（角度theta）产生几何锁止效应，等效摩擦系数 mu_eff = mu * (1 + 0.5*sin(theta))。摩擦半角越大越稳定。球体/圆柱体施加几何惩罚因子0.75-0.85。</w:t>
      </w:r>
    </w:p>
    <w:p w14:paraId="746D19E9">
      <w:pPr>
        <w:pStyle w:val="4"/>
        <w:ind w:firstLine="0"/>
      </w:pPr>
      <w:r>
        <w:t/>
      </w:r>
    </w:p>
    <w:p w14:paraId="746D19E9">
      <w:pPr>
        <w:ind w:firstLine="420"/>
      </w:pPr>
      <w:r>
        <w:t>（ii）提升可行性得分Lift。斜向夹持时的总夹持力为摩擦力与几何锁止力之和：F_hold = 2*mu*F*cos(theta) + F*sin(theta)。安全余量映射为[0,1]得分，需F_hold &gt;= mg。</w:t>
      </w:r>
    </w:p>
    <w:p w14:paraId="746D19E9">
      <w:pPr>
        <w:pStyle w:val="4"/>
        <w:ind w:firstLine="0"/>
      </w:pPr>
      <w:r>
        <w:t/>
      </w:r>
    </w:p>
    <w:p w14:paraId="746D19E9">
      <w:pPr>
        <w:ind w:firstLine="420"/>
      </w:pPr>
      <w:r>
        <w:t>（iii）物体安全性得分Safe。F/F_max &lt;= 0.5为安全（1.0）、&lt;= 1.0为可接受（0.5）、&gt;1.0为损坏风险（0.0）。</w:t>
      </w:r>
    </w:p>
    <w:p w14:paraId="746D19E9">
      <w:pPr>
        <w:pStyle w:val="4"/>
        <w:ind w:firstLine="0"/>
      </w:pPr>
      <w:r>
        <w:t/>
      </w:r>
    </w:p>
    <w:p w14:paraId="746D19E9">
      <w:pPr>
        <w:ind w:firstLine="420"/>
      </w:pPr>
      <w:r>
        <w:t>综合判定T = 0.4*FC + 0.4*Lift + 0.2*Safe，T &gt;= 0.5判定为物理可行。力映射采用标准工业夹爪（Robotiq 2F-85）分段线性映射：F=0.30→3N，F=0.45→8N，F=0.60→16N，F=1.0→50N。</w:t>
      </w:r>
    </w:p>
    <w:p w14:paraId="746D19E9">
      <w:pPr>
        <w:pStyle w:val="4"/>
        <w:ind w:firstLine="0"/>
      </w:pPr>
      <w:r>
        <w:t/>
      </w:r>
    </w:p>
    <w:p w14:paraId="746D19E9">
      <w:pPr>
        <w:ind w:firstLine="42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746D19E9">
      <w:pPr>
        <w:pStyle w:val="4"/>
        <w:ind w:firstLine="0"/>
      </w:pPr>
      <w:r>
        <w:t/>
      </w:r>
    </w:p>
    <w:p w14:paraId="746D19E9">
      <w:pPr>
        <w:pStyle w:val="4"/>
        <w:ind w:firstLine="0"/>
      </w:pPr>
      <w:r>
        <w:t>5.1.3 物体数据集</w:t>
      </w:r>
    </w:p>
    <w:p w14:paraId="746D19E9">
      <w:pPr>
        <w:pStyle w:val="4"/>
        <w:ind w:firstLine="0"/>
      </w:pPr>
      <w:r>
        <w:t/>
      </w:r>
    </w:p>
    <w:p w14:paraId="746D19E9">
      <w:pPr>
        <w:ind w:firstLine="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746D19E9">
      <w:pPr>
        <w:pStyle w:val="4"/>
        <w:ind w:firstLine="0"/>
      </w:pPr>
      <w:r>
        <w:t/>
      </w:r>
    </w:p>
    <w:p w14:paraId="746D19E9">
      <w:pPr>
        <w:pStyle w:val="4"/>
        <w:ind w:firstLine="0"/>
      </w:pPr>
      <w:r>
        <w:t>5.1.4 零样本基线实验</w:t>
      </w:r>
    </w:p>
    <w:p w14:paraId="746D19E9">
      <w:pPr>
        <w:pStyle w:val="4"/>
        <w:ind w:firstLine="0"/>
      </w:pPr>
      <w:r>
        <w:t/>
      </w:r>
    </w:p>
    <w:p w14:paraId="746D19E9">
      <w:pPr>
        <w:ind w:firstLine="420"/>
      </w:pPr>
      <w:r>
        <w:t>YLYW使用完全初始的六十四卦规则（force_scale=1.0，未经任何调参），物理评估器使用标准双指力学+角度增益模型。每物体重复3次，50物体共150次试验。</w:t>
      </w:r>
    </w:p>
    <w:p w14:paraId="746D19E9">
      <w:pPr>
        <w:pStyle w:val="4"/>
        <w:ind w:firstLine="0"/>
      </w:pPr>
      <w:r>
        <w:t/>
      </w:r>
    </w:p>
    <w:p w14:paraId="746D19E9">
      <w:pPr>
        <w:pStyle w:val="4"/>
        <w:ind w:firstLine="0"/>
      </w:pPr>
      <w:r>
        <w:t/>
      </w:r>
    </w:p>
    <w:p w14:paraId="746D19E9">
      <w:pPr>
        <w:ind w:firstLine="0"/>
      </w:pPr>
      <w:r>
        <w:rPr>
          <w:b/>
          <w:bdr/>
        </w:rPr>
        <w:t>表7  零样本物理评估结果（n=150）</w:t>
      </w:r>
    </w:p>
    <w:tbl>
      <w:tblPr>
        <w:tblStyle w:val="33"/>
        <w:tblW w:type="auto" w:w="0"/>
        <w:tblLook w:firstColumn="1" w:firstRow="1" w:lastColumn="0" w:lastRow="0" w:noHBand="0" w:noVBand="1" w:val="04A0"/>
      </w:tblPr>
      <w:tblGrid>
        <w:gridCol w:w="1439"/>
        <w:gridCol w:w="1439"/>
        <w:gridCol w:w="1439"/>
        <w:gridCol w:w="1439"/>
        <w:gridCol w:w="1439"/>
        <w:gridCol w:w="1439"/>
      </w:tblGrid>
      <w:tr>
        <w:tc>
          <w:tcPr>
            <w:tcW w:type="dxa" w:w="1439"/>
          </w:tcPr>
          <w:p>
            <w:pPr/>
            <w:r>
              <w:rPr>
                <w:rFonts w:ascii="Times New Roman" w:hAnsi="Times New Roman"/>
                <w:b/>
                <w:sz w:val="18"/>
              </w:rPr>
              <w:t>物体类型</w:t>
            </w:r>
          </w:p>
        </w:tc>
        <w:tc>
          <w:tcPr>
            <w:tcW w:type="dxa" w:w="1439"/>
          </w:tcPr>
          <w:p>
            <w:pPr/>
            <w:r>
              <w:rPr>
                <w:rFonts w:ascii="Times New Roman" w:hAnsi="Times New Roman"/>
                <w:b/>
                <w:sz w:val="18"/>
              </w:rPr>
              <w:t>数量</w:t>
            </w:r>
          </w:p>
        </w:tc>
        <w:tc>
          <w:tcPr>
            <w:tcW w:type="dxa" w:w="1439"/>
          </w:tcPr>
          <w:p>
            <w:pPr/>
            <w:r>
              <w:rPr>
                <w:rFonts w:ascii="Times New Roman" w:hAnsi="Times New Roman"/>
                <w:b/>
                <w:sz w:val="18"/>
              </w:rPr>
              <w:t>成功率</w:t>
            </w:r>
          </w:p>
        </w:tc>
        <w:tc>
          <w:tcPr>
            <w:tcW w:type="dxa" w:w="1439"/>
          </w:tcPr>
          <w:p>
            <w:pPr/>
            <w:r>
              <w:rPr>
                <w:rFonts w:ascii="Times New Roman" w:hAnsi="Times New Roman"/>
                <w:b/>
                <w:sz w:val="18"/>
              </w:rPr>
              <w:t>力闭合均分</w:t>
            </w:r>
          </w:p>
        </w:tc>
        <w:tc>
          <w:tcPr>
            <w:tcW w:type="dxa" w:w="1439"/>
          </w:tcPr>
          <w:p>
            <w:pPr/>
            <w:r>
              <w:rPr>
                <w:rFonts w:ascii="Times New Roman" w:hAnsi="Times New Roman"/>
                <w:b/>
                <w:sz w:val="18"/>
              </w:rPr>
              <w:t>提升均分</w:t>
            </w:r>
          </w:p>
        </w:tc>
        <w:tc>
          <w:tcPr>
            <w:tcW w:type="dxa" w:w="1439"/>
          </w:tcPr>
          <w:p>
            <w:pPr/>
            <w:r>
              <w:rPr>
                <w:rFonts w:ascii="Times New Roman" w:hAnsi="Times New Roman"/>
                <w:b/>
                <w:sz w:val="18"/>
              </w:rPr>
              <w:t>安全均分</w:t>
            </w:r>
          </w:p>
        </w:tc>
      </w:tr>
      <w:tr>
        <w:tc>
          <w:tcPr>
            <w:tcW w:type="dxa" w:w="1439"/>
          </w:tcPr>
          <w:p>
            <w:pPr/>
            <w:r>
              <w:rPr>
                <w:rFonts w:ascii="Times New Roman" w:hAnsi="Times New Roman"/>
                <w:sz w:val="18"/>
              </w:rPr>
              <w:t>球体</w:t>
            </w:r>
          </w:p>
        </w:tc>
        <w:tc>
          <w:tcPr>
            <w:tcW w:type="dxa" w:w="1439"/>
          </w:tcPr>
          <w:p>
            <w:pPr/>
            <w:r>
              <w:rPr>
                <w:rFonts w:ascii="Times New Roman" w:hAnsi="Times New Roman"/>
                <w:sz w:val="18"/>
              </w:rPr>
              <w:t>24</w:t>
            </w:r>
          </w:p>
        </w:tc>
        <w:tc>
          <w:tcPr>
            <w:tcW w:type="dxa" w:w="1439"/>
          </w:tcPr>
          <w:p>
            <w:pPr/>
            <w:r>
              <w:rPr>
                <w:rFonts w:ascii="Times New Roman" w:hAnsi="Times New Roman"/>
                <w:sz w:val="18"/>
              </w:rPr>
              <w:t>100.0%</w:t>
            </w:r>
          </w:p>
        </w:tc>
        <w:tc>
          <w:tcPr>
            <w:tcW w:type="dxa" w:w="1439"/>
          </w:tcPr>
          <w:p>
            <w:pPr/>
            <w:r>
              <w:rPr>
                <w:rFonts w:ascii="Times New Roman" w:hAnsi="Times New Roman"/>
                <w:sz w:val="18"/>
              </w:rPr>
              <w:t>0.42</w:t>
            </w:r>
          </w:p>
        </w:tc>
        <w:tc>
          <w:tcPr>
            <w:tcW w:type="dxa" w:w="1439"/>
          </w:tcPr>
          <w:p>
            <w:pPr/>
            <w:r>
              <w:rPr>
                <w:rFonts w:ascii="Times New Roman" w:hAnsi="Times New Roman"/>
                <w:sz w:val="18"/>
              </w:rPr>
              <w:t>0.95</w:t>
            </w:r>
          </w:p>
        </w:tc>
        <w:tc>
          <w:tcPr>
            <w:tcW w:type="dxa" w:w="1439"/>
          </w:tcPr>
          <w:p>
            <w:pPr/>
            <w:r>
              <w:rPr>
                <w:rFonts w:ascii="Times New Roman" w:hAnsi="Times New Roman"/>
                <w:sz w:val="18"/>
              </w:rPr>
              <w:t>0.88</w:t>
            </w:r>
          </w:p>
        </w:tc>
      </w:tr>
      <w:tr>
        <w:tc>
          <w:tcPr>
            <w:tcW w:type="dxa" w:w="1439"/>
          </w:tcPr>
          <w:p>
            <w:pPr/>
            <w:r>
              <w:rPr>
                <w:rFonts w:ascii="Times New Roman" w:hAnsi="Times New Roman"/>
                <w:sz w:val="18"/>
              </w:rPr>
              <w:t>立方体</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0.52</w:t>
            </w:r>
          </w:p>
        </w:tc>
        <w:tc>
          <w:tcPr>
            <w:tcW w:type="dxa" w:w="1439"/>
          </w:tcPr>
          <w:p>
            <w:pPr/>
            <w:r>
              <w:rPr>
                <w:rFonts w:ascii="Times New Roman" w:hAnsi="Times New Roman"/>
                <w:sz w:val="18"/>
              </w:rPr>
              <w:t>1.00</w:t>
            </w:r>
          </w:p>
        </w:tc>
        <w:tc>
          <w:tcPr>
            <w:tcW w:type="dxa" w:w="1439"/>
          </w:tcPr>
          <w:p>
            <w:pPr/>
            <w:r>
              <w:rPr>
                <w:rFonts w:ascii="Times New Roman" w:hAnsi="Times New Roman"/>
                <w:sz w:val="18"/>
              </w:rPr>
              <w:t>1.00</w:t>
            </w:r>
          </w:p>
        </w:tc>
      </w:tr>
      <w:tr>
        <w:tc>
          <w:tcPr>
            <w:tcW w:type="dxa" w:w="1439"/>
          </w:tcPr>
          <w:p>
            <w:pPr/>
            <w:r>
              <w:rPr>
                <w:rFonts w:ascii="Times New Roman" w:hAnsi="Times New Roman"/>
                <w:sz w:val="18"/>
              </w:rPr>
              <w:t>圆柱体</w:t>
            </w:r>
          </w:p>
        </w:tc>
        <w:tc>
          <w:tcPr>
            <w:tcW w:type="dxa" w:w="1439"/>
          </w:tcPr>
          <w:p>
            <w:pPr/>
            <w:r>
              <w:rPr>
                <w:rFonts w:ascii="Times New Roman" w:hAnsi="Times New Roman"/>
                <w:sz w:val="18"/>
              </w:rPr>
              <w:t>18</w:t>
            </w:r>
          </w:p>
        </w:tc>
        <w:tc>
          <w:tcPr>
            <w:tcW w:type="dxa" w:w="1439"/>
          </w:tcPr>
          <w:p>
            <w:pPr/>
            <w:r>
              <w:rPr>
                <w:rFonts w:ascii="Times New Roman" w:hAnsi="Times New Roman"/>
                <w:sz w:val="18"/>
              </w:rPr>
              <w:t>66.7%</w:t>
            </w:r>
          </w:p>
        </w:tc>
        <w:tc>
          <w:tcPr>
            <w:tcW w:type="dxa" w:w="1439"/>
          </w:tcPr>
          <w:p>
            <w:pPr/>
            <w:r>
              <w:rPr>
                <w:rFonts w:ascii="Times New Roman" w:hAnsi="Times New Roman"/>
                <w:sz w:val="18"/>
              </w:rPr>
              <w:t>0.42</w:t>
            </w:r>
          </w:p>
        </w:tc>
        <w:tc>
          <w:tcPr>
            <w:tcW w:type="dxa" w:w="1439"/>
          </w:tcPr>
          <w:p>
            <w:pPr/>
            <w:r>
              <w:rPr>
                <w:rFonts w:ascii="Times New Roman" w:hAnsi="Times New Roman"/>
                <w:sz w:val="18"/>
              </w:rPr>
              <w:t>0.67</w:t>
            </w:r>
          </w:p>
        </w:tc>
        <w:tc>
          <w:tcPr>
            <w:tcW w:type="dxa" w:w="1439"/>
          </w:tcPr>
          <w:p>
            <w:pPr/>
            <w:r>
              <w:rPr>
                <w:rFonts w:ascii="Times New Roman" w:hAnsi="Times New Roman"/>
                <w:sz w:val="18"/>
              </w:rPr>
              <w:t>0.92</w:t>
            </w:r>
          </w:p>
        </w:tc>
      </w:tr>
      <w:tr>
        <w:tc>
          <w:tcPr>
            <w:tcW w:type="dxa" w:w="1439"/>
          </w:tcPr>
          <w:p>
            <w:pPr/>
            <w:r>
              <w:rPr>
                <w:rFonts w:ascii="Times New Roman" w:hAnsi="Times New Roman"/>
                <w:sz w:val="18"/>
              </w:rPr>
              <w:t>碗</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0.40</w:t>
            </w:r>
          </w:p>
        </w:tc>
        <w:tc>
          <w:tcPr>
            <w:tcW w:type="dxa" w:w="1439"/>
          </w:tcPr>
          <w:p>
            <w:pPr/>
            <w:r>
              <w:rPr>
                <w:rFonts w:ascii="Times New Roman" w:hAnsi="Times New Roman"/>
                <w:sz w:val="18"/>
              </w:rPr>
              <w:t>0.85</w:t>
            </w:r>
          </w:p>
        </w:tc>
        <w:tc>
          <w:tcPr>
            <w:tcW w:type="dxa" w:w="1439"/>
          </w:tcPr>
          <w:p>
            <w:pPr/>
            <w:r>
              <w:rPr>
                <w:rFonts w:ascii="Times New Roman" w:hAnsi="Times New Roman"/>
                <w:sz w:val="18"/>
              </w:rPr>
              <w:t>0.95</w:t>
            </w:r>
          </w:p>
        </w:tc>
      </w:tr>
      <w:tr>
        <w:tc>
          <w:tcPr>
            <w:tcW w:type="dxa" w:w="1439"/>
          </w:tcPr>
          <w:p>
            <w:pPr/>
            <w:r>
              <w:rPr>
                <w:rFonts w:ascii="Times New Roman" w:hAnsi="Times New Roman"/>
                <w:sz w:val="18"/>
              </w:rPr>
              <w:t>瓶子</w:t>
            </w:r>
          </w:p>
        </w:tc>
        <w:tc>
          <w:tcPr>
            <w:tcW w:type="dxa" w:w="1439"/>
          </w:tcPr>
          <w:p>
            <w:pPr/>
            <w:r>
              <w:rPr>
                <w:rFonts w:ascii="Times New Roman" w:hAnsi="Times New Roman"/>
                <w:sz w:val="18"/>
              </w:rPr>
              <w:t>18</w:t>
            </w:r>
          </w:p>
        </w:tc>
        <w:tc>
          <w:tcPr>
            <w:tcW w:type="dxa" w:w="1439"/>
          </w:tcPr>
          <w:p>
            <w:pPr/>
            <w:r>
              <w:rPr>
                <w:rFonts w:ascii="Times New Roman" w:hAnsi="Times New Roman"/>
                <w:sz w:val="18"/>
              </w:rPr>
              <w:t>66.7%</w:t>
            </w:r>
          </w:p>
        </w:tc>
        <w:tc>
          <w:tcPr>
            <w:tcW w:type="dxa" w:w="1439"/>
          </w:tcPr>
          <w:p>
            <w:pPr/>
            <w:r>
              <w:rPr>
                <w:rFonts w:ascii="Times New Roman" w:hAnsi="Times New Roman"/>
                <w:sz w:val="18"/>
              </w:rPr>
              <w:t>0.25</w:t>
            </w:r>
          </w:p>
        </w:tc>
        <w:tc>
          <w:tcPr>
            <w:tcW w:type="dxa" w:w="1439"/>
          </w:tcPr>
          <w:p>
            <w:pPr/>
            <w:r>
              <w:rPr>
                <w:rFonts w:ascii="Times New Roman" w:hAnsi="Times New Roman"/>
                <w:sz w:val="18"/>
              </w:rPr>
              <w:t>0.67</w:t>
            </w:r>
          </w:p>
        </w:tc>
        <w:tc>
          <w:tcPr>
            <w:tcW w:type="dxa" w:w="1439"/>
          </w:tcPr>
          <w:p>
            <w:pPr/>
            <w:r>
              <w:rPr>
                <w:rFonts w:ascii="Times New Roman" w:hAnsi="Times New Roman"/>
                <w:sz w:val="18"/>
              </w:rPr>
              <w:t>0.89</w:t>
            </w:r>
          </w:p>
        </w:tc>
      </w:tr>
      <w:tr>
        <w:tc>
          <w:tcPr>
            <w:tcW w:type="dxa" w:w="1439"/>
          </w:tcPr>
          <w:p>
            <w:pPr/>
            <w:r>
              <w:rPr>
                <w:rFonts w:ascii="Times New Roman" w:hAnsi="Times New Roman"/>
                <w:sz w:val="18"/>
              </w:rPr>
              <w:t>盘子</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0.22</w:t>
            </w:r>
          </w:p>
        </w:tc>
        <w:tc>
          <w:tcPr>
            <w:tcW w:type="dxa" w:w="1439"/>
          </w:tcPr>
          <w:p>
            <w:pPr/>
            <w:r>
              <w:rPr>
                <w:rFonts w:ascii="Times New Roman" w:hAnsi="Times New Roman"/>
                <w:sz w:val="18"/>
              </w:rPr>
              <w:t>0.85</w:t>
            </w:r>
          </w:p>
        </w:tc>
        <w:tc>
          <w:tcPr>
            <w:tcW w:type="dxa" w:w="1439"/>
          </w:tcPr>
          <w:p>
            <w:pPr/>
            <w:r>
              <w:rPr>
                <w:rFonts w:ascii="Times New Roman" w:hAnsi="Times New Roman"/>
                <w:sz w:val="18"/>
              </w:rPr>
              <w:t>0.95</w:t>
            </w:r>
          </w:p>
        </w:tc>
      </w:tr>
      <w:tr>
        <w:tc>
          <w:tcPr>
            <w:tcW w:type="dxa" w:w="1439"/>
          </w:tcPr>
          <w:p>
            <w:pPr/>
            <w:r>
              <w:rPr>
                <w:rFonts w:ascii="Times New Roman" w:hAnsi="Times New Roman"/>
                <w:sz w:val="18"/>
              </w:rPr>
              <w:t>石块</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0.42</w:t>
            </w:r>
          </w:p>
        </w:tc>
        <w:tc>
          <w:tcPr>
            <w:tcW w:type="dxa" w:w="1439"/>
          </w:tcPr>
          <w:p>
            <w:pPr/>
            <w:r>
              <w:rPr>
                <w:rFonts w:ascii="Times New Roman" w:hAnsi="Times New Roman"/>
                <w:sz w:val="18"/>
              </w:rPr>
              <w:t>0.85</w:t>
            </w:r>
          </w:p>
        </w:tc>
        <w:tc>
          <w:tcPr>
            <w:tcW w:type="dxa" w:w="1439"/>
          </w:tcPr>
          <w:p>
            <w:pPr/>
            <w:r>
              <w:rPr>
                <w:rFonts w:ascii="Times New Roman" w:hAnsi="Times New Roman"/>
                <w:sz w:val="18"/>
              </w:rPr>
              <w:t>1.00</w:t>
            </w:r>
          </w:p>
        </w:tc>
      </w:tr>
      <w:tr>
        <w:tc>
          <w:tcPr>
            <w:tcW w:type="dxa" w:w="1439"/>
          </w:tcPr>
          <w:p>
            <w:pPr/>
            <w:r>
              <w:rPr>
                <w:rFonts w:ascii="Times New Roman" w:hAnsi="Times New Roman"/>
                <w:sz w:val="18"/>
              </w:rPr>
              <w:t>花瓶</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0.14</w:t>
            </w:r>
          </w:p>
        </w:tc>
        <w:tc>
          <w:tcPr>
            <w:tcW w:type="dxa" w:w="1439"/>
          </w:tcPr>
          <w:p>
            <w:pPr/>
            <w:r>
              <w:rPr>
                <w:rFonts w:ascii="Times New Roman" w:hAnsi="Times New Roman"/>
                <w:sz w:val="18"/>
              </w:rPr>
              <w:t>0.67</w:t>
            </w:r>
          </w:p>
        </w:tc>
        <w:tc>
          <w:tcPr>
            <w:tcW w:type="dxa" w:w="1439"/>
          </w:tcPr>
          <w:p>
            <w:pPr/>
            <w:r>
              <w:rPr>
                <w:rFonts w:ascii="Times New Roman" w:hAnsi="Times New Roman"/>
                <w:sz w:val="18"/>
              </w:rPr>
              <w:t>0.72</w:t>
            </w:r>
          </w:p>
        </w:tc>
      </w:tr>
      <w:tr>
        <w:tc>
          <w:tcPr>
            <w:tcW w:type="dxa" w:w="1439"/>
          </w:tcPr>
          <w:p>
            <w:pPr/>
            <w:r>
              <w:rPr>
                <w:rFonts w:ascii="Times New Roman" w:hAnsi="Times New Roman"/>
                <w:sz w:val="18"/>
              </w:rPr>
              <w:t>总计</w:t>
            </w:r>
          </w:p>
        </w:tc>
        <w:tc>
          <w:tcPr>
            <w:tcW w:type="dxa" w:w="1439"/>
          </w:tcPr>
          <w:p>
            <w:pPr/>
            <w:r>
              <w:rPr>
                <w:rFonts w:ascii="Times New Roman" w:hAnsi="Times New Roman"/>
                <w:sz w:val="18"/>
              </w:rPr>
              <w:t>150</w:t>
            </w:r>
          </w:p>
        </w:tc>
        <w:tc>
          <w:tcPr>
            <w:tcW w:type="dxa" w:w="1439"/>
          </w:tcPr>
          <w:p>
            <w:pPr/>
            <w:r>
              <w:rPr>
                <w:rFonts w:ascii="Times New Roman" w:hAnsi="Times New Roman"/>
                <w:sz w:val="18"/>
              </w:rPr>
              <w:t>92.0%</w:t>
            </w:r>
          </w:p>
        </w:tc>
        <w:tc>
          <w:tcPr>
            <w:tcW w:type="dxa" w:w="1439"/>
          </w:tcPr>
          <w:p>
            <w:pPr/>
            <w:r>
              <w:rPr>
                <w:rFonts w:ascii="Times New Roman" w:hAnsi="Times New Roman"/>
                <w:sz w:val="18"/>
              </w:rPr>
              <w:t>0.35</w:t>
            </w:r>
          </w:p>
        </w:tc>
        <w:tc>
          <w:tcPr>
            <w:tcW w:type="dxa" w:w="1439"/>
          </w:tcPr>
          <w:p>
            <w:pPr/>
            <w:r>
              <w:rPr>
                <w:rFonts w:ascii="Times New Roman" w:hAnsi="Times New Roman"/>
                <w:sz w:val="18"/>
              </w:rPr>
              <w:t>0.86</w:t>
            </w:r>
          </w:p>
        </w:tc>
        <w:tc>
          <w:tcPr>
            <w:tcW w:type="dxa" w:w="1439"/>
          </w:tcPr>
          <w:p>
            <w:pPr/>
            <w:r>
              <w:rPr>
                <w:rFonts w:ascii="Times New Roman" w:hAnsi="Times New Roman"/>
                <w:sz w:val="18"/>
              </w:rPr>
              <w:t>0.91</w:t>
            </w:r>
          </w:p>
        </w:tc>
      </w:tr>
    </w:tbl>
    <w:p w14:paraId="746D19E9">
      <w:pPr>
        <w:ind w:firstLine="0"/>
      </w:pPr>
      <w:r>
        <w:rPr>
          <w:b/>
          <w:bdr/>
        </w:rPr>
        <w:t/>
      </w:r>
    </w:p>
    <w:p w14:paraId="746D19E9">
      <w:pPr>
        <w:pStyle w:val="4"/>
        <w:ind w:firstLine="0"/>
      </w:pPr>
      <w:r>
        <w:t/>
      </w:r>
    </w:p>
    <w:p w14:paraId="746D19E9">
      <w:pPr>
        <w:ind w:firstLine="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746D19E9">
      <w:pPr>
        <w:pStyle w:val="4"/>
        <w:ind w:firstLine="0"/>
      </w:pPr>
      <w:r>
        <w:t/>
      </w:r>
    </w:p>
    <w:p w14:paraId="746D19E9">
      <w:pPr>
        <w:pStyle w:val="4"/>
        <w:ind w:firstLine="0"/>
      </w:pPr>
      <w:r>
        <w:t>5.1.5 自适应学习实验</w:t>
      </w:r>
    </w:p>
    <w:p w14:paraId="746D19E9">
      <w:pPr>
        <w:pStyle w:val="4"/>
        <w:ind w:firstLine="0"/>
      </w:pPr>
      <w:r>
        <w:t/>
      </w:r>
    </w:p>
    <w:p w14:paraId="746D19E9">
      <w:pPr>
        <w:ind w:firstLine="0"/>
      </w:pPr>
      <w:r>
        <w:t>从零样本基线出发，逐轮根据物理评估的失败反馈自动调整YLYW参数。每轮150次试验。调整策略：Round 0-2根据全局成功率调整force_scale；Round 3+对失败率最高的物体类型提升对应卦象力预设（每次x1.08）。</w:t>
      </w:r>
    </w:p>
    <w:p w14:paraId="746D19E9">
      <w:pPr>
        <w:pStyle w:val="4"/>
        <w:ind w:firstLine="0"/>
      </w:pPr>
      <w:r>
        <w:t/>
      </w:r>
    </w:p>
    <w:p w14:paraId="746D19E9">
      <w:pPr>
        <w:ind w:firstLine="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746D19E9">
      <w:pPr>
        <w:pStyle w:val="4"/>
        <w:ind w:firstLine="0"/>
      </w:pPr>
      <w:r>
        <w:t/>
      </w:r>
    </w:p>
    <w:p w14:paraId="746D19E9">
      <w:pPr>
        <w:pStyle w:val="4"/>
        <w:ind w:firstLine="0"/>
      </w:pPr>
      <w:r>
        <w:t>5.1.6 与国际同行的间接对比</w:t>
      </w:r>
    </w:p>
    <w:p w14:paraId="746D19E9">
      <w:pPr>
        <w:pStyle w:val="4"/>
        <w:ind w:firstLine="0"/>
      </w:pPr>
      <w:r>
        <w:t/>
      </w:r>
    </w:p>
    <w:p w14:paraId="746D19E9">
      <w:pPr>
        <w:ind w:firstLine="0"/>
      </w:pPr>
      <w:r>
        <w:rPr>
          <w:b/>
          <w:bdr/>
        </w:rPr>
        <w:t>表8  抓取策略成功率的间接对比</w:t>
      </w:r>
    </w:p>
    <w:tbl>
      <w:tblPr>
        <w:tblStyle w:val="33"/>
        <w:tblW w:type="auto" w:w="0"/>
        <w:tblLook w:firstColumn="1" w:firstRow="1" w:lastColumn="0" w:lastRow="0" w:noHBand="0" w:noVBand="1" w:val="04A0"/>
      </w:tblPr>
      <w:tblGrid>
        <w:gridCol w:w="1439"/>
        <w:gridCol w:w="1439"/>
        <w:gridCol w:w="1439"/>
        <w:gridCol w:w="1439"/>
        <w:gridCol w:w="1439"/>
        <w:gridCol w:w="1439"/>
      </w:tblGrid>
      <w:tr>
        <w:tc>
          <w:tcPr>
            <w:tcW w:type="dxa" w:w="1439"/>
          </w:tcPr>
          <w:p>
            <w:pPr/>
            <w:r>
              <w:rPr>
                <w:rFonts w:ascii="Times New Roman" w:hAnsi="Times New Roman"/>
                <w:b/>
                <w:sz w:val="18"/>
              </w:rPr>
              <w:t>方法</w:t>
            </w:r>
          </w:p>
        </w:tc>
        <w:tc>
          <w:tcPr>
            <w:tcW w:type="dxa" w:w="1439"/>
          </w:tcPr>
          <w:p>
            <w:pPr/>
            <w:r>
              <w:rPr>
                <w:rFonts w:ascii="Times New Roman" w:hAnsi="Times New Roman"/>
                <w:b/>
                <w:sz w:val="18"/>
              </w:rPr>
              <w:t>零样本</w:t>
            </w:r>
          </w:p>
        </w:tc>
        <w:tc>
          <w:tcPr>
            <w:tcW w:type="dxa" w:w="1439"/>
          </w:tcPr>
          <w:p>
            <w:pPr/>
            <w:r>
              <w:rPr>
                <w:rFonts w:ascii="Times New Roman" w:hAnsi="Times New Roman"/>
                <w:b/>
                <w:sz w:val="18"/>
              </w:rPr>
              <w:t>无需训练</w:t>
            </w:r>
          </w:p>
        </w:tc>
        <w:tc>
          <w:tcPr>
            <w:tcW w:type="dxa" w:w="1439"/>
          </w:tcPr>
          <w:p>
            <w:pPr/>
            <w:r>
              <w:rPr>
                <w:rFonts w:ascii="Times New Roman" w:hAnsi="Times New Roman"/>
                <w:b/>
                <w:sz w:val="18"/>
              </w:rPr>
              <w:t>物体数</w:t>
            </w:r>
          </w:p>
        </w:tc>
        <w:tc>
          <w:tcPr>
            <w:tcW w:type="dxa" w:w="1439"/>
          </w:tcPr>
          <w:p>
            <w:pPr/>
            <w:r>
              <w:rPr>
                <w:rFonts w:ascii="Times New Roman" w:hAnsi="Times New Roman"/>
                <w:b/>
                <w:sz w:val="18"/>
              </w:rPr>
              <w:t>评估方式</w:t>
            </w:r>
          </w:p>
        </w:tc>
        <w:tc>
          <w:tcPr>
            <w:tcW w:type="dxa" w:w="1439"/>
          </w:tcPr>
          <w:p>
            <w:pPr/>
            <w:r>
              <w:rPr>
                <w:rFonts w:ascii="Times New Roman" w:hAnsi="Times New Roman"/>
                <w:b/>
                <w:sz w:val="18"/>
              </w:rPr>
              <w:t>成功率</w:t>
            </w:r>
          </w:p>
        </w:tc>
      </w:tr>
      <w:tr>
        <w:tc>
          <w:tcPr>
            <w:tcW w:type="dxa" w:w="1439"/>
          </w:tcPr>
          <w:p>
            <w:pPr/>
            <w:r>
              <w:rPr>
                <w:rFonts w:ascii="Times New Roman" w:hAnsi="Times New Roman"/>
                <w:sz w:val="18"/>
              </w:rPr>
              <w:t>Dex-Net 2.0[31]</w:t>
            </w:r>
          </w:p>
        </w:tc>
        <w:tc>
          <w:tcPr>
            <w:tcW w:type="dxa" w:w="1439"/>
          </w:tcPr>
          <w:p>
            <w:pPr/>
            <w:r>
              <w:rPr>
                <w:rFonts w:ascii="Times New Roman" w:hAnsi="Times New Roman"/>
                <w:sz w:val="18"/>
              </w:rPr>
              <w:t>否</w:t>
            </w:r>
          </w:p>
        </w:tc>
        <w:tc>
          <w:tcPr>
            <w:tcW w:type="dxa" w:w="1439"/>
          </w:tcPr>
          <w:p>
            <w:pPr/>
            <w:r>
              <w:rPr>
                <w:rFonts w:ascii="Times New Roman" w:hAnsi="Times New Roman"/>
                <w:sz w:val="18"/>
              </w:rPr>
              <w:t>否</w:t>
            </w:r>
          </w:p>
        </w:tc>
        <w:tc>
          <w:tcPr>
            <w:tcW w:type="dxa" w:w="1439"/>
          </w:tcPr>
          <w:p>
            <w:pPr/>
            <w:r>
              <w:rPr>
                <w:rFonts w:ascii="Times New Roman" w:hAnsi="Times New Roman"/>
                <w:sz w:val="18"/>
              </w:rPr>
              <w:t>~100</w:t>
            </w:r>
          </w:p>
        </w:tc>
        <w:tc>
          <w:tcPr>
            <w:tcW w:type="dxa" w:w="1439"/>
          </w:tcPr>
          <w:p>
            <w:pPr/>
            <w:r>
              <w:rPr>
                <w:rFonts w:ascii="Times New Roman" w:hAnsi="Times New Roman"/>
                <w:sz w:val="18"/>
              </w:rPr>
              <w:t>合成仿真力闭合</w:t>
            </w:r>
          </w:p>
        </w:tc>
        <w:tc>
          <w:tcPr>
            <w:tcW w:type="dxa" w:w="1439"/>
          </w:tcPr>
          <w:p>
            <w:pPr/>
            <w:r>
              <w:rPr>
                <w:rFonts w:ascii="Times New Roman" w:hAnsi="Times New Roman"/>
                <w:sz w:val="18"/>
              </w:rPr>
              <w:t>93%</w:t>
            </w:r>
          </w:p>
        </w:tc>
      </w:tr>
      <w:tr>
        <w:tc>
          <w:tcPr>
            <w:tcW w:type="dxa" w:w="1439"/>
          </w:tcPr>
          <w:p>
            <w:pPr/>
            <w:r>
              <w:rPr>
                <w:rFonts w:ascii="Times New Roman" w:hAnsi="Times New Roman"/>
                <w:sz w:val="18"/>
              </w:rPr>
              <w:t>GG-CNN[32]</w:t>
            </w:r>
          </w:p>
        </w:tc>
        <w:tc>
          <w:tcPr>
            <w:tcW w:type="dxa" w:w="1439"/>
          </w:tcPr>
          <w:p>
            <w:pPr/>
            <w:r>
              <w:rPr>
                <w:rFonts w:ascii="Times New Roman" w:hAnsi="Times New Roman"/>
                <w:sz w:val="18"/>
              </w:rPr>
              <w:t>否</w:t>
            </w:r>
          </w:p>
        </w:tc>
        <w:tc>
          <w:tcPr>
            <w:tcW w:type="dxa" w:w="1439"/>
          </w:tcPr>
          <w:p>
            <w:pPr/>
            <w:r>
              <w:rPr>
                <w:rFonts w:ascii="Times New Roman" w:hAnsi="Times New Roman"/>
                <w:sz w:val="18"/>
              </w:rPr>
              <w:t>否</w:t>
            </w:r>
          </w:p>
        </w:tc>
        <w:tc>
          <w:tcPr>
            <w:tcW w:type="dxa" w:w="1439"/>
          </w:tcPr>
          <w:p>
            <w:pPr/>
            <w:r>
              <w:rPr>
                <w:rFonts w:ascii="Times New Roman" w:hAnsi="Times New Roman"/>
                <w:sz w:val="18"/>
              </w:rPr>
              <w:t>8</w:t>
            </w:r>
          </w:p>
        </w:tc>
        <w:tc>
          <w:tcPr>
            <w:tcW w:type="dxa" w:w="1439"/>
          </w:tcPr>
          <w:p>
            <w:pPr/>
            <w:r>
              <w:rPr>
                <w:rFonts w:ascii="Times New Roman" w:hAnsi="Times New Roman"/>
                <w:sz w:val="18"/>
              </w:rPr>
              <w:t>物理抓取</w:t>
            </w:r>
          </w:p>
        </w:tc>
        <w:tc>
          <w:tcPr>
            <w:tcW w:type="dxa" w:w="1439"/>
          </w:tcPr>
          <w:p>
            <w:pPr/>
            <w:r>
              <w:rPr>
                <w:rFonts w:ascii="Times New Roman" w:hAnsi="Times New Roman"/>
                <w:sz w:val="18"/>
              </w:rPr>
              <w:t>83%</w:t>
            </w:r>
          </w:p>
        </w:tc>
      </w:tr>
      <w:tr>
        <w:tc>
          <w:tcPr>
            <w:tcW w:type="dxa" w:w="1439"/>
          </w:tcPr>
          <w:p>
            <w:pPr/>
            <w:r>
              <w:rPr>
                <w:rFonts w:ascii="Times New Roman" w:hAnsi="Times New Roman"/>
                <w:sz w:val="18"/>
              </w:rPr>
              <w:t>GraspNet-1B[33]</w:t>
            </w:r>
          </w:p>
        </w:tc>
        <w:tc>
          <w:tcPr>
            <w:tcW w:type="dxa" w:w="1439"/>
          </w:tcPr>
          <w:p>
            <w:pPr/>
            <w:r>
              <w:rPr>
                <w:rFonts w:ascii="Times New Roman" w:hAnsi="Times New Roman"/>
                <w:sz w:val="18"/>
              </w:rPr>
              <w:t>是</w:t>
            </w:r>
          </w:p>
        </w:tc>
        <w:tc>
          <w:tcPr>
            <w:tcW w:type="dxa" w:w="1439"/>
          </w:tcPr>
          <w:p>
            <w:pPr/>
            <w:r>
              <w:rPr>
                <w:rFonts w:ascii="Times New Roman" w:hAnsi="Times New Roman"/>
                <w:sz w:val="18"/>
              </w:rPr>
              <w:t>否</w:t>
            </w:r>
          </w:p>
        </w:tc>
        <w:tc>
          <w:tcPr>
            <w:tcW w:type="dxa" w:w="1439"/>
          </w:tcPr>
          <w:p>
            <w:pPr/>
            <w:r>
              <w:rPr>
                <w:rFonts w:ascii="Times New Roman" w:hAnsi="Times New Roman"/>
                <w:sz w:val="18"/>
              </w:rPr>
              <w:t>88</w:t>
            </w:r>
          </w:p>
        </w:tc>
        <w:tc>
          <w:tcPr>
            <w:tcW w:type="dxa" w:w="1439"/>
          </w:tcPr>
          <w:p>
            <w:pPr/>
            <w:r>
              <w:rPr>
                <w:rFonts w:ascii="Times New Roman" w:hAnsi="Times New Roman"/>
                <w:sz w:val="18"/>
              </w:rPr>
              <w:t>合成仿真 6-DoF</w:t>
            </w:r>
          </w:p>
        </w:tc>
        <w:tc>
          <w:tcPr>
            <w:tcW w:type="dxa" w:w="1439"/>
          </w:tcPr>
          <w:p>
            <w:pPr/>
            <w:r>
              <w:rPr>
                <w:rFonts w:ascii="Times New Roman" w:hAnsi="Times New Roman"/>
                <w:sz w:val="18"/>
              </w:rPr>
              <w:t>65-85%</w:t>
            </w:r>
          </w:p>
        </w:tc>
      </w:tr>
      <w:tr>
        <w:tc>
          <w:tcPr>
            <w:tcW w:type="dxa" w:w="1439"/>
          </w:tcPr>
          <w:p>
            <w:pPr/>
            <w:r>
              <w:rPr>
                <w:rFonts w:ascii="Times New Roman" w:hAnsi="Times New Roman"/>
                <w:sz w:val="18"/>
              </w:rPr>
              <w:t>YLYW（本文）</w:t>
            </w:r>
          </w:p>
        </w:tc>
        <w:tc>
          <w:tcPr>
            <w:tcW w:type="dxa" w:w="1439"/>
          </w:tcPr>
          <w:p>
            <w:pPr/>
            <w:r>
              <w:rPr>
                <w:rFonts w:ascii="Times New Roman" w:hAnsi="Times New Roman"/>
                <w:sz w:val="18"/>
              </w:rPr>
              <w:t>是</w:t>
            </w:r>
          </w:p>
        </w:tc>
        <w:tc>
          <w:tcPr>
            <w:tcW w:type="dxa" w:w="1439"/>
          </w:tcPr>
          <w:p>
            <w:pPr/>
            <w:r>
              <w:rPr>
                <w:rFonts w:ascii="Times New Roman" w:hAnsi="Times New Roman"/>
                <w:sz w:val="18"/>
              </w:rPr>
              <w:t>是</w:t>
            </w:r>
          </w:p>
        </w:tc>
        <w:tc>
          <w:tcPr>
            <w:tcW w:type="dxa" w:w="1439"/>
          </w:tcPr>
          <w:p>
            <w:pPr/>
            <w:r>
              <w:rPr>
                <w:rFonts w:ascii="Times New Roman" w:hAnsi="Times New Roman"/>
                <w:sz w:val="18"/>
              </w:rPr>
              <w:t>50</w:t>
            </w:r>
          </w:p>
        </w:tc>
        <w:tc>
          <w:tcPr>
            <w:tcW w:type="dxa" w:w="1439"/>
          </w:tcPr>
          <w:p>
            <w:pPr/>
            <w:r>
              <w:rPr>
                <w:rFonts w:ascii="Times New Roman" w:hAnsi="Times New Roman"/>
                <w:sz w:val="18"/>
              </w:rPr>
              <w:t>标准力学解析 + 角度增益</w:t>
            </w:r>
          </w:p>
        </w:tc>
        <w:tc>
          <w:tcPr>
            <w:tcW w:type="dxa" w:w="1439"/>
          </w:tcPr>
          <w:p>
            <w:pPr/>
            <w:r>
              <w:rPr>
                <w:rFonts w:ascii="Times New Roman" w:hAnsi="Times New Roman"/>
                <w:sz w:val="18"/>
              </w:rPr>
              <w:t>92.0%</w:t>
            </w:r>
          </w:p>
        </w:tc>
      </w:tr>
    </w:tbl>
    <w:p w14:paraId="746D19E9">
      <w:pPr>
        <w:ind w:firstLine="0"/>
      </w:pPr>
      <w:r>
        <w:rPr>
          <w:b/>
          <w:bdr/>
        </w:rPr>
        <w:t/>
      </w:r>
    </w:p>
    <w:p w14:paraId="746D19E9">
      <w:pPr>
        <w:pStyle w:val="4"/>
        <w:ind w:firstLine="0"/>
      </w:pPr>
      <w:r>
        <w:t/>
      </w:r>
    </w:p>
    <w:p w14:paraId="746D19E9">
      <w:pPr>
        <w:pStyle w:val="4"/>
        <w:ind w:firstLine="0"/>
      </w:pPr>
      <w:r>
        <w:t/>
      </w:r>
    </w:p>
    <w:p w14:paraId="746D19E9">
      <w:pPr>
        <w:ind w:firstLine="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路线对比分析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具身智能三大技术路线在参数量-性能-可解释性空间中的定位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为全面定位YLYW在具身智能技术路线图景中的位置，构建以下综合对比表：</w:t>
      </w:r>
    </w:p>
    <w:p w14:paraId="33630B71">
      <w:pPr>
        <w:ind w:firstLine="0"/>
        <w:jc w:val="center"/>
      </w:pPr>
      <w:r>
        <w:rPr>
          <w:b/>
          <w:sz w:val="18"/>
        </w:rPr>
        <w:t>表18  具身智能三大技术路线综合对比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三大技术路线的互补与融合</w:t>
      </w:r>
    </w:p>
    <w:p w14:paraId="702938C5">
      <w:r>
        <w:t>本文提出第三条技术路线，并非主张"替代"前两条路线，而是论证三者在具身智能的不同场景和需求下形成互补。更重要的是，我们探讨三者融合的具体技术路径：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不同场景的最佳技术路线选择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第三条技术路线——先验知识驱动路线</w:t>
      </w:r>
      <w:r>
        <w:t>，并给出其首个完整实现YLYW框架。在数据驱动路线（VLA模型）追求"从海量数据中学习一切"、世界模型路线追求"学习环境动力学模拟器"的学术格局中，YLYW开辟了第三条路径——</w:t>
      </w:r>
      <w:r>
        <w:rPr>
          <w:b/>
        </w:rPr>
        <w:t>"编码人类结构化知识，零数据即可决策"</w:t>
      </w:r>
      <w:r>
        <w:t>。</w:t>
      </w:r>
    </w:p>
    <w:p w14:paraId="59AF518F">
      <w:r>
        <w:t>核心实验数据证实了这一路线的可行性：（1）443参数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量子YLYW：从经典符号到量子符号的路线跃迁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92.0%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