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How humans draw their answers</w:t>
      </w:r>
    </w:p>
    <w:p>
      <w:r>
        <w:rPr>
          <w:i/>
          <w:sz w:val="26"/>
        </w:rPr>
        <w:t>Component priority and drawing chunks in the CogARC Experiment 2 dataset</w:t>
      </w:r>
    </w:p>
    <w:p>
      <w:r>
        <w:t>Two questions answered: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1. Which Success-grid components do humans draw first?</w:t>
      </w:r>
      <w:r>
        <w:br/>
      </w:r>
      <w:r>
        <w:rPr>
          <w:rFonts w:ascii="Consolas" w:hAnsi="Consolas"/>
          <w:sz w:val="19"/>
        </w:rPr>
        <w:t>2. When a human pauses and then draws again, what is the</w:t>
      </w:r>
      <w:r>
        <w:br/>
      </w:r>
      <w:r>
        <w:rPr>
          <w:rFonts w:ascii="Consolas" w:hAnsi="Consolas"/>
          <w:sz w:val="19"/>
        </w:rPr>
        <w:t xml:space="preserve">   "cognitive chunk" they just produced, and how does it relate</w:t>
      </w:r>
      <w:r>
        <w:br/>
      </w:r>
      <w:r>
        <w:rPr>
          <w:rFonts w:ascii="Consolas" w:hAnsi="Consolas"/>
          <w:sz w:val="19"/>
        </w:rPr>
        <w:t xml:space="preserve">   to the connected-component segmentation a GNN prior would</w:t>
      </w:r>
      <w:r>
        <w:br/>
      </w:r>
      <w:r>
        <w:rPr>
          <w:rFonts w:ascii="Consolas" w:hAnsi="Consolas"/>
          <w:sz w:val="19"/>
        </w:rPr>
        <w:t xml:space="preserve">   use?</w:t>
      </w:r>
    </w:p>
    <w:p>
      <w:r>
        <w:t>Population: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14,107 trajectories · 233 subjects · 75 tasks · 1,491 Success</w:t>
      </w:r>
      <w:r>
        <w:br/>
      </w:r>
      <w:r>
        <w:rPr>
          <w:rFonts w:ascii="Consolas" w:hAnsi="Consolas"/>
          <w:sz w:val="19"/>
        </w:rPr>
        <w:t>components · 130,015 chunks.</w:t>
      </w:r>
    </w:p>
    <w:p>
      <w:pPr>
        <w:pStyle w:val="Heading1"/>
      </w:pPr>
      <w:r>
        <w:t>1. Component Priority  (Which Objects Get Drawn First)</w:t>
      </w:r>
    </w:p>
    <w:p>
      <w:pPr>
        <w:pStyle w:val="Heading2"/>
      </w:pPr>
      <w:r>
        <w:t>Method</w:t>
      </w:r>
    </w:p>
    <w:p>
      <w:r>
        <w:t>For every Experiment 2 trajectory we scan the edit sequence in order. The moment an edit lands on a cell of a given 4-connected Success component, that component is marked "touched". Its rank is the index of that edit in the full trajectory, normalized to [0, 1] (0 = first edit of the trajectory, 1 = last). Averaging across participants gives a per-component "touch priority" — lower values mean the component is drawn earlier.</w:t>
      </w:r>
    </w:p>
    <w:p>
      <w:r>
        <w:t>We then regress touch priority on per-component features with task fixed effects (z-score features and target within each task, then run simple OLS per feature). This isolates *which attributes of a component* make it attract early attention, controlling for task.</w:t>
      </w:r>
    </w:p>
    <w:p>
      <w:pPr>
        <w:pStyle w:val="Heading2"/>
      </w:pPr>
      <w:r>
        <w:t>Results</w:t>
      </w:r>
    </w:p>
    <w:p>
      <w:r>
        <w:t>Across 1,316 components with usable data (1,491 - ones no one touched):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feature                 beta         Spearman</w:t>
      </w:r>
      <w:r>
        <w:br/>
      </w:r>
      <w:r>
        <w:rPr>
          <w:rFonts w:ascii="Consolas" w:hAnsi="Consolas"/>
          <w:sz w:val="19"/>
        </w:rPr>
        <w:t xml:space="preserve">                     (within-task)     rho    p</w:t>
      </w:r>
      <w:r>
        <w:br/>
      </w:r>
      <w:r>
        <w:rPr>
          <w:rFonts w:ascii="Consolas" w:hAnsi="Consolas"/>
          <w:sz w:val="19"/>
        </w:rPr>
        <w:t>area                    -0.253       -0.146  &lt;.001</w:t>
      </w:r>
      <w:r>
        <w:br/>
      </w:r>
      <w:r>
        <w:rPr>
          <w:rFonts w:ascii="Consolas" w:hAnsi="Consolas"/>
          <w:sz w:val="19"/>
        </w:rPr>
        <w:t>bbox_w                  -0.238       -0.137  &lt;.001</w:t>
      </w:r>
      <w:r>
        <w:br/>
      </w:r>
      <w:r>
        <w:rPr>
          <w:rFonts w:ascii="Consolas" w:hAnsi="Consolas"/>
          <w:sz w:val="19"/>
        </w:rPr>
        <w:t>is_unique_color         -0.231       -0.077   .005</w:t>
      </w:r>
      <w:r>
        <w:br/>
      </w:r>
      <w:r>
        <w:rPr>
          <w:rFonts w:ascii="Consolas" w:hAnsi="Consolas"/>
          <w:sz w:val="19"/>
        </w:rPr>
        <w:t>bbox_h                  -0.220       -0.122  &lt;.001</w:t>
      </w:r>
      <w:r>
        <w:br/>
      </w:r>
      <w:r>
        <w:rPr>
          <w:rFonts w:ascii="Consolas" w:hAnsi="Consolas"/>
          <w:sz w:val="19"/>
        </w:rPr>
        <w:t>color_frac_among_nonbg  -0.112       -0.119  &lt;.001</w:t>
      </w:r>
      <w:r>
        <w:br/>
      </w:r>
      <w:r>
        <w:rPr>
          <w:rFonts w:ascii="Consolas" w:hAnsi="Consolas"/>
          <w:sz w:val="19"/>
        </w:rPr>
        <w:t>dist_center             -0.071       -0.071   .010</w:t>
      </w:r>
      <w:r>
        <w:br/>
      </w:r>
      <w:r>
        <w:rPr>
          <w:rFonts w:ascii="Consolas" w:hAnsi="Consolas"/>
          <w:sz w:val="19"/>
        </w:rPr>
        <w:t>is_rarest_color         -0.055       -0.029   .289</w:t>
      </w:r>
      <w:r>
        <w:br/>
      </w:r>
      <w:r>
        <w:rPr>
          <w:rFonts w:ascii="Consolas" w:hAnsi="Consolas"/>
          <w:sz w:val="19"/>
        </w:rPr>
        <w:t>boundary_frac           +0.230       +0.075   .007</w:t>
      </w:r>
      <w:r>
        <w:br/>
      </w:r>
      <w:r>
        <w:rPr>
          <w:rFonts w:ascii="Consolas" w:hAnsi="Consolas"/>
          <w:sz w:val="19"/>
        </w:rPr>
        <w:t>fill_ratio              +0.272       +0.130  &lt;.001</w:t>
      </w:r>
      <w:r>
        <w:br/>
      </w:r>
      <w:r>
        <w:rPr>
          <w:rFonts w:ascii="Consolas" w:hAnsi="Consolas"/>
          <w:sz w:val="19"/>
        </w:rPr>
        <w:t>bbox_aspect             +0.005       +0.022   .434</w:t>
      </w:r>
    </w:p>
    <w:p>
      <w:r>
        <w:t>Interpretation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Negative beta = higher values of the feature predict EARLIER touch.</w:t>
      </w:r>
      <w:r>
        <w:br/>
      </w:r>
      <w:r>
        <w:rPr>
          <w:rFonts w:ascii="Consolas" w:hAnsi="Consolas"/>
          <w:sz w:val="19"/>
        </w:rPr>
        <w:t>Positive beta = higher values predict LATER touch.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The rank order of attention is: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 xml:space="preserve">    1. Big components (area, bbox_w, bbox_h)</w:t>
      </w:r>
      <w:r>
        <w:br/>
      </w:r>
      <w:r>
        <w:rPr>
          <w:rFonts w:ascii="Consolas" w:hAnsi="Consolas"/>
          <w:sz w:val="19"/>
        </w:rPr>
        <w:t xml:space="preserve">    2. Components whose color appears nowhere else</w:t>
      </w:r>
      <w:r>
        <w:br/>
      </w:r>
      <w:r>
        <w:rPr>
          <w:rFonts w:ascii="Consolas" w:hAnsi="Consolas"/>
          <w:sz w:val="19"/>
        </w:rPr>
        <w:t xml:space="preserve">       (is_unique_color)</w:t>
      </w:r>
      <w:r>
        <w:br/>
      </w:r>
      <w:r>
        <w:rPr>
          <w:rFonts w:ascii="Consolas" w:hAnsi="Consolas"/>
          <w:sz w:val="19"/>
        </w:rPr>
        <w:t xml:space="preserve">    3. Components in the dominant non-background color</w:t>
      </w:r>
      <w:r>
        <w:br/>
      </w:r>
      <w:r>
        <w:rPr>
          <w:rFonts w:ascii="Consolas" w:hAnsi="Consolas"/>
          <w:sz w:val="19"/>
        </w:rPr>
        <w:t xml:space="preserve">    4. Components closer to the center</w:t>
      </w:r>
      <w:r>
        <w:br/>
      </w:r>
      <w:r>
        <w:rPr>
          <w:rFonts w:ascii="Consolas" w:hAnsi="Consolas"/>
          <w:sz w:val="19"/>
        </w:rPr>
        <w:t xml:space="preserve">    5. Dense, compact shapes</w:t>
      </w:r>
      <w:r>
        <w:br/>
      </w:r>
      <w:r>
        <w:rPr>
          <w:rFonts w:ascii="Consolas" w:hAnsi="Consolas"/>
          <w:sz w:val="19"/>
        </w:rPr>
        <w:t xml:space="preserve">    6. ... while thin / high-boundary / sparse shapes are saved</w:t>
      </w:r>
      <w:r>
        <w:br/>
      </w:r>
      <w:r>
        <w:rPr>
          <w:rFonts w:ascii="Consolas" w:hAnsi="Consolas"/>
          <w:sz w:val="19"/>
        </w:rPr>
        <w:t xml:space="preserve">       for last (boundary_frac and fill_ratio both flip sign).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"Rarest" in a count sense (the color with the fewest components</w:t>
      </w:r>
      <w:r>
        <w:br/>
      </w:r>
      <w:r>
        <w:rPr>
          <w:rFonts w:ascii="Consolas" w:hAnsi="Consolas"/>
          <w:sz w:val="19"/>
        </w:rPr>
        <w:t>in the task) is not a reliable predictor on its own; it is</w:t>
      </w:r>
      <w:r>
        <w:br/>
      </w:r>
      <w:r>
        <w:rPr>
          <w:rFonts w:ascii="Consolas" w:hAnsi="Consolas"/>
          <w:sz w:val="19"/>
        </w:rPr>
        <w:t>"unique" (exactly one component of that color) that matters.</w:t>
      </w:r>
    </w:p>
    <w:p>
      <w:r>
        <w:t>Actionable takeaway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A human-informed GNN attention prior should initialize node</w:t>
      </w:r>
      <w:r>
        <w:br/>
      </w:r>
      <w:r>
        <w:rPr>
          <w:rFonts w:ascii="Consolas" w:hAnsi="Consolas"/>
          <w:sz w:val="19"/>
        </w:rPr>
        <w:t>importance using a monotone function of area, color-uniqueness,</w:t>
      </w:r>
      <w:r>
        <w:br/>
      </w:r>
      <w:r>
        <w:rPr>
          <w:rFonts w:ascii="Consolas" w:hAnsi="Consolas"/>
          <w:sz w:val="19"/>
        </w:rPr>
        <w:t>centrality, and compactness. These are cheap to compute from the</w:t>
      </w:r>
      <w:r>
        <w:br/>
      </w:r>
      <w:r>
        <w:rPr>
          <w:rFonts w:ascii="Consolas" w:hAnsi="Consolas"/>
          <w:sz w:val="19"/>
        </w:rPr>
        <w:t>input grid before any message passing.</w:t>
      </w:r>
    </w:p>
    <w:p>
      <w:pPr>
        <w:pStyle w:val="Heading1"/>
      </w:pPr>
      <w:r>
        <w:t>2. Drawing Chunks  (What Is The Participant'S Cognitive Unit?)</w:t>
      </w:r>
    </w:p>
    <w:p>
      <w:pPr>
        <w:pStyle w:val="Heading2"/>
      </w:pPr>
      <w:r>
        <w:t>Method</w:t>
      </w:r>
    </w:p>
    <w:p>
      <w:r>
        <w:t>Each trajectory is split at pauses longer than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 xml:space="preserve">    max( 2 * subject_median_rt ,  500 ms ),</w:t>
      </w:r>
    </w:p>
    <w:p>
      <w:r>
        <w:t>yielding a sequence of chunks. Within each chunk we record: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size                   — number of edits in the chunk</w:t>
      </w:r>
      <w:r>
        <w:br/>
      </w:r>
      <w:r>
        <w:rPr>
          <w:rFonts w:ascii="Consolas" w:hAnsi="Consolas"/>
          <w:sz w:val="19"/>
        </w:rPr>
        <w:t>n_cells                — distinct cells edited</w:t>
      </w:r>
      <w:r>
        <w:br/>
      </w:r>
      <w:r>
        <w:rPr>
          <w:rFonts w:ascii="Consolas" w:hAnsi="Consolas"/>
          <w:sz w:val="19"/>
        </w:rPr>
        <w:t>n_colors               — distinct colors placed</w:t>
      </w:r>
      <w:r>
        <w:br/>
      </w:r>
      <w:r>
        <w:rPr>
          <w:rFonts w:ascii="Consolas" w:hAnsi="Consolas"/>
          <w:sz w:val="19"/>
        </w:rPr>
        <w:t>color_homogeneity      — fraction of edits using the modal color</w:t>
      </w:r>
      <w:r>
        <w:br/>
      </w:r>
      <w:r>
        <w:rPr>
          <w:rFonts w:ascii="Consolas" w:hAnsi="Consolas"/>
          <w:sz w:val="19"/>
        </w:rPr>
        <w:t>is_connected           — whether the cells form one 4-connected blob</w:t>
      </w:r>
      <w:r>
        <w:br/>
      </w:r>
      <w:r>
        <w:rPr>
          <w:rFonts w:ascii="Consolas" w:hAnsi="Consolas"/>
          <w:sz w:val="19"/>
        </w:rPr>
        <w:t>cc_count               — number of 4-connected components of the cells</w:t>
      </w:r>
      <w:r>
        <w:br/>
      </w:r>
      <w:r>
        <w:rPr>
          <w:rFonts w:ascii="Consolas" w:hAnsi="Consolas"/>
          <w:sz w:val="19"/>
        </w:rPr>
        <w:t>bbox / bbox_area       — spatial footprint</w:t>
      </w:r>
    </w:p>
    <w:p>
      <w:r>
        <w:t>For each chunk we also compute, against the task's Success grid: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success_iou_best              IoU vs the best-matching Success CC</w:t>
      </w:r>
      <w:r>
        <w:br/>
      </w:r>
      <w:r>
        <w:rPr>
          <w:rFonts w:ascii="Consolas" w:hAnsi="Consolas"/>
          <w:sz w:val="19"/>
        </w:rPr>
        <w:t>success_iou_color_class       IoU vs all Success cells of one color</w:t>
      </w:r>
      <w:r>
        <w:br/>
      </w:r>
      <w:r>
        <w:rPr>
          <w:rFonts w:ascii="Consolas" w:hAnsi="Consolas"/>
          <w:sz w:val="19"/>
        </w:rPr>
        <w:t>n_success_cc_spanned          how many distinct Success CCs the</w:t>
      </w:r>
      <w:r>
        <w:br/>
      </w:r>
      <w:r>
        <w:rPr>
          <w:rFonts w:ascii="Consolas" w:hAnsi="Consolas"/>
          <w:sz w:val="19"/>
        </w:rPr>
        <w:t xml:space="preserve">                              chunk touches (0 if the chunk is</w:t>
      </w:r>
      <w:r>
        <w:br/>
      </w:r>
      <w:r>
        <w:rPr>
          <w:rFonts w:ascii="Consolas" w:hAnsi="Consolas"/>
          <w:sz w:val="19"/>
        </w:rPr>
        <w:t xml:space="preserve">                              entirely on wrong cells)</w:t>
      </w:r>
    </w:p>
    <w:p>
      <w:pPr>
        <w:pStyle w:val="Heading2"/>
      </w:pPr>
      <w:r>
        <w:t>Results</w:t>
      </w:r>
    </w:p>
    <w:p>
      <w:r>
        <w:t>Chunks are small and nearly monochromatic: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median chunk size .......... 3 edits</w:t>
      </w:r>
      <w:r>
        <w:br/>
      </w:r>
      <w:r>
        <w:rPr>
          <w:rFonts w:ascii="Consolas" w:hAnsi="Consolas"/>
          <w:sz w:val="19"/>
        </w:rPr>
        <w:t>median color homogeneity ... 1.00   (i.e. single-color)</w:t>
      </w:r>
      <w:r>
        <w:br/>
      </w:r>
      <w:r>
        <w:rPr>
          <w:rFonts w:ascii="Consolas" w:hAnsi="Consolas"/>
          <w:sz w:val="19"/>
        </w:rPr>
        <w:t>median n_colors ............ 1</w:t>
      </w:r>
      <w:r>
        <w:br/>
      </w:r>
      <w:r>
        <w:rPr>
          <w:rFonts w:ascii="Consolas" w:hAnsi="Consolas"/>
          <w:sz w:val="19"/>
        </w:rPr>
        <w:t>mean chunks per trajectory . 9.2</w:t>
      </w:r>
    </w:p>
    <w:p>
      <w:r>
        <w:t>Composition across the 130,015 chunks: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41 %   entirely outside Success  (all edits on wrong cells)</w:t>
      </w:r>
      <w:r>
        <w:br/>
      </w:r>
      <w:r>
        <w:rPr>
          <w:rFonts w:ascii="Consolas" w:hAnsi="Consolas"/>
          <w:sz w:val="19"/>
        </w:rPr>
        <w:t>37 %   inside exactly one Success connected component</w:t>
      </w:r>
      <w:r>
        <w:br/>
      </w:r>
      <w:r>
        <w:rPr>
          <w:rFonts w:ascii="Consolas" w:hAnsi="Consolas"/>
          <w:sz w:val="19"/>
        </w:rPr>
        <w:t>21 %   span 2 or more Success connected components,</w:t>
      </w:r>
      <w:r>
        <w:br/>
      </w:r>
      <w:r>
        <w:rPr>
          <w:rFonts w:ascii="Consolas" w:hAnsi="Consolas"/>
          <w:sz w:val="19"/>
        </w:rPr>
        <w:t xml:space="preserve">       single-color         &lt;-- "color-over-connectivity" chunks</w:t>
      </w:r>
      <w:r>
        <w:br/>
      </w:r>
      <w:r>
        <w:rPr>
          <w:rFonts w:ascii="Consolas" w:hAnsi="Consolas"/>
          <w:sz w:val="19"/>
        </w:rPr>
        <w:t xml:space="preserve"> 1 %   span 2 or more Success components, mixed color</w:t>
      </w:r>
    </w:p>
    <w:p>
      <w:r>
        <w:t>The headline number: within the 22 % of chunks that cross CC boundaries, 95 % stay in one color. So when people violate the connected-component segmentation, they do so by grouping disjoint SAME-color regions — not by jumping between different colors.</w:t>
      </w:r>
    </w:p>
    <w:p>
      <w:r>
        <w:t>Per-task variation is large. Tasks where the solution rule itself is color-class (like "paint every square of color C") induce very high color-over-CC rates: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task_id    frac_chunks_multi_cc</w:t>
      </w:r>
      <w:r>
        <w:br/>
      </w:r>
      <w:r>
        <w:rPr>
          <w:rFonts w:ascii="Consolas" w:hAnsi="Consolas"/>
          <w:sz w:val="19"/>
        </w:rPr>
        <w:t>-------    --------------------</w:t>
      </w:r>
      <w:r>
        <w:br/>
      </w:r>
      <w:r>
        <w:rPr>
          <w:rFonts w:ascii="Consolas" w:hAnsi="Consolas"/>
          <w:sz w:val="19"/>
        </w:rPr>
        <w:t>0d3d703e   94 %</w:t>
      </w:r>
      <w:r>
        <w:br/>
      </w:r>
      <w:r>
        <w:rPr>
          <w:rFonts w:ascii="Consolas" w:hAnsi="Consolas"/>
          <w:sz w:val="19"/>
        </w:rPr>
        <w:t>3aa6fb7a   89 %</w:t>
      </w:r>
      <w:r>
        <w:br/>
      </w:r>
      <w:r>
        <w:rPr>
          <w:rFonts w:ascii="Consolas" w:hAnsi="Consolas"/>
          <w:sz w:val="19"/>
        </w:rPr>
        <w:t>6ea4a07e   73 %</w:t>
      </w:r>
      <w:r>
        <w:br/>
      </w:r>
      <w:r>
        <w:rPr>
          <w:rFonts w:ascii="Consolas" w:hAnsi="Consolas"/>
          <w:sz w:val="19"/>
        </w:rPr>
        <w:t>0b17323b   72 %</w:t>
      </w:r>
      <w:r>
        <w:br/>
      </w:r>
      <w:r>
        <w:rPr>
          <w:rFonts w:ascii="Consolas" w:hAnsi="Consolas"/>
          <w:sz w:val="19"/>
        </w:rPr>
        <w:t>bcb3040b   68 %</w:t>
      </w:r>
      <w:r>
        <w:br/>
      </w:r>
      <w:r>
        <w:rPr>
          <w:rFonts w:ascii="Consolas" w:hAnsi="Consolas"/>
          <w:sz w:val="19"/>
        </w:rPr>
        <w:t>32597951   58 %</w:t>
      </w:r>
      <w:r>
        <w:br/>
      </w:r>
      <w:r>
        <w:rPr>
          <w:rFonts w:ascii="Consolas" w:hAnsi="Consolas"/>
          <w:sz w:val="19"/>
        </w:rPr>
        <w:t>d511f180   62 %</w:t>
      </w:r>
    </w:p>
    <w:p>
      <w:r>
        <w:t>On tasks where the solution is "complete one shape, then the next", the multi-CC rate drops below 20 % and chunks align cleanly with components. So the relative prominence of the two segmentation modes is itself a per-task property of the solution rule.</w:t>
      </w:r>
    </w:p>
    <w:p>
      <w:r>
        <w:t>Interpretation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Humans do chunk, and their chunks are small monochromatic units.</w:t>
      </w:r>
      <w:r>
        <w:br/>
      </w:r>
      <w:r>
        <w:rPr>
          <w:rFonts w:ascii="Consolas" w:hAnsi="Consolas"/>
          <w:sz w:val="19"/>
        </w:rPr>
        <w:t>Most chunks stay inside one connected component, consistent with</w:t>
      </w:r>
      <w:r>
        <w:br/>
      </w:r>
      <w:r>
        <w:rPr>
          <w:rFonts w:ascii="Consolas" w:hAnsi="Consolas"/>
          <w:sz w:val="19"/>
        </w:rPr>
        <w:t>object-at-a-time drawing. But a substantial and systematic</w:t>
      </w:r>
      <w:r>
        <w:br/>
      </w:r>
      <w:r>
        <w:rPr>
          <w:rFonts w:ascii="Consolas" w:hAnsi="Consolas"/>
          <w:sz w:val="19"/>
        </w:rPr>
        <w:t>minority of chunks — roughly one in five — cross CC boundaries</w:t>
      </w:r>
      <w:r>
        <w:br/>
      </w:r>
      <w:r>
        <w:rPr>
          <w:rFonts w:ascii="Consolas" w:hAnsi="Consolas"/>
          <w:sz w:val="19"/>
        </w:rPr>
        <w:t>while holding color constant, which means the primary</w:t>
      </w:r>
      <w:r>
        <w:br/>
      </w:r>
      <w:r>
        <w:rPr>
          <w:rFonts w:ascii="Consolas" w:hAnsi="Consolas"/>
          <w:sz w:val="19"/>
        </w:rPr>
        <w:t>segmentation axis that drives chunking is COLOR. Connectivity is</w:t>
      </w:r>
      <w:r>
        <w:br/>
      </w:r>
      <w:r>
        <w:rPr>
          <w:rFonts w:ascii="Consolas" w:hAnsi="Consolas"/>
          <w:sz w:val="19"/>
        </w:rPr>
        <w:t>secondary. On tasks whose solution rule is color-indexed, the</w:t>
      </w:r>
      <w:r>
        <w:br/>
      </w:r>
      <w:r>
        <w:rPr>
          <w:rFonts w:ascii="Consolas" w:hAnsi="Consolas"/>
          <w:sz w:val="19"/>
        </w:rPr>
        <w:t>ordering reverses and color becomes dominant.</w:t>
      </w:r>
    </w:p>
    <w:p>
      <w:r>
        <w:t>Actionable takeaway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A single connected-component prior (hierarchical, containment,</w:t>
      </w:r>
      <w:r>
        <w:br/>
      </w:r>
      <w:r>
        <w:rPr>
          <w:rFonts w:ascii="Consolas" w:hAnsi="Consolas"/>
          <w:sz w:val="19"/>
        </w:rPr>
        <w:t>or 4-connected segmentation) loses roughly one in five cognitive</w:t>
      </w:r>
      <w:r>
        <w:br/>
      </w:r>
      <w:r>
        <w:rPr>
          <w:rFonts w:ascii="Consolas" w:hAnsi="Consolas"/>
          <w:sz w:val="19"/>
        </w:rPr>
        <w:t>chunks. A color-class prior is no better on its own because it</w:t>
      </w:r>
      <w:r>
        <w:br/>
      </w:r>
      <w:r>
        <w:rPr>
          <w:rFonts w:ascii="Consolas" w:hAnsi="Consolas"/>
          <w:sz w:val="19"/>
        </w:rPr>
        <w:t>over-merges components of the same color into one giant node.</w:t>
      </w:r>
      <w:r>
        <w:br/>
      </w:r>
      <w:r>
        <w:rPr>
          <w:rFonts w:ascii="Consolas" w:hAnsi="Consolas"/>
          <w:sz w:val="19"/>
        </w:rPr>
        <w:t>The prior that matches human behaviour is a HYBRID: nodes indexed</w:t>
      </w:r>
      <w:r>
        <w:br/>
      </w:r>
      <w:r>
        <w:rPr>
          <w:rFonts w:ascii="Consolas" w:hAnsi="Consolas"/>
          <w:sz w:val="19"/>
        </w:rPr>
        <w:t>by (color, component_id) with an additional edge family linking</w:t>
      </w:r>
      <w:r>
        <w:br/>
      </w:r>
      <w:r>
        <w:rPr>
          <w:rFonts w:ascii="Consolas" w:hAnsi="Consolas"/>
          <w:sz w:val="19"/>
        </w:rPr>
        <w:t>all components of the same color. The per-task fraction</w:t>
      </w:r>
      <w:r>
        <w:br/>
      </w:r>
      <w:r>
        <w:rPr>
          <w:rFonts w:ascii="Consolas" w:hAnsi="Consolas"/>
          <w:sz w:val="19"/>
        </w:rPr>
        <w:t>frac_chunks_multi_cc can be used directly to weight how much the</w:t>
      </w:r>
      <w:r>
        <w:br/>
      </w:r>
      <w:r>
        <w:rPr>
          <w:rFonts w:ascii="Consolas" w:hAnsi="Consolas"/>
          <w:sz w:val="19"/>
        </w:rPr>
        <w:t>color edges dominate over the connectivity edges in the graph.</w:t>
      </w:r>
    </w:p>
    <w:p>
      <w:pPr>
        <w:pStyle w:val="Heading1"/>
      </w:pPr>
      <w:r>
        <w:t>3. Outputs</w:t>
      </w:r>
    </w:p>
    <w:p>
      <w:r>
        <w:t>prior_analysis/component_priority_per_task.csv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One row per Success component, with its features + mean touch</w:t>
      </w:r>
      <w:r>
        <w:br/>
      </w:r>
      <w:r>
        <w:rPr>
          <w:rFonts w:ascii="Consolas" w:hAnsi="Consolas"/>
          <w:sz w:val="19"/>
        </w:rPr>
        <w:t>priority across Experiment 2 subjects.</w:t>
      </w:r>
    </w:p>
    <w:p>
      <w:r>
        <w:t>prior_analysis/component_priority_feature_regression.csv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The beta / Spearman table reproduced in Section 1.</w:t>
      </w:r>
    </w:p>
    <w:p>
      <w:r>
        <w:t>prior_analysis/chunks_per_trajectory.csv        (regenerable, gitignored)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One row per chunk across every trajectory.</w:t>
      </w:r>
    </w:p>
    <w:p>
      <w:r>
        <w:t>prior_analysis/chunk_task_summary.csv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Per-task chunk aggregates (mean size, color homogeneity,</w:t>
      </w:r>
      <w:r>
        <w:br/>
      </w:r>
      <w:r>
        <w:rPr>
          <w:rFonts w:ascii="Consolas" w:hAnsi="Consolas"/>
          <w:sz w:val="19"/>
        </w:rPr>
        <w:t>connected fraction, IoU summaries).</w:t>
      </w:r>
    </w:p>
    <w:p>
      <w:r>
        <w:t>prior_analysis/drawing_strategy_figure.png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Six-panel figure:</w:t>
      </w:r>
      <w:r>
        <w:br/>
      </w:r>
      <w:r>
        <w:rPr>
          <w:rFonts w:ascii="Consolas" w:hAnsi="Consolas"/>
          <w:sz w:val="19"/>
        </w:rPr>
        <w:t xml:space="preserve">    A  Feature regression bar chart (Section 1).</w:t>
      </w:r>
      <w:r>
        <w:br/>
      </w:r>
      <w:r>
        <w:rPr>
          <w:rFonts w:ascii="Consolas" w:hAnsi="Consolas"/>
          <w:sz w:val="19"/>
        </w:rPr>
        <w:t xml:space="preserve">    B  Component area vs touch priority scatter.</w:t>
      </w:r>
      <w:r>
        <w:br/>
      </w:r>
      <w:r>
        <w:rPr>
          <w:rFonts w:ascii="Consolas" w:hAnsi="Consolas"/>
          <w:sz w:val="19"/>
        </w:rPr>
        <w:t xml:space="preserve">    C  Exemplar task with component ranks.</w:t>
      </w:r>
      <w:r>
        <w:br/>
      </w:r>
      <w:r>
        <w:rPr>
          <w:rFonts w:ascii="Consolas" w:hAnsi="Consolas"/>
          <w:sz w:val="19"/>
        </w:rPr>
        <w:t xml:space="preserve">    D  Chunk-size distribution.</w:t>
      </w:r>
      <w:r>
        <w:br/>
      </w:r>
      <w:r>
        <w:rPr>
          <w:rFonts w:ascii="Consolas" w:hAnsi="Consolas"/>
          <w:sz w:val="19"/>
        </w:rPr>
        <w:t xml:space="preserve">    E  4-way chunk composition vs connected-component segmentation.</w:t>
      </w:r>
      <w:r>
        <w:br/>
      </w:r>
      <w:r>
        <w:rPr>
          <w:rFonts w:ascii="Consolas" w:hAnsi="Consolas"/>
          <w:sz w:val="19"/>
        </w:rPr>
        <w:t xml:space="preserve">    F  Exemplar trajectory colored by chunk membership.</w:t>
      </w:r>
    </w:p>
    <w:p>
      <w:pPr>
        <w:pStyle w:val="Heading1"/>
      </w:pPr>
      <w:r>
        <w:t>4. Caveats</w:t>
      </w:r>
    </w:p>
    <w:p>
      <w:pPr>
        <w:pStyle w:val="ListBullet"/>
        <w:ind w:left="360"/>
      </w:pPr>
      <w:r>
        <w:t>The 41 % "outside Success" chunks are partly participants who are</w:t>
      </w:r>
    </w:p>
    <w:p>
      <w:r>
        <w:t>drawing a coherent but WRONG answer (the Top Error patterns). They still look like chunks but they are not aligned with Success by construction.</w:t>
      </w:r>
    </w:p>
    <w:p>
      <w:pPr>
        <w:pStyle w:val="ListBullet"/>
        <w:ind w:left="360"/>
      </w:pPr>
      <w:r>
        <w:t>Touch priority is normalized by trajectory length; a component that</w:t>
      </w:r>
    </w:p>
    <w:p>
      <w:r>
        <w:t>is the last thing in a 5-edit trajectory and a component that is the last thing in a 200-edit trajectory both score 1.0. This is intentional (priority is about relative ordering within a participant's plan) but means the metric is insensitive to how LONG participants spend before reaching a component.</w:t>
      </w:r>
    </w:p>
    <w:p>
      <w:pPr>
        <w:pStyle w:val="ListBullet"/>
        <w:ind w:left="360"/>
      </w:pPr>
      <w:r>
        <w:t>The chunking pause threshold ( max(2*median_rt, 500 ms) ) is</w:t>
      </w:r>
    </w:p>
    <w:p>
      <w:r>
        <w:t>defensible but tunable. Loosening it to 1.5x or tightening to 3x shifts mean chunk size by 1-2 edits; the rank ordering of tasks by frac_multi_cc is robust (Spearman &gt; 0.9 across reasonable threshold choices).</w:t>
      </w:r>
    </w:p>
    <w:p>
      <w:pPr>
        <w:pStyle w:val="ListBullet"/>
        <w:ind w:left="360"/>
      </w:pPr>
      <w:r>
        <w:t>Experiment 2 trial order is randomized per subject and is NOT</w:t>
      </w:r>
    </w:p>
    <w:p>
      <w:r>
        <w:t>exposed in the Zenodo release. All analyses here pool over the entire session; within-subject progression effects can only be studied on Experiment 1 (fixed task order, 49 subjects).</w:t>
      </w:r>
    </w:p>
    <w:p>
      <w:pPr>
        <w:pStyle w:val="Heading1"/>
      </w:pPr>
      <w:r>
        <w:t>5. Reproducing</w:t>
      </w:r>
    </w:p>
    <w:p>
      <w:r>
        <w:t>From the repository root: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python human_component_priority.py      # Section 1 outputs</w:t>
      </w:r>
      <w:r>
        <w:br/>
      </w:r>
      <w:r>
        <w:rPr>
          <w:rFonts w:ascii="Consolas" w:hAnsi="Consolas"/>
          <w:sz w:val="19"/>
        </w:rPr>
        <w:t>python human_chunking.py                # Section 2 outputs</w:t>
      </w:r>
      <w:r>
        <w:br/>
      </w:r>
      <w:r>
        <w:rPr>
          <w:rFonts w:ascii="Consolas" w:hAnsi="Consolas"/>
          <w:sz w:val="19"/>
        </w:rPr>
        <w:t>python plot_drawing_strategy.py         # regenerates the figure</w:t>
      </w:r>
    </w:p>
    <w:p>
      <w:r>
        <w:t>Each script resolves paths via _paths.py and writes into prior_analysis/. All three can be re-run independently; the figure reads the CSVs produced by the first two.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