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365d"/>
          <w:sz w:val="52"/>
          <w:szCs w:val="52"/>
        </w:rPr>
        <w:t xml:space="preserve">扬光工程管理系统</w:t>
      </w:r>
    </w:p>
    <w:p>
      <w:pPr>
        <w:spacing w:after="600"/>
        <w:jc w:val="center"/>
      </w:pPr>
      <w:r>
        <w:rPr>
          <w:rFonts w:ascii="Arial" w:cs="Arial" w:eastAsia="Arial" w:hAnsi="Arial"/>
          <w:color w:val="2563eb"/>
          <w:sz w:val="40"/>
          <w:szCs w:val="40"/>
        </w:rPr>
        <w:t xml:space="preserve">项目开发文档</w:t>
      </w:r>
    </w:p>
    <w:p>
      <w:pPr>
        <w:spacing w:after="60"/>
      </w:pPr>
    </w:p>
    <w:p>
      <w:pPr>
        <w:spacing w:after="60"/>
      </w:pPr>
    </w:p>
    <w:p>
      <w:pPr>
        <w:spacing w:after="100"/>
        <w:jc w:val="center"/>
      </w:pPr>
      <w:r>
        <w:rPr>
          <w:rFonts w:ascii="Arial" w:cs="Arial" w:eastAsia="Arial" w:hAnsi="Arial"/>
          <w:color w:val="666666"/>
          <w:sz w:val="24"/>
          <w:szCs w:val="24"/>
        </w:rPr>
        <w:t xml:space="preserve">文档版本：V2.0</w:t>
      </w:r>
    </w:p>
    <w:p>
      <w:pPr>
        <w:spacing w:after="100"/>
        <w:jc w:val="center"/>
      </w:pPr>
      <w:r>
        <w:rPr>
          <w:rFonts w:ascii="Arial" w:cs="Arial" w:eastAsia="Arial" w:hAnsi="Arial"/>
          <w:color w:val="666666"/>
          <w:sz w:val="24"/>
          <w:szCs w:val="24"/>
        </w:rPr>
        <w:t xml:space="preserve">编制日期：2026年5月</w:t>
      </w:r>
    </w:p>
    <w:p>
      <w:pPr>
        <w:jc w:val="center"/>
      </w:pPr>
      <w:r>
        <w:rPr>
          <w:rFonts w:ascii="Arial" w:cs="Arial" w:eastAsia="Arial" w:hAnsi="Arial"/>
          <w:color w:val="666666"/>
          <w:sz w:val="24"/>
          <w:szCs w:val="24"/>
        </w:rPr>
        <w:t xml:space="preserve">青岛扬光科技有限公司</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一、项目概述</w:t>
      </w:r>
    </w:p>
    <w:p>
      <w:pPr>
        <w:pStyle w:val="Heading2"/>
        <w:spacing w:after="160" w:before="240"/>
      </w:pPr>
      <w:r>
        <w:rPr>
          <w:rFonts w:ascii="Arial" w:cs="Arial" w:eastAsia="Arial" w:hAnsi="Arial"/>
          <w:b/>
          <w:bCs/>
          <w:color w:val="2563eb"/>
          <w:sz w:val="28"/>
          <w:szCs w:val="28"/>
        </w:rPr>
        <w:t xml:space="preserve">1.1 项目背景</w:t>
      </w:r>
    </w:p>
    <w:p>
      <w:pPr>
        <w:spacing w:after="100"/>
      </w:pPr>
      <w:r>
        <w:rPr>
          <w:rFonts w:ascii="Arial" w:cs="Arial" w:eastAsia="Arial" w:hAnsi="Arial"/>
          <w:sz w:val="22"/>
          <w:szCs w:val="22"/>
        </w:rPr>
        <w:t xml:space="preserve">扬光工程管理系统（YG-XMGL）是为青岛扬光科技有限公司量身定制的工程项目全生命周期管理平台。系统旨在解决传统工程管理模式中信息孤岛严重、审批流程冗长、成本核算不透明等核心痛点，实现从项目立项到竣工结算的全链路数字化管理。</w:t>
      </w:r>
    </w:p>
    <w:p>
      <w:pPr>
        <w:pStyle w:val="Heading2"/>
        <w:spacing w:after="160" w:before="240"/>
      </w:pPr>
      <w:r>
        <w:rPr>
          <w:rFonts w:ascii="Arial" w:cs="Arial" w:eastAsia="Arial" w:hAnsi="Arial"/>
          <w:b/>
          <w:bCs/>
          <w:color w:val="2563eb"/>
          <w:sz w:val="28"/>
          <w:szCs w:val="28"/>
        </w:rPr>
        <w:t xml:space="preserve">1.2 建设目标</w:t>
      </w:r>
    </w:p>
    <w:p>
      <w:pPr>
        <w:pStyle w:val="ListParagraph"/>
        <w:numPr>
          <w:ilvl w:val="0"/>
          <w:numId w:val="2"/>
        </w:numPr>
        <w:spacing w:after="60"/>
      </w:pPr>
      <w:r>
        <w:rPr>
          <w:rFonts w:ascii="Arial" w:cs="Arial" w:eastAsia="Arial" w:hAnsi="Arial"/>
          <w:sz w:val="22"/>
          <w:szCs w:val="22"/>
        </w:rPr>
        <w:t xml:space="preserve">建立统一的工程项目信息化管理平台</w:t>
      </w:r>
    </w:p>
    <w:p>
      <w:pPr>
        <w:pStyle w:val="ListParagraph"/>
        <w:numPr>
          <w:ilvl w:val="0"/>
          <w:numId w:val="2"/>
        </w:numPr>
        <w:spacing w:after="60"/>
      </w:pPr>
      <w:r>
        <w:rPr>
          <w:rFonts w:ascii="Arial" w:cs="Arial" w:eastAsia="Arial" w:hAnsi="Arial"/>
          <w:sz w:val="22"/>
          <w:szCs w:val="22"/>
        </w:rPr>
        <w:t xml:space="preserve">实现项目全流程数字化审批，提升管理效率</w:t>
      </w:r>
    </w:p>
    <w:p>
      <w:pPr>
        <w:pStyle w:val="ListParagraph"/>
        <w:numPr>
          <w:ilvl w:val="0"/>
          <w:numId w:val="2"/>
        </w:numPr>
        <w:spacing w:after="60"/>
      </w:pPr>
      <w:r>
        <w:rPr>
          <w:rFonts w:ascii="Arial" w:cs="Arial" w:eastAsia="Arial" w:hAnsi="Arial"/>
          <w:sz w:val="22"/>
          <w:szCs w:val="22"/>
        </w:rPr>
        <w:t xml:space="preserve">精细化核算项目成本，实时掌握项目利润</w:t>
      </w:r>
    </w:p>
    <w:p>
      <w:pPr>
        <w:pStyle w:val="ListParagraph"/>
        <w:numPr>
          <w:ilvl w:val="0"/>
          <w:numId w:val="2"/>
        </w:numPr>
        <w:spacing w:after="60"/>
      </w:pPr>
      <w:r>
        <w:rPr>
          <w:rFonts w:ascii="Arial" w:cs="Arial" w:eastAsia="Arial" w:hAnsi="Arial"/>
          <w:sz w:val="22"/>
          <w:szCs w:val="22"/>
        </w:rPr>
        <w:t xml:space="preserve">多角色权限管理，确保数据安全和业务合规</w:t>
      </w:r>
    </w:p>
    <w:p>
      <w:pPr>
        <w:pStyle w:val="Heading2"/>
        <w:spacing w:after="160" w:before="240"/>
      </w:pPr>
      <w:r>
        <w:rPr>
          <w:rFonts w:ascii="Arial" w:cs="Arial" w:eastAsia="Arial" w:hAnsi="Arial"/>
          <w:b/>
          <w:bCs/>
          <w:color w:val="2563eb"/>
          <w:sz w:val="28"/>
          <w:szCs w:val="28"/>
        </w:rPr>
        <w:t xml:space="preserve">1.3 项目规模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指标</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数值</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后端模块数量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个</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前端页面数量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个模块，30+ 页面</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数据库表数量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 个</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后端代码量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107 个 TypeScript 文件</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前端代码量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 个 TypeScript/TSX 文件</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端点数量</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r>
    </w:tbl>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二、技术架构</w:t>
      </w:r>
    </w:p>
    <w:p>
      <w:pPr>
        <w:pStyle w:val="Heading2"/>
        <w:spacing w:after="160" w:before="240"/>
      </w:pPr>
      <w:r>
        <w:rPr>
          <w:rFonts w:ascii="Arial" w:cs="Arial" w:eastAsia="Arial" w:hAnsi="Arial"/>
          <w:b/>
          <w:bCs/>
          <w:color w:val="2563eb"/>
          <w:sz w:val="28"/>
          <w:szCs w:val="28"/>
        </w:rPr>
        <w:t xml:space="preserve">2.1 技术栈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层次</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技术</w:t>
            </w:r>
          </w:p>
        </w:tc>
        <w:tc>
          <w:tcPr>
            <w:tcW w:type="dxa" w:w="3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版本</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前端框架</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 Vite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19 / Vite 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组件库</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 Design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状态管理</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Zustand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数据请求</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Axios + TanStack Query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后端框架</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NestJS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数据库</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认证方式</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Token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图表库</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@ant-design/charts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r>
        <w:br w:type="page"/>
      </w:r>
    </w:p>
    <w:p>
      <w:pPr>
        <w:pStyle w:val="Heading2"/>
        <w:spacing w:after="160" w:before="240"/>
      </w:pPr>
      <w:r>
        <w:rPr>
          <w:rFonts w:ascii="Arial" w:cs="Arial" w:eastAsia="Arial" w:hAnsi="Arial"/>
          <w:b/>
          <w:bCs/>
          <w:color w:val="2563eb"/>
          <w:sz w:val="28"/>
          <w:szCs w:val="28"/>
        </w:rPr>
        <w:t xml:space="preserve">2.2 系统架构图</w:t>
      </w:r>
    </w:p>
    <w:p>
      <w:pPr>
        <w:spacing w:after="100"/>
      </w:pPr>
      <w:r>
        <w:rPr>
          <w:rFonts w:ascii="Arial" w:cs="Arial" w:eastAsia="Arial" w:hAnsi="Arial"/>
          <w:b/>
          <w:bCs/>
          <w:sz w:val="22"/>
          <w:szCs w:val="22"/>
        </w:rPr>
        <w:t xml:space="preserve">前端（React + Vite）</w:t>
      </w:r>
    </w:p>
    <w:p>
      <w:pPr>
        <w:pStyle w:val="ListParagraph"/>
        <w:numPr>
          <w:ilvl w:val="0"/>
          <w:numId w:val="2"/>
        </w:numPr>
        <w:spacing w:after="60"/>
      </w:pPr>
      <w:r>
        <w:rPr>
          <w:rFonts w:ascii="Arial" w:cs="Arial" w:eastAsia="Arial" w:hAnsi="Arial"/>
          <w:sz w:val="22"/>
          <w:szCs w:val="22"/>
        </w:rPr>
        <w:t xml:space="preserve">Ant Design 组件库 + 自定义组件</w:t>
      </w:r>
    </w:p>
    <w:p>
      <w:pPr>
        <w:pStyle w:val="ListParagraph"/>
        <w:numPr>
          <w:ilvl w:val="0"/>
          <w:numId w:val="2"/>
        </w:numPr>
        <w:spacing w:after="60"/>
      </w:pPr>
      <w:r>
        <w:rPr>
          <w:rFonts w:ascii="Arial" w:cs="Arial" w:eastAsia="Arial" w:hAnsi="Arial"/>
          <w:sz w:val="22"/>
          <w:szCs w:val="22"/>
        </w:rPr>
        <w:t xml:space="preserve">Zustand 状态管理（authStore）</w:t>
      </w:r>
    </w:p>
    <w:p>
      <w:pPr>
        <w:pStyle w:val="ListParagraph"/>
        <w:numPr>
          <w:ilvl w:val="0"/>
          <w:numId w:val="2"/>
        </w:numPr>
        <w:spacing w:after="60"/>
      </w:pPr>
      <w:r>
        <w:rPr>
          <w:rFonts w:ascii="Arial" w:cs="Arial" w:eastAsia="Arial" w:hAnsi="Arial"/>
          <w:sz w:val="22"/>
          <w:szCs w:val="22"/>
        </w:rPr>
        <w:t xml:space="preserve">Axios HTTP 封装（请求拦截 + Token 注入）</w:t>
      </w:r>
    </w:p>
    <w:p>
      <w:pPr>
        <w:pStyle w:val="ListParagraph"/>
        <w:numPr>
          <w:ilvl w:val="0"/>
          <w:numId w:val="2"/>
        </w:numPr>
        <w:spacing w:after="60"/>
      </w:pPr>
      <w:r>
        <w:rPr>
          <w:rFonts w:ascii="Arial" w:cs="Arial" w:eastAsia="Arial" w:hAnsi="Arial"/>
          <w:sz w:val="22"/>
          <w:szCs w:val="22"/>
        </w:rPr>
        <w:t xml:space="preserve">TanStack Query 数据缓存</w:t>
      </w:r>
    </w:p>
    <w:p>
      <w:pPr>
        <w:spacing w:after="100"/>
      </w:pPr>
      <w:r>
        <w:rPr>
          <w:rFonts w:ascii="Arial" w:cs="Arial" w:eastAsia="Arial" w:hAnsi="Arial"/>
          <w:b/>
          <w:bCs/>
          <w:sz w:val="22"/>
          <w:szCs w:val="22"/>
        </w:rPr>
        <w:t xml:space="preserve">后端（NestJS）</w:t>
      </w:r>
    </w:p>
    <w:p>
      <w:pPr>
        <w:pStyle w:val="ListParagraph"/>
        <w:numPr>
          <w:ilvl w:val="0"/>
          <w:numId w:val="2"/>
        </w:numPr>
        <w:spacing w:after="60"/>
      </w:pPr>
      <w:r>
        <w:rPr>
          <w:rFonts w:ascii="Arial" w:cs="Arial" w:eastAsia="Arial" w:hAnsi="Arial"/>
          <w:sz w:val="22"/>
          <w:szCs w:val="22"/>
        </w:rPr>
        <w:t xml:space="preserve">模块化架构：27 个业务模块</w:t>
      </w:r>
    </w:p>
    <w:p>
      <w:pPr>
        <w:pStyle w:val="ListParagraph"/>
        <w:numPr>
          <w:ilvl w:val="0"/>
          <w:numId w:val="2"/>
        </w:numPr>
        <w:spacing w:after="60"/>
      </w:pPr>
      <w:r>
        <w:rPr>
          <w:rFonts w:ascii="Arial" w:cs="Arial" w:eastAsia="Arial" w:hAnsi="Arial"/>
          <w:sz w:val="22"/>
          <w:szCs w:val="22"/>
        </w:rPr>
        <w:t xml:space="preserve">JWT 认证 + 角色权限守卫（RolesGuard）</w:t>
      </w:r>
    </w:p>
    <w:p>
      <w:pPr>
        <w:pStyle w:val="ListParagraph"/>
        <w:numPr>
          <w:ilvl w:val="0"/>
          <w:numId w:val="2"/>
        </w:numPr>
        <w:spacing w:after="60"/>
      </w:pPr>
      <w:r>
        <w:rPr>
          <w:rFonts w:ascii="Arial" w:cs="Arial" w:eastAsia="Arial" w:hAnsi="Arial"/>
          <w:sz w:val="22"/>
          <w:szCs w:val="22"/>
        </w:rPr>
        <w:t xml:space="preserve">class-validator DTO 校验</w:t>
      </w:r>
    </w:p>
    <w:p>
      <w:pPr>
        <w:pStyle w:val="ListParagraph"/>
        <w:numPr>
          <w:ilvl w:val="0"/>
          <w:numId w:val="2"/>
        </w:numPr>
        <w:spacing w:after="60"/>
      </w:pPr>
      <w:r>
        <w:rPr>
          <w:rFonts w:ascii="Arial" w:cs="Arial" w:eastAsia="Arial" w:hAnsi="Arial"/>
          <w:sz w:val="22"/>
          <w:szCs w:val="22"/>
        </w:rPr>
        <w:t xml:space="preserve">Prisma ORM + PostgreSQL</w:t>
      </w:r>
    </w:p>
    <w:p>
      <w:pPr>
        <w:spacing w:after="100"/>
      </w:pPr>
      <w:r>
        <w:rPr>
          <w:rFonts w:ascii="Arial" w:cs="Arial" w:eastAsia="Arial" w:hAnsi="Arial"/>
          <w:b/>
          <w:bCs/>
          <w:sz w:val="22"/>
          <w:szCs w:val="22"/>
        </w:rPr>
        <w:t xml:space="preserve">部署方式</w:t>
      </w:r>
    </w:p>
    <w:p>
      <w:pPr>
        <w:pStyle w:val="ListParagraph"/>
        <w:numPr>
          <w:ilvl w:val="0"/>
          <w:numId w:val="2"/>
        </w:numPr>
        <w:spacing w:after="60"/>
      </w:pPr>
      <w:r>
        <w:rPr>
          <w:rFonts w:ascii="Arial" w:cs="Arial" w:eastAsia="Arial" w:hAnsi="Arial"/>
          <w:sz w:val="22"/>
          <w:szCs w:val="22"/>
        </w:rPr>
        <w:t xml:space="preserve">后端编译后直接运行（Node.js）</w:t>
      </w:r>
    </w:p>
    <w:p>
      <w:pPr>
        <w:pStyle w:val="ListParagraph"/>
        <w:numPr>
          <w:ilvl w:val="0"/>
          <w:numId w:val="2"/>
        </w:numPr>
        <w:spacing w:after="60"/>
      </w:pPr>
      <w:r>
        <w:rPr>
          <w:rFonts w:ascii="Arial" w:cs="Arial" w:eastAsia="Arial" w:hAnsi="Arial"/>
          <w:sz w:val="22"/>
          <w:szCs w:val="22"/>
        </w:rPr>
        <w:t xml:space="preserve">前端编译为静态文件，由后端统一托管</w:t>
      </w:r>
    </w:p>
    <w:p>
      <w:pPr>
        <w:pStyle w:val="ListParagraph"/>
        <w:numPr>
          <w:ilvl w:val="0"/>
          <w:numId w:val="2"/>
        </w:numPr>
        <w:spacing w:after="60"/>
      </w:pPr>
      <w:r>
        <w:rPr>
          <w:rFonts w:ascii="Arial" w:cs="Arial" w:eastAsia="Arial" w:hAnsi="Arial"/>
          <w:sz w:val="22"/>
          <w:szCs w:val="22"/>
        </w:rPr>
        <w:t xml:space="preserve">统一端口 12404，API 前缀 /api/v1</w:t>
      </w:r>
    </w:p>
    <w:p>
      <w:r>
        <w:br w:type="page"/>
      </w:r>
    </w:p>
    <w:p>
      <w:pPr>
        <w:pStyle w:val="Heading2"/>
        <w:spacing w:after="160" w:before="240"/>
      </w:pPr>
      <w:r>
        <w:rPr>
          <w:rFonts w:ascii="Arial" w:cs="Arial" w:eastAsia="Arial" w:hAnsi="Arial"/>
          <w:b/>
          <w:bCs/>
          <w:color w:val="2563eb"/>
          <w:sz w:val="28"/>
          <w:szCs w:val="28"/>
        </w:rPr>
        <w:t xml:space="preserve">2.3 数据库设计</w:t>
      </w:r>
    </w:p>
    <w:p>
      <w:pPr>
        <w:spacing w:after="100"/>
      </w:pPr>
      <w:r>
        <w:rPr>
          <w:rFonts w:ascii="Arial" w:cs="Arial" w:eastAsia="Arial" w:hAnsi="Arial"/>
          <w:sz w:val="22"/>
          <w:szCs w:val="22"/>
        </w:rPr>
        <w:t xml:space="preserve">系统共 39 个数据模型，主要分为以下分组：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分组</w:t>
            </w:r>
          </w:p>
        </w:tc>
        <w:tc>
          <w:tcPr>
            <w:tcW w:type="dxa" w:w="7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模型</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用户与认证</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UserRole(enum)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项目管理</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ProjectMember, ContractVariation, VariationItem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采购管理</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PurchaseRequest(+Item), InquiryOrder(+Item), PurchaseConfirm(+Item), DeliveryNotice(+Item)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库存管理</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MaterialLib, CompanyInventory(+Log), ProjectInventory(+Log), StockIn(+Item), StockOut(+Item), MaterialRequisition(+Item)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劳务管理</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LaborContract, LaborVisa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费用管理</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ProjectExpenseRequest, Reimbursement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财务管理</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PaymentRequest, PaymentConfirmation, ProjectReceivable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成本调整</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CostAdjustment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台账</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ProjectLedger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通知系统</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操作审计</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OperationLog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系统设置</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SystemConfig, Dictionary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文件管理</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审批记录</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ApprovalHistory</w:t>
            </w:r>
          </w:p>
        </w:tc>
      </w:tr>
    </w:tbl>
    <w:p>
      <w:r>
        <w:br w:type="page"/>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三、模块详细说明</w:t>
      </w:r>
    </w:p>
    <w:p>
      <w:pPr>
        <w:pStyle w:val="Heading2"/>
        <w:spacing w:after="160" w:before="240"/>
      </w:pPr>
      <w:r>
        <w:rPr>
          <w:rFonts w:ascii="Arial" w:cs="Arial" w:eastAsia="Arial" w:hAnsi="Arial"/>
          <w:b/>
          <w:bCs/>
          <w:color w:val="2563eb"/>
          <w:sz w:val="28"/>
          <w:szCs w:val="28"/>
        </w:rPr>
        <w:t xml:space="preserve">3.1 项目管理</w:t>
      </w:r>
    </w:p>
    <w:p>
      <w:pPr>
        <w:spacing w:after="100"/>
      </w:pPr>
      <w:r>
        <w:rPr>
          <w:rFonts w:ascii="Arial" w:cs="Arial" w:eastAsia="Arial" w:hAnsi="Arial"/>
          <w:sz w:val="22"/>
          <w:szCs w:val="22"/>
        </w:rPr>
        <w:t xml:space="preserve">包含项目立项、工程量变更、项目台账三个子模块。项目立项流程：销售/PM 创建 → 提交 → 领导审批。审批通过后可发起工程量变更。</w:t>
      </w:r>
    </w:p>
    <w:p>
      <w:pPr>
        <w:spacing w:after="100"/>
      </w:pPr>
      <w:r>
        <w:rPr>
          <w:rFonts w:ascii="Arial" w:cs="Arial" w:eastAsia="Arial" w:hAnsi="Arial"/>
          <w:b/>
          <w:bCs/>
          <w:sz w:val="22"/>
          <w:szCs w:val="22"/>
        </w:rPr>
        <w:t xml:space="preserve">关键数据结构</w:t>
      </w:r>
    </w:p>
    <w:p>
      <w:pPr>
        <w:pStyle w:val="ListParagraph"/>
        <w:numPr>
          <w:ilvl w:val="0"/>
          <w:numId w:val="2"/>
        </w:numPr>
        <w:spacing w:after="60"/>
      </w:pPr>
      <w:r>
        <w:rPr>
          <w:rFonts w:ascii="Arial" w:cs="Arial" w:eastAsia="Arial" w:hAnsi="Arial"/>
          <w:sz w:val="22"/>
          <w:szCs w:val="22"/>
        </w:rPr>
        <w:t xml:space="preserve">Project: code(自动编号), name, type, contractAmount, status(draft→pending→approved/rejected)</w:t>
      </w:r>
    </w:p>
    <w:p>
      <w:pPr>
        <w:pStyle w:val="ListParagraph"/>
        <w:numPr>
          <w:ilvl w:val="0"/>
          <w:numId w:val="2"/>
        </w:numPr>
        <w:spacing w:after="60"/>
      </w:pPr>
      <w:r>
        <w:rPr>
          <w:rFonts w:ascii="Arial" w:cs="Arial" w:eastAsia="Arial" w:hAnsi="Arial"/>
          <w:sz w:val="22"/>
          <w:szCs w:val="22"/>
        </w:rPr>
        <w:t xml:space="preserve">ContractVariation: 关联 Project，包含多个 VariationItem</w:t>
      </w:r>
    </w:p>
    <w:p>
      <w:pPr>
        <w:pStyle w:val="ListParagraph"/>
        <w:numPr>
          <w:ilvl w:val="0"/>
          <w:numId w:val="2"/>
        </w:numPr>
        <w:spacing w:after="60"/>
      </w:pPr>
      <w:r>
        <w:rPr>
          <w:rFonts w:ascii="Arial" w:cs="Arial" w:eastAsia="Arial" w:hAnsi="Arial"/>
          <w:sz w:val="22"/>
          <w:szCs w:val="22"/>
        </w:rPr>
        <w:t xml:space="preserve">ProjectLedger: 每个项目一条台账记录，存储汇总财务数据</w:t>
      </w:r>
    </w:p>
    <w:p>
      <w:pPr>
        <w:spacing w:after="100"/>
      </w:pPr>
      <w:r>
        <w:rPr>
          <w:rFonts w:ascii="Arial" w:cs="Arial" w:eastAsia="Arial" w:hAnsi="Arial"/>
          <w:b/>
          <w:bCs/>
          <w:sz w:val="22"/>
          <w:szCs w:val="22"/>
        </w:rPr>
        <w:t xml:space="preserve">自动编号格式：YGKI-JC-YYYYMMDD-NNN</w:t>
      </w:r>
    </w:p>
    <w:p>
      <w:pPr>
        <w:pStyle w:val="Heading2"/>
        <w:spacing w:after="160" w:before="240"/>
      </w:pPr>
      <w:r>
        <w:rPr>
          <w:rFonts w:ascii="Arial" w:cs="Arial" w:eastAsia="Arial" w:hAnsi="Arial"/>
          <w:b/>
          <w:bCs/>
          <w:color w:val="2563eb"/>
          <w:sz w:val="28"/>
          <w:szCs w:val="28"/>
        </w:rPr>
        <w:t xml:space="preserve">3.2 采购管理</w:t>
      </w:r>
    </w:p>
    <w:p>
      <w:pPr>
        <w:spacing w:after="100"/>
      </w:pPr>
      <w:r>
        <w:rPr>
          <w:rFonts w:ascii="Arial" w:cs="Arial" w:eastAsia="Arial" w:hAnsi="Arial"/>
          <w:sz w:val="22"/>
          <w:szCs w:val="22"/>
        </w:rPr>
        <w:t xml:space="preserve">四段式采购供应链：采购申请 → 采购询价 → 采购确认 → 供货通知。</w:t>
      </w:r>
    </w:p>
    <w:p>
      <w:pPr>
        <w:spacing w:after="100"/>
      </w:pPr>
      <w:r>
        <w:rPr>
          <w:rFonts w:ascii="Arial" w:cs="Arial" w:eastAsia="Arial" w:hAnsi="Arial"/>
          <w:b/>
          <w:bCs/>
          <w:sz w:val="22"/>
          <w:szCs w:val="22"/>
        </w:rPr>
        <w:t xml:space="preserve">采购申请</w:t>
      </w:r>
    </w:p>
    <w:p>
      <w:pPr>
        <w:pStyle w:val="ListParagraph"/>
        <w:numPr>
          <w:ilvl w:val="0"/>
          <w:numId w:val="2"/>
        </w:numPr>
        <w:spacing w:after="60"/>
      </w:pPr>
      <w:r>
        <w:rPr>
          <w:rFonts w:ascii="Arial" w:cs="Arial" w:eastAsia="Arial" w:hAnsi="Arial"/>
          <w:sz w:val="22"/>
          <w:szCs w:val="22"/>
        </w:rPr>
        <w:t xml:space="preserve">PM/采购员选项目、添加材料明细、填写收货信息</w:t>
      </w:r>
    </w:p>
    <w:p>
      <w:pPr>
        <w:pStyle w:val="ListParagraph"/>
        <w:numPr>
          <w:ilvl w:val="0"/>
          <w:numId w:val="2"/>
        </w:numPr>
        <w:spacing w:after="60"/>
      </w:pPr>
      <w:r>
        <w:rPr>
          <w:rFonts w:ascii="Arial" w:cs="Arial" w:eastAsia="Arial" w:hAnsi="Arial"/>
          <w:sz w:val="22"/>
          <w:szCs w:val="22"/>
        </w:rPr>
        <w:t xml:space="preserve">提交后审批通过才能进入下一步</w:t>
      </w:r>
    </w:p>
    <w:p>
      <w:pPr>
        <w:spacing w:after="100"/>
      </w:pPr>
      <w:r>
        <w:rPr>
          <w:rFonts w:ascii="Arial" w:cs="Arial" w:eastAsia="Arial" w:hAnsi="Arial"/>
          <w:b/>
          <w:bCs/>
          <w:sz w:val="22"/>
          <w:szCs w:val="22"/>
        </w:rPr>
        <w:t xml:space="preserve">采购询价</w:t>
      </w:r>
    </w:p>
    <w:p>
      <w:pPr>
        <w:pStyle w:val="ListParagraph"/>
        <w:numPr>
          <w:ilvl w:val="0"/>
          <w:numId w:val="2"/>
        </w:numPr>
        <w:spacing w:after="60"/>
      </w:pPr>
      <w:r>
        <w:rPr>
          <w:rFonts w:ascii="Arial" w:cs="Arial" w:eastAsia="Arial" w:hAnsi="Arial"/>
          <w:sz w:val="22"/>
          <w:szCs w:val="22"/>
        </w:rPr>
        <w:t xml:space="preserve">支持多供应商分组报价，同种材料可分配到不同供应商组</w:t>
      </w:r>
    </w:p>
    <w:p>
      <w:pPr>
        <w:pStyle w:val="ListParagraph"/>
        <w:numPr>
          <w:ilvl w:val="0"/>
          <w:numId w:val="2"/>
        </w:numPr>
        <w:spacing w:after="60"/>
      </w:pPr>
      <w:r>
        <w:rPr>
          <w:rFonts w:ascii="Arial" w:cs="Arial" w:eastAsia="Arial" w:hAnsi="Arial"/>
          <w:sz w:val="22"/>
          <w:szCs w:val="22"/>
        </w:rPr>
        <w:t xml:space="preserve">V2 新增：每组数量可独立编辑，解决多组重复计算问题</w:t>
      </w:r>
    </w:p>
    <w:p>
      <w:pPr>
        <w:pStyle w:val="ListParagraph"/>
        <w:numPr>
          <w:ilvl w:val="0"/>
          <w:numId w:val="2"/>
        </w:numPr>
        <w:spacing w:after="60"/>
      </w:pPr>
      <w:r>
        <w:rPr>
          <w:rFonts w:ascii="Arial" w:cs="Arial" w:eastAsia="Arial" w:hAnsi="Arial"/>
          <w:sz w:val="22"/>
          <w:szCs w:val="22"/>
        </w:rPr>
        <w:t xml:space="preserve">审批流：PM → Leader</w:t>
      </w:r>
    </w:p>
    <w:p>
      <w:pPr>
        <w:spacing w:after="100"/>
      </w:pPr>
      <w:r>
        <w:rPr>
          <w:rFonts w:ascii="Arial" w:cs="Arial" w:eastAsia="Arial" w:hAnsi="Arial"/>
          <w:b/>
          <w:bCs/>
          <w:sz w:val="22"/>
          <w:szCs w:val="22"/>
        </w:rPr>
        <w:t xml:space="preserve">采购确认</w:t>
      </w:r>
    </w:p>
    <w:p>
      <w:pPr>
        <w:pStyle w:val="ListParagraph"/>
        <w:numPr>
          <w:ilvl w:val="0"/>
          <w:numId w:val="2"/>
        </w:numPr>
        <w:spacing w:after="60"/>
      </w:pPr>
      <w:r>
        <w:rPr>
          <w:rFonts w:ascii="Arial" w:cs="Arial" w:eastAsia="Arial" w:hAnsi="Arial"/>
          <w:sz w:val="22"/>
          <w:szCs w:val="22"/>
        </w:rPr>
        <w:t xml:space="preserve">确定采购合同，支持多供应商分组</w:t>
      </w:r>
    </w:p>
    <w:p>
      <w:pPr>
        <w:pStyle w:val="ListParagraph"/>
        <w:numPr>
          <w:ilvl w:val="0"/>
          <w:numId w:val="2"/>
        </w:numPr>
        <w:spacing w:after="60"/>
      </w:pPr>
      <w:r>
        <w:rPr>
          <w:rFonts w:ascii="Arial" w:cs="Arial" w:eastAsia="Arial" w:hAnsi="Arial"/>
          <w:sz w:val="22"/>
          <w:szCs w:val="22"/>
        </w:rPr>
        <w:t xml:space="preserve">审批流：PM → Leader</w:t>
      </w:r>
    </w:p>
    <w:p>
      <w:pPr>
        <w:spacing w:after="100"/>
      </w:pPr>
      <w:r>
        <w:rPr>
          <w:rFonts w:ascii="Arial" w:cs="Arial" w:eastAsia="Arial" w:hAnsi="Arial"/>
          <w:b/>
          <w:bCs/>
          <w:sz w:val="22"/>
          <w:szCs w:val="22"/>
        </w:rPr>
        <w:t xml:space="preserve">供货通知</w:t>
      </w:r>
    </w:p>
    <w:p>
      <w:pPr>
        <w:pStyle w:val="ListParagraph"/>
        <w:numPr>
          <w:ilvl w:val="0"/>
          <w:numId w:val="2"/>
        </w:numPr>
        <w:spacing w:after="60"/>
      </w:pPr>
      <w:r>
        <w:rPr>
          <w:rFonts w:ascii="Arial" w:cs="Arial" w:eastAsia="Arial" w:hAnsi="Arial"/>
          <w:sz w:val="22"/>
          <w:szCs w:val="22"/>
        </w:rPr>
        <w:t xml:space="preserve">通知供应商发货、物流信息</w:t>
      </w:r>
    </w:p>
    <w:p>
      <w:pPr>
        <w:pStyle w:val="ListParagraph"/>
        <w:numPr>
          <w:ilvl w:val="0"/>
          <w:numId w:val="2"/>
        </w:numPr>
        <w:spacing w:after="60"/>
      </w:pPr>
      <w:r>
        <w:rPr>
          <w:rFonts w:ascii="Arial" w:cs="Arial" w:eastAsia="Arial" w:hAnsi="Arial"/>
          <w:sz w:val="22"/>
          <w:szCs w:val="22"/>
        </w:rPr>
        <w:t xml:space="preserve">审批通过自动生成入库单，自动增加项目库存</w:t>
      </w:r>
    </w:p>
    <w:p>
      <w:pPr>
        <w:pStyle w:val="ListParagraph"/>
        <w:numPr>
          <w:ilvl w:val="0"/>
          <w:numId w:val="2"/>
        </w:numPr>
        <w:spacing w:after="60"/>
      </w:pPr>
      <w:r>
        <w:rPr>
          <w:rFonts w:ascii="Arial" w:cs="Arial" w:eastAsia="Arial" w:hAnsi="Arial"/>
          <w:sz w:val="22"/>
          <w:szCs w:val="22"/>
        </w:rPr>
        <w:t xml:space="preserve">审批流：Purchaser → Leader</w:t>
      </w:r>
    </w:p>
    <w:p>
      <w:pPr>
        <w:pStyle w:val="Heading2"/>
        <w:spacing w:after="160" w:before="240"/>
      </w:pPr>
      <w:r>
        <w:rPr>
          <w:rFonts w:ascii="Arial" w:cs="Arial" w:eastAsia="Arial" w:hAnsi="Arial"/>
          <w:b/>
          <w:bCs/>
          <w:color w:val="2563eb"/>
          <w:sz w:val="28"/>
          <w:szCs w:val="28"/>
        </w:rPr>
        <w:t xml:space="preserve">3.3 库存管理</w:t>
      </w:r>
    </w:p>
    <w:p>
      <w:pPr>
        <w:spacing w:after="100"/>
      </w:pPr>
      <w:r>
        <w:rPr>
          <w:rFonts w:ascii="Arial" w:cs="Arial" w:eastAsia="Arial" w:hAnsi="Arial"/>
          <w:sz w:val="22"/>
          <w:szCs w:val="22"/>
        </w:rPr>
        <w:t xml:space="preserve">包含公司库存、项目库存、材料领用、转库记录四个模块。</w:t>
      </w:r>
    </w:p>
    <w:p>
      <w:pPr>
        <w:pStyle w:val="ListParagraph"/>
        <w:numPr>
          <w:ilvl w:val="0"/>
          <w:numId w:val="2"/>
        </w:numPr>
        <w:spacing w:after="60"/>
      </w:pPr>
      <w:r>
        <w:rPr>
          <w:rFonts w:ascii="Arial" w:cs="Arial" w:eastAsia="Arial" w:hAnsi="Arial"/>
          <w:sz w:val="22"/>
          <w:szCs w:val="22"/>
        </w:rPr>
        <w:t xml:space="preserve">公司库存：管理公司层面的材料库存</w:t>
      </w:r>
    </w:p>
    <w:p>
      <w:pPr>
        <w:pStyle w:val="ListParagraph"/>
        <w:numPr>
          <w:ilvl w:val="0"/>
          <w:numId w:val="2"/>
        </w:numPr>
        <w:spacing w:after="60"/>
      </w:pPr>
      <w:r>
        <w:rPr>
          <w:rFonts w:ascii="Arial" w:cs="Arial" w:eastAsia="Arial" w:hAnsi="Arial"/>
          <w:sz w:val="22"/>
          <w:szCs w:val="22"/>
        </w:rPr>
        <w:t xml:space="preserve">项目库存：供货通知审批通过后自动入库</w:t>
      </w:r>
    </w:p>
    <w:p>
      <w:pPr>
        <w:pStyle w:val="ListParagraph"/>
        <w:numPr>
          <w:ilvl w:val="0"/>
          <w:numId w:val="2"/>
        </w:numPr>
        <w:spacing w:after="60"/>
      </w:pPr>
      <w:r>
        <w:rPr>
          <w:rFonts w:ascii="Arial" w:cs="Arial" w:eastAsia="Arial" w:hAnsi="Arial"/>
          <w:sz w:val="22"/>
          <w:szCs w:val="22"/>
        </w:rPr>
        <w:t xml:space="preserve">材料领用：项目从公司库存领料，审批通过后库存转移</w:t>
      </w:r>
    </w:p>
    <w:p>
      <w:pPr>
        <w:pStyle w:val="ListParagraph"/>
        <w:numPr>
          <w:ilvl w:val="0"/>
          <w:numId w:val="2"/>
        </w:numPr>
        <w:spacing w:after="60"/>
      </w:pPr>
      <w:r>
        <w:rPr>
          <w:rFonts w:ascii="Arial" w:cs="Arial" w:eastAsia="Arial" w:hAnsi="Arial"/>
          <w:sz w:val="22"/>
          <w:szCs w:val="22"/>
        </w:rPr>
        <w:t xml:space="preserve">转库记录：项目退库至公司库存</w:t>
      </w:r>
    </w:p>
    <w:p>
      <w:pPr>
        <w:pStyle w:val="Heading2"/>
        <w:spacing w:after="160" w:before="240"/>
      </w:pPr>
      <w:r>
        <w:rPr>
          <w:rFonts w:ascii="Arial" w:cs="Arial" w:eastAsia="Arial" w:hAnsi="Arial"/>
          <w:b/>
          <w:bCs/>
          <w:color w:val="2563eb"/>
          <w:sz w:val="28"/>
          <w:szCs w:val="28"/>
        </w:rPr>
        <w:t xml:space="preserve">3.4 劳务管理</w:t>
      </w:r>
    </w:p>
    <w:p>
      <w:pPr>
        <w:spacing w:after="100"/>
      </w:pPr>
      <w:r>
        <w:rPr>
          <w:rFonts w:ascii="Arial" w:cs="Arial" w:eastAsia="Arial" w:hAnsi="Arial"/>
          <w:sz w:val="22"/>
          <w:szCs w:val="22"/>
        </w:rPr>
        <w:t xml:space="preserve">包含劳务合同确认和劳务签证两个子模块。</w:t>
      </w:r>
    </w:p>
    <w:p>
      <w:pPr>
        <w:pStyle w:val="ListParagraph"/>
        <w:numPr>
          <w:ilvl w:val="0"/>
          <w:numId w:val="2"/>
        </w:numPr>
        <w:spacing w:after="60"/>
      </w:pPr>
      <w:r>
        <w:rPr>
          <w:rFonts w:ascii="Arial" w:cs="Arial" w:eastAsia="Arial" w:hAnsi="Arial"/>
          <w:sz w:val="22"/>
          <w:szCs w:val="22"/>
        </w:rPr>
        <w:t xml:space="preserve">劳务合同确认：PM创建劳务合同，PM→Leader 审批</w:t>
      </w:r>
    </w:p>
    <w:p>
      <w:pPr>
        <w:pStyle w:val="ListParagraph"/>
        <w:numPr>
          <w:ilvl w:val="0"/>
          <w:numId w:val="2"/>
        </w:numPr>
        <w:spacing w:after="60"/>
      </w:pPr>
      <w:r>
        <w:rPr>
          <w:rFonts w:ascii="Arial" w:cs="Arial" w:eastAsia="Arial" w:hAnsi="Arial"/>
          <w:sz w:val="22"/>
          <w:szCs w:val="22"/>
        </w:rPr>
        <w:t xml:space="preserve">劳务签证：基于已审批合同发起金额调整（可正可负），Leader审批</w:t>
      </w:r>
    </w:p>
    <w:p>
      <w:pPr>
        <w:spacing w:after="100"/>
      </w:pPr>
      <w:r>
        <w:rPr>
          <w:rFonts w:ascii="Arial" w:cs="Arial" w:eastAsia="Arial" w:hAnsi="Arial"/>
          <w:b/>
          <w:bCs/>
          <w:sz w:val="22"/>
          <w:szCs w:val="22"/>
        </w:rPr>
        <w:t xml:space="preserve">关键逻辑</w:t>
      </w:r>
    </w:p>
    <w:p>
      <w:pPr>
        <w:pStyle w:val="ListParagraph"/>
        <w:numPr>
          <w:ilvl w:val="0"/>
          <w:numId w:val="2"/>
        </w:numPr>
        <w:spacing w:after="60"/>
      </w:pPr>
      <w:r>
        <w:rPr>
          <w:rFonts w:ascii="Arial" w:cs="Arial" w:eastAsia="Arial" w:hAnsi="Arial"/>
          <w:sz w:val="22"/>
          <w:szCs w:val="22"/>
        </w:rPr>
        <w:t xml:space="preserve">劳务签证审批通过后，签证金额自动计入合同总价</w:t>
      </w:r>
    </w:p>
    <w:p>
      <w:pPr>
        <w:pStyle w:val="ListParagraph"/>
        <w:numPr>
          <w:ilvl w:val="0"/>
          <w:numId w:val="2"/>
        </w:numPr>
        <w:spacing w:after="60"/>
      </w:pPr>
      <w:r>
        <w:rPr>
          <w:rFonts w:ascii="Arial" w:cs="Arial" w:eastAsia="Arial" w:hAnsi="Arial"/>
          <w:sz w:val="22"/>
          <w:szCs w:val="22"/>
        </w:rPr>
        <w:t xml:space="preserve">付款申请选择劳务合同付款时，总额=原合同额+签证金额汇总</w:t>
      </w:r>
    </w:p>
    <w:p>
      <w:pPr>
        <w:pStyle w:val="ListParagraph"/>
        <w:numPr>
          <w:ilvl w:val="0"/>
          <w:numId w:val="2"/>
        </w:numPr>
        <w:spacing w:after="60"/>
      </w:pPr>
      <w:r>
        <w:rPr>
          <w:rFonts w:ascii="Arial" w:cs="Arial" w:eastAsia="Arial" w:hAnsi="Arial"/>
          <w:sz w:val="22"/>
          <w:szCs w:val="22"/>
        </w:rPr>
        <w:t xml:space="preserve">项目台账劳务成本=合同金额+签证金额</w:t>
      </w:r>
    </w:p>
    <w:p>
      <w:pPr>
        <w:pStyle w:val="Heading2"/>
        <w:spacing w:after="160" w:before="240"/>
      </w:pPr>
      <w:r>
        <w:rPr>
          <w:rFonts w:ascii="Arial" w:cs="Arial" w:eastAsia="Arial" w:hAnsi="Arial"/>
          <w:b/>
          <w:bCs/>
          <w:color w:val="2563eb"/>
          <w:sz w:val="28"/>
          <w:szCs w:val="28"/>
        </w:rPr>
        <w:t xml:space="preserve">3.5 费用管理</w:t>
      </w:r>
    </w:p>
    <w:p>
      <w:pPr>
        <w:spacing w:after="100"/>
      </w:pPr>
      <w:r>
        <w:rPr>
          <w:rFonts w:ascii="Arial" w:cs="Arial" w:eastAsia="Arial" w:hAnsi="Arial"/>
          <w:sz w:val="22"/>
          <w:szCs w:val="22"/>
        </w:rPr>
        <w:t xml:space="preserve">包含费用申请和费用报销。</w:t>
      </w:r>
    </w:p>
    <w:p>
      <w:pPr>
        <w:pStyle w:val="ListParagraph"/>
        <w:numPr>
          <w:ilvl w:val="0"/>
          <w:numId w:val="2"/>
        </w:numPr>
        <w:spacing w:after="60"/>
      </w:pPr>
      <w:r>
        <w:rPr>
          <w:rFonts w:ascii="Arial" w:cs="Arial" w:eastAsia="Arial" w:hAnsi="Arial"/>
          <w:sz w:val="22"/>
          <w:szCs w:val="22"/>
        </w:rPr>
        <w:t xml:space="preserve">费用申请：Leader审批→Finance审批</w:t>
      </w:r>
    </w:p>
    <w:p>
      <w:pPr>
        <w:pStyle w:val="ListParagraph"/>
        <w:numPr>
          <w:ilvl w:val="0"/>
          <w:numId w:val="2"/>
        </w:numPr>
        <w:spacing w:after="60"/>
      </w:pPr>
      <w:r>
        <w:rPr>
          <w:rFonts w:ascii="Arial" w:cs="Arial" w:eastAsia="Arial" w:hAnsi="Arial"/>
          <w:sz w:val="22"/>
          <w:szCs w:val="22"/>
        </w:rPr>
        <w:t xml:space="preserve">费用报销：支持有发票/无发票，PM审批→Leader审批→Finance审批</w:t>
      </w:r>
    </w:p>
    <w:p>
      <w:pPr>
        <w:pStyle w:val="Heading2"/>
        <w:spacing w:after="160" w:before="240"/>
      </w:pPr>
      <w:r>
        <w:rPr>
          <w:rFonts w:ascii="Arial" w:cs="Arial" w:eastAsia="Arial" w:hAnsi="Arial"/>
          <w:b/>
          <w:bCs/>
          <w:color w:val="2563eb"/>
          <w:sz w:val="28"/>
          <w:szCs w:val="28"/>
        </w:rPr>
        <w:t xml:space="preserve">3.6 财务管理</w:t>
      </w:r>
    </w:p>
    <w:p>
      <w:pPr>
        <w:spacing w:after="100"/>
      </w:pPr>
      <w:r>
        <w:rPr>
          <w:rFonts w:ascii="Arial" w:cs="Arial" w:eastAsia="Arial" w:hAnsi="Arial"/>
          <w:sz w:val="22"/>
          <w:szCs w:val="22"/>
        </w:rPr>
        <w:t xml:space="preserve">包含付款申请、付款确认、项目回款。</w:t>
      </w:r>
    </w:p>
    <w:p>
      <w:pPr>
        <w:pStyle w:val="ListParagraph"/>
        <w:numPr>
          <w:ilvl w:val="0"/>
          <w:numId w:val="2"/>
        </w:numPr>
        <w:spacing w:after="60"/>
      </w:pPr>
      <w:r>
        <w:rPr>
          <w:rFonts w:ascii="Arial" w:cs="Arial" w:eastAsia="Arial" w:hAnsi="Arial"/>
          <w:sz w:val="22"/>
          <w:szCs w:val="22"/>
        </w:rPr>
        <w:t xml:space="preserve">付款申请：按合同类型（采购/劳务）选择，系统自动校验剩余可申请金额</w:t>
      </w:r>
    </w:p>
    <w:p>
      <w:pPr>
        <w:pStyle w:val="ListParagraph"/>
        <w:numPr>
          <w:ilvl w:val="0"/>
          <w:numId w:val="2"/>
        </w:numPr>
        <w:spacing w:after="60"/>
      </w:pPr>
      <w:r>
        <w:rPr>
          <w:rFonts w:ascii="Arial" w:cs="Arial" w:eastAsia="Arial" w:hAnsi="Arial"/>
          <w:sz w:val="22"/>
          <w:szCs w:val="22"/>
        </w:rPr>
        <w:t xml:space="preserve">支持按合同条目分项付款</w:t>
      </w:r>
    </w:p>
    <w:p>
      <w:pPr>
        <w:pStyle w:val="ListParagraph"/>
        <w:numPr>
          <w:ilvl w:val="0"/>
          <w:numId w:val="2"/>
        </w:numPr>
        <w:spacing w:after="60"/>
      </w:pPr>
      <w:r>
        <w:rPr>
          <w:rFonts w:ascii="Arial" w:cs="Arial" w:eastAsia="Arial" w:hAnsi="Arial"/>
          <w:sz w:val="22"/>
          <w:szCs w:val="22"/>
        </w:rPr>
        <w:t xml:space="preserve">审批流：Leader→Finance，财务确认实际付款</w:t>
      </w:r>
    </w:p>
    <w:p>
      <w:pPr>
        <w:pStyle w:val="ListParagraph"/>
        <w:numPr>
          <w:ilvl w:val="0"/>
          <w:numId w:val="2"/>
        </w:numPr>
        <w:spacing w:after="60"/>
      </w:pPr>
      <w:r>
        <w:rPr>
          <w:rFonts w:ascii="Arial" w:cs="Arial" w:eastAsia="Arial" w:hAnsi="Arial"/>
          <w:sz w:val="22"/>
          <w:szCs w:val="22"/>
        </w:rPr>
        <w:t xml:space="preserve">项目回款：录入甲方回款，直接生效无需审批</w:t>
      </w:r>
    </w:p>
    <w:p>
      <w:pPr>
        <w:pStyle w:val="Heading2"/>
        <w:spacing w:after="160" w:before="240"/>
      </w:pPr>
      <w:r>
        <w:rPr>
          <w:rFonts w:ascii="Arial" w:cs="Arial" w:eastAsia="Arial" w:hAnsi="Arial"/>
          <w:b/>
          <w:bCs/>
          <w:color w:val="2563eb"/>
          <w:sz w:val="28"/>
          <w:szCs w:val="28"/>
        </w:rPr>
        <w:t xml:space="preserve">3.7 数据看板</w:t>
      </w:r>
    </w:p>
    <w:p>
      <w:pPr>
        <w:spacing w:after="100"/>
      </w:pPr>
      <w:r>
        <w:rPr>
          <w:rFonts w:ascii="Arial" w:cs="Arial" w:eastAsia="Arial" w:hAnsi="Arial"/>
          <w:sz w:val="22"/>
          <w:szCs w:val="22"/>
        </w:rPr>
        <w:t xml:space="preserve">工作台首页，展示 KPI 概览和趋势分析。</w:t>
      </w:r>
    </w:p>
    <w:p>
      <w:pPr>
        <w:pStyle w:val="ListParagraph"/>
        <w:numPr>
          <w:ilvl w:val="0"/>
          <w:numId w:val="2"/>
        </w:numPr>
        <w:spacing w:after="60"/>
      </w:pPr>
      <w:r>
        <w:rPr>
          <w:rFonts w:ascii="Arial" w:cs="Arial" w:eastAsia="Arial" w:hAnsi="Arial"/>
          <w:sz w:val="22"/>
          <w:szCs w:val="22"/>
        </w:rPr>
        <w:t xml:space="preserve">KPI 卡片：待审批数、进行中项目、本月回款/支出</w:t>
      </w:r>
    </w:p>
    <w:p>
      <w:pPr>
        <w:pStyle w:val="ListParagraph"/>
        <w:numPr>
          <w:ilvl w:val="0"/>
          <w:numId w:val="2"/>
        </w:numPr>
        <w:spacing w:after="60"/>
      </w:pPr>
      <w:r>
        <w:rPr>
          <w:rFonts w:ascii="Arial" w:cs="Arial" w:eastAsia="Arial" w:hAnsi="Arial"/>
          <w:sz w:val="22"/>
          <w:szCs w:val="22"/>
        </w:rPr>
        <w:t xml:space="preserve">月度趋势图：近12个月回款/支出柱状图</w:t>
      </w:r>
    </w:p>
    <w:p>
      <w:pPr>
        <w:pStyle w:val="ListParagraph"/>
        <w:numPr>
          <w:ilvl w:val="0"/>
          <w:numId w:val="2"/>
        </w:numPr>
        <w:spacing w:after="60"/>
      </w:pPr>
      <w:r>
        <w:rPr>
          <w:rFonts w:ascii="Arial" w:cs="Arial" w:eastAsia="Arial" w:hAnsi="Arial"/>
          <w:sz w:val="22"/>
          <w:szCs w:val="22"/>
        </w:rPr>
        <w:t xml:space="preserve">待办审批列表：跨模块汇总</w:t>
      </w:r>
    </w:p>
    <w:p>
      <w:pPr>
        <w:pStyle w:val="ListParagraph"/>
        <w:numPr>
          <w:ilvl w:val="0"/>
          <w:numId w:val="2"/>
        </w:numPr>
        <w:spacing w:after="60"/>
      </w:pPr>
      <w:r>
        <w:rPr>
          <w:rFonts w:ascii="Arial" w:cs="Arial" w:eastAsia="Arial" w:hAnsi="Arial"/>
          <w:sz w:val="22"/>
          <w:szCs w:val="22"/>
        </w:rPr>
        <w:t xml:space="preserve">项目进展：进度百分比</w:t>
      </w:r>
    </w:p>
    <w:p>
      <w:pPr>
        <w:pStyle w:val="ListParagraph"/>
        <w:numPr>
          <w:ilvl w:val="0"/>
          <w:numId w:val="2"/>
        </w:numPr>
        <w:spacing w:after="60"/>
      </w:pPr>
      <w:r>
        <w:rPr>
          <w:rFonts w:ascii="Arial" w:cs="Arial" w:eastAsia="Arial" w:hAnsi="Arial"/>
          <w:sz w:val="22"/>
          <w:szCs w:val="22"/>
        </w:rPr>
        <w:t xml:space="preserve">快捷操作入口</w:t>
      </w:r>
    </w:p>
    <w:p>
      <w:pPr>
        <w:pStyle w:val="Heading2"/>
        <w:spacing w:after="160" w:before="240"/>
      </w:pPr>
      <w:r>
        <w:rPr>
          <w:rFonts w:ascii="Arial" w:cs="Arial" w:eastAsia="Arial" w:hAnsi="Arial"/>
          <w:b/>
          <w:bCs/>
          <w:color w:val="2563eb"/>
          <w:sz w:val="28"/>
          <w:szCs w:val="28"/>
        </w:rPr>
        <w:t xml:space="preserve">3.8 通知系统</w:t>
      </w:r>
    </w:p>
    <w:p>
      <w:pPr>
        <w:spacing w:after="100"/>
      </w:pPr>
      <w:r>
        <w:rPr>
          <w:rFonts w:ascii="Arial" w:cs="Arial" w:eastAsia="Arial" w:hAnsi="Arial"/>
          <w:sz w:val="22"/>
          <w:szCs w:val="22"/>
        </w:rPr>
        <w:t xml:space="preserve">全系统通知模块，13个业务模块的 submit/approve/reject/withdraw 操作自动触发通知。</w:t>
      </w:r>
    </w:p>
    <w:p>
      <w:pPr>
        <w:pStyle w:val="ListParagraph"/>
        <w:numPr>
          <w:ilvl w:val="0"/>
          <w:numId w:val="2"/>
        </w:numPr>
        <w:spacing w:after="60"/>
      </w:pPr>
      <w:r>
        <w:rPr>
          <w:rFonts w:ascii="Arial" w:cs="Arial" w:eastAsia="Arial" w:hAnsi="Arial"/>
          <w:sz w:val="22"/>
          <w:szCs w:val="22"/>
        </w:rPr>
        <w:t xml:space="preserve">后端：NotificationService + Controller，4个API端点</w:t>
      </w:r>
    </w:p>
    <w:p>
      <w:pPr>
        <w:pStyle w:val="ListParagraph"/>
        <w:numPr>
          <w:ilvl w:val="0"/>
          <w:numId w:val="2"/>
        </w:numPr>
        <w:spacing w:after="60"/>
      </w:pPr>
      <w:r>
        <w:rPr>
          <w:rFonts w:ascii="Arial" w:cs="Arial" w:eastAsia="Arial" w:hAnsi="Arial"/>
          <w:sz w:val="22"/>
          <w:szCs w:val="22"/>
        </w:rPr>
        <w:t xml:space="preserve">前端：右上角铃铛图标，Badge 未读计数，Popover 通知列表</w:t>
      </w:r>
    </w:p>
    <w:p>
      <w:pPr>
        <w:pStyle w:val="ListParagraph"/>
        <w:numPr>
          <w:ilvl w:val="0"/>
          <w:numId w:val="2"/>
        </w:numPr>
        <w:spacing w:after="60"/>
      </w:pPr>
      <w:r>
        <w:rPr>
          <w:rFonts w:ascii="Arial" w:cs="Arial" w:eastAsia="Arial" w:hAnsi="Arial"/>
          <w:sz w:val="22"/>
          <w:szCs w:val="22"/>
        </w:rPr>
        <w:t xml:space="preserve">30 秒轮询更新</w:t>
      </w:r>
    </w:p>
    <w:p>
      <w:pPr>
        <w:pStyle w:val="ListParagraph"/>
        <w:numPr>
          <w:ilvl w:val="0"/>
          <w:numId w:val="2"/>
        </w:numPr>
        <w:spacing w:after="60"/>
      </w:pPr>
      <w:r>
        <w:rPr>
          <w:rFonts w:ascii="Arial" w:cs="Arial" w:eastAsia="Arial" w:hAnsi="Arial"/>
          <w:sz w:val="22"/>
          <w:szCs w:val="22"/>
        </w:rPr>
        <w:t xml:space="preserve">点击通知跳转对应模块</w:t>
      </w:r>
    </w:p>
    <w:p>
      <w:pPr>
        <w:pStyle w:val="ListParagraph"/>
        <w:numPr>
          <w:ilvl w:val="0"/>
          <w:numId w:val="2"/>
        </w:numPr>
        <w:spacing w:after="60"/>
      </w:pPr>
      <w:r>
        <w:rPr>
          <w:rFonts w:ascii="Arial" w:cs="Arial" w:eastAsia="Arial" w:hAnsi="Arial"/>
          <w:sz w:val="22"/>
          <w:szCs w:val="22"/>
        </w:rPr>
        <w:t xml:space="preserve">支持全部已读、单条已读</w:t>
      </w:r>
    </w:p>
    <w:p>
      <w:pPr>
        <w:pStyle w:val="Heading2"/>
        <w:spacing w:after="160" w:before="240"/>
      </w:pPr>
      <w:r>
        <w:rPr>
          <w:rFonts w:ascii="Arial" w:cs="Arial" w:eastAsia="Arial" w:hAnsi="Arial"/>
          <w:b/>
          <w:bCs/>
          <w:color w:val="2563eb"/>
          <w:sz w:val="28"/>
          <w:szCs w:val="28"/>
        </w:rPr>
        <w:t xml:space="preserve">3.9 系统设置</w:t>
      </w:r>
    </w:p>
    <w:p>
      <w:pPr>
        <w:spacing w:after="100"/>
      </w:pPr>
      <w:r>
        <w:rPr>
          <w:rFonts w:ascii="Arial" w:cs="Arial" w:eastAsia="Arial" w:hAnsi="Arial"/>
          <w:sz w:val="22"/>
          <w:szCs w:val="22"/>
        </w:rPr>
        <w:t xml:space="preserve">配置管理、字典管理、操作日志、修改密码。</w:t>
      </w:r>
    </w:p>
    <w:p>
      <w:pPr>
        <w:pStyle w:val="ListParagraph"/>
        <w:numPr>
          <w:ilvl w:val="0"/>
          <w:numId w:val="2"/>
        </w:numPr>
        <w:spacing w:after="60"/>
      </w:pPr>
      <w:r>
        <w:rPr>
          <w:rFonts w:ascii="Arial" w:cs="Arial" w:eastAsia="Arial" w:hAnsi="Arial"/>
          <w:sz w:val="22"/>
          <w:szCs w:val="22"/>
        </w:rPr>
        <w:t xml:space="preserve">配置管理：系统全局键值对配置</w:t>
      </w:r>
    </w:p>
    <w:p>
      <w:pPr>
        <w:pStyle w:val="ListParagraph"/>
        <w:numPr>
          <w:ilvl w:val="0"/>
          <w:numId w:val="2"/>
        </w:numPr>
        <w:spacing w:after="60"/>
      </w:pPr>
      <w:r>
        <w:rPr>
          <w:rFonts w:ascii="Arial" w:cs="Arial" w:eastAsia="Arial" w:hAnsi="Arial"/>
          <w:sz w:val="22"/>
          <w:szCs w:val="22"/>
        </w:rPr>
        <w:t xml:space="preserve">字典管理：数据字典维护，支持增删改启禁</w:t>
      </w:r>
    </w:p>
    <w:p>
      <w:pPr>
        <w:pStyle w:val="ListParagraph"/>
        <w:numPr>
          <w:ilvl w:val="0"/>
          <w:numId w:val="2"/>
        </w:numPr>
        <w:spacing w:after="60"/>
      </w:pPr>
      <w:r>
        <w:rPr>
          <w:rFonts w:ascii="Arial" w:cs="Arial" w:eastAsia="Arial" w:hAnsi="Arial"/>
          <w:sz w:val="22"/>
          <w:szCs w:val="22"/>
        </w:rPr>
        <w:t xml:space="preserve">操作日志：全系统操作审计，支持筛选和展开查看变更详情</w:t>
      </w:r>
    </w:p>
    <w:p>
      <w:pPr>
        <w:pStyle w:val="ListParagraph"/>
        <w:numPr>
          <w:ilvl w:val="0"/>
          <w:numId w:val="2"/>
        </w:numPr>
        <w:spacing w:after="60"/>
      </w:pPr>
      <w:r>
        <w:rPr>
          <w:rFonts w:ascii="Arial" w:cs="Arial" w:eastAsia="Arial" w:hAnsi="Arial"/>
          <w:sz w:val="22"/>
          <w:szCs w:val="22"/>
        </w:rPr>
        <w:t xml:space="preserve">修改密码：所有用户可用</w:t>
      </w:r>
    </w:p>
    <w:p>
      <w:pPr>
        <w:pStyle w:val="Heading2"/>
        <w:spacing w:after="160" w:before="240"/>
      </w:pPr>
      <w:r>
        <w:rPr>
          <w:rFonts w:ascii="Arial" w:cs="Arial" w:eastAsia="Arial" w:hAnsi="Arial"/>
          <w:b/>
          <w:bCs/>
          <w:color w:val="2563eb"/>
          <w:sz w:val="28"/>
          <w:szCs w:val="28"/>
        </w:rPr>
        <w:t xml:space="preserve">3.10 移动端 H5</w:t>
      </w:r>
    </w:p>
    <w:p>
      <w:pPr>
        <w:spacing w:after="100"/>
      </w:pPr>
      <w:r>
        <w:rPr>
          <w:rFonts w:ascii="Arial" w:cs="Arial" w:eastAsia="Arial" w:hAnsi="Arial"/>
          <w:sz w:val="22"/>
          <w:szCs w:val="22"/>
        </w:rPr>
        <w:t xml:space="preserve">基于现有代码构建的移动端适配版本，通过 /m/* 路由访问。</w:t>
      </w:r>
    </w:p>
    <w:p>
      <w:pPr>
        <w:pStyle w:val="ListParagraph"/>
        <w:numPr>
          <w:ilvl w:val="0"/>
          <w:numId w:val="2"/>
        </w:numPr>
        <w:spacing w:after="60"/>
      </w:pPr>
      <w:r>
        <w:rPr>
          <w:rFonts w:ascii="Arial" w:cs="Arial" w:eastAsia="Arial" w:hAnsi="Arial"/>
          <w:sz w:val="22"/>
          <w:szCs w:val="22"/>
        </w:rPr>
        <w:t xml:space="preserve">底部 Tab 导航：工作台、审批、消息、我的</w:t>
      </w:r>
    </w:p>
    <w:p>
      <w:pPr>
        <w:pStyle w:val="ListParagraph"/>
        <w:numPr>
          <w:ilvl w:val="0"/>
          <w:numId w:val="2"/>
        </w:numPr>
        <w:spacing w:after="60"/>
      </w:pPr>
      <w:r>
        <w:rPr>
          <w:rFonts w:ascii="Arial" w:cs="Arial" w:eastAsia="Arial" w:hAnsi="Arial"/>
          <w:sz w:val="22"/>
          <w:szCs w:val="22"/>
        </w:rPr>
        <w:t xml:space="preserve">工作台：KPI 概览、待办列表</w:t>
      </w:r>
    </w:p>
    <w:p>
      <w:pPr>
        <w:pStyle w:val="ListParagraph"/>
        <w:numPr>
          <w:ilvl w:val="0"/>
          <w:numId w:val="2"/>
        </w:numPr>
        <w:spacing w:after="60"/>
      </w:pPr>
      <w:r>
        <w:rPr>
          <w:rFonts w:ascii="Arial" w:cs="Arial" w:eastAsia="Arial" w:hAnsi="Arial"/>
          <w:sz w:val="22"/>
          <w:szCs w:val="22"/>
        </w:rPr>
        <w:t xml:space="preserve">审批：跨模块待审批列表，支持通过/驳回</w:t>
      </w:r>
    </w:p>
    <w:p>
      <w:pPr>
        <w:pStyle w:val="ListParagraph"/>
        <w:numPr>
          <w:ilvl w:val="0"/>
          <w:numId w:val="2"/>
        </w:numPr>
        <w:spacing w:after="60"/>
      </w:pPr>
      <w:r>
        <w:rPr>
          <w:rFonts w:ascii="Arial" w:cs="Arial" w:eastAsia="Arial" w:hAnsi="Arial"/>
          <w:sz w:val="22"/>
          <w:szCs w:val="22"/>
        </w:rPr>
        <w:t xml:space="preserve">消息：通知列表、标记已读</w:t>
      </w:r>
    </w:p>
    <w:p>
      <w:pPr>
        <w:pStyle w:val="ListParagraph"/>
        <w:numPr>
          <w:ilvl w:val="0"/>
          <w:numId w:val="2"/>
        </w:numPr>
        <w:spacing w:after="60"/>
      </w:pPr>
      <w:r>
        <w:rPr>
          <w:rFonts w:ascii="Arial" w:cs="Arial" w:eastAsia="Arial" w:hAnsi="Arial"/>
          <w:sz w:val="22"/>
          <w:szCs w:val="22"/>
        </w:rPr>
        <w:t xml:space="preserve">个人中心：账户信息、修改密码、退出登录</w:t>
      </w:r>
    </w:p>
    <w:p>
      <w:r>
        <w:br w:type="page"/>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四、角色权限体系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角色</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标识</w:t>
            </w:r>
          </w:p>
        </w:tc>
        <w:tc>
          <w:tcPr>
            <w:tcW w:type="dxa" w:w="6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核心权限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系统管理员</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全部权限，含系统设置、用户管理</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总经理</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各模块领导层审批，查看所有数据</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项目经理</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项目管理、劳务管理、审批采购询价/确认/报销</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采购员</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采购全流程操作与审批、库存查看</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财务</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财务审批、付款确认、回款录入</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销售</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查看自己负责的项目和台账</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工程人员</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查看参与的项目和库存信息</w:t>
            </w:r>
          </w:p>
        </w:tc>
      </w:tr>
    </w:tbl>
    <w:p>
      <w:r>
        <w:br w:type="page"/>
      </w:r>
    </w:p>
    <w:p>
      <w:pPr>
        <w:pStyle w:val="Heading2"/>
        <w:spacing w:after="160" w:before="240"/>
      </w:pPr>
      <w:r>
        <w:rPr>
          <w:rFonts w:ascii="Arial" w:cs="Arial" w:eastAsia="Arial" w:hAnsi="Arial"/>
          <w:b/>
          <w:bCs/>
          <w:color w:val="2563eb"/>
          <w:sz w:val="28"/>
          <w:szCs w:val="28"/>
        </w:rPr>
        <w:t xml:space="preserve">4.1 权限矩阵</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00"/>
        <w:gridCol w:w="800"/>
        <w:gridCol w:w="1000"/>
        <w:gridCol w:w="800"/>
        <w:gridCol w:w="800"/>
        <w:gridCol w:w="800"/>
      </w:tblGrid>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模块/功能</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admin</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leader</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pm</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purchaser</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finance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sales</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engineer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项目立项-查看</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负责</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参与</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项目立项-新建/编辑</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项目立项-审批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工程量变更</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项目台账</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负责</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采购申请</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采购询价</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采购确认</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供货通知</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公司库存</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项目库存</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查看</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材料领用</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转库记录</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劳务合同</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劳务签证</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费用申请</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费用报销</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付款申请</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审批</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项目回款</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全部</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数据看板</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系统设置</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用户管理</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r>
        <w:br w:type="page"/>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五、API 端点汇总</w:t>
      </w:r>
    </w:p>
    <w:p>
      <w:pPr>
        <w:pStyle w:val="Heading2"/>
        <w:spacing w:after="160" w:before="240"/>
      </w:pPr>
      <w:r>
        <w:rPr>
          <w:rFonts w:ascii="Arial" w:cs="Arial" w:eastAsia="Arial" w:hAnsi="Arial"/>
          <w:b/>
          <w:bCs/>
          <w:color w:val="2563eb"/>
          <w:sz w:val="28"/>
          <w:szCs w:val="28"/>
        </w:rPr>
        <w:t xml:space="preserve">5.1 认证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方法</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路径</w:t>
            </w:r>
          </w:p>
        </w:tc>
        <w:tc>
          <w:tcPr>
            <w:tcW w:type="dxa" w:w="4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说明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/auth/login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登录</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/auth/me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获取当前用户信息</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/auth/change-password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修改密码</w:t>
            </w:r>
          </w:p>
        </w:tc>
      </w:tr>
    </w:tbl>
    <w:p>
      <w:pPr>
        <w:pStyle w:val="Heading2"/>
        <w:spacing w:after="160" w:before="240"/>
      </w:pPr>
      <w:r>
        <w:rPr>
          <w:rFonts w:ascii="Arial" w:cs="Arial" w:eastAsia="Arial" w:hAnsi="Arial"/>
          <w:b/>
          <w:bCs/>
          <w:color w:val="2563eb"/>
          <w:sz w:val="28"/>
          <w:szCs w:val="28"/>
        </w:rPr>
        <w:t xml:space="preserve">5.2 项目管理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方法</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路径</w:t>
            </w:r>
          </w:p>
        </w:tc>
        <w:tc>
          <w:tcPr>
            <w:tcW w:type="dxa" w:w="4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说明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创建项目</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项目详情</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编辑项目</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/projects/:id/submit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提交审批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/projects/:id/approve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通过审批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/projects/:id/reject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驳回</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删除项目(admin)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/projects/ledger-list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台账列表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/projects/:id/ledger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台账详情</w:t>
            </w:r>
          </w:p>
        </w:tc>
      </w:tr>
    </w:tbl>
    <w:p>
      <w:pPr>
        <w:pStyle w:val="Heading2"/>
        <w:spacing w:after="160" w:before="240"/>
      </w:pPr>
      <w:r>
        <w:rPr>
          <w:rFonts w:ascii="Arial" w:cs="Arial" w:eastAsia="Arial" w:hAnsi="Arial"/>
          <w:b/>
          <w:bCs/>
          <w:color w:val="2563eb"/>
          <w:sz w:val="28"/>
          <w:szCs w:val="28"/>
        </w:rPr>
        <w:t xml:space="preserve">5.3 采购管理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方法</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路径</w:t>
            </w:r>
          </w:p>
        </w:tc>
        <w:tc>
          <w:tcPr>
            <w:tcW w:type="dxa" w:w="4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说明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/purchase-requests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采购申请列表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/purchase-requests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创建采购申请</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/inquiry-orders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询价单列表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/inquiry-orders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创建询价单</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/purchase-confirms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采购确认列表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/purchase-confirms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创建采购确认</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/delivery-notices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供货通知列表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/delivery-notices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创建供货通知</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各模块/:id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删除(admin/draft)</w:t>
            </w:r>
          </w:p>
        </w:tc>
      </w:tr>
    </w:tbl>
    <w:p>
      <w:pPr>
        <w:pStyle w:val="Heading2"/>
        <w:spacing w:after="160" w:before="240"/>
      </w:pPr>
      <w:r>
        <w:rPr>
          <w:rFonts w:ascii="Arial" w:cs="Arial" w:eastAsia="Arial" w:hAnsi="Arial"/>
          <w:b/>
          <w:bCs/>
          <w:color w:val="2563eb"/>
          <w:sz w:val="28"/>
          <w:szCs w:val="28"/>
        </w:rPr>
        <w:t xml:space="preserve">5.4 数据看板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方法</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路径</w:t>
            </w:r>
          </w:p>
        </w:tc>
        <w:tc>
          <w:tcPr>
            <w:tcW w:type="dxa" w:w="4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说明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/dashboard/stats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KPI 数据</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/dashboard/pending-approvals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待审批列表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/dashboard/project-progress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项目进展</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/dashboard/monthly-trend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月度趋势</w:t>
            </w:r>
          </w:p>
        </w:tc>
      </w:tr>
    </w:tbl>
    <w:p>
      <w:pPr>
        <w:pStyle w:val="Heading2"/>
        <w:spacing w:after="160" w:before="240"/>
      </w:pPr>
      <w:r>
        <w:rPr>
          <w:rFonts w:ascii="Arial" w:cs="Arial" w:eastAsia="Arial" w:hAnsi="Arial"/>
          <w:b/>
          <w:bCs/>
          <w:color w:val="2563eb"/>
          <w:sz w:val="28"/>
          <w:szCs w:val="28"/>
        </w:rPr>
        <w:t xml:space="preserve">5.5 系统设置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方法</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路径</w:t>
            </w:r>
          </w:p>
        </w:tc>
        <w:tc>
          <w:tcPr>
            <w:tcW w:type="dxa" w:w="4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说明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/settings/config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配置列表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/settings/config/:key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更新配置</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/settings/dict/types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字典类型列表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/settings/dict/:type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字典条目</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POST/PUT/DELETE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/settings/dict/...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字典CRUD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/settings/operation-logs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操作日志</w:t>
            </w:r>
          </w:p>
        </w:tc>
      </w:tr>
    </w:tbl>
    <w:p>
      <w:r>
        <w:br w:type="page"/>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六、开发进度一览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模块</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状态</w:t>
            </w:r>
          </w:p>
        </w:tc>
        <w:tc>
          <w:tcPr>
            <w:tcW w:type="dxa" w:w="5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说明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项目立项</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创建→审批→台账</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工程量变更</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变更明细→审批→更新台账</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项目台账</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完整财务视图、成本结构分析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采购申请→供货通知</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四段式采购全链路</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公司库存</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入库、出库、库存管理</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项目库存</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自动入库、转库、领用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材料领用</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公司库存→项目库存</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转库/退库</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项目库存→公司库存</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劳务合同确认</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金额确认、审批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劳务签证</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正负调整、计入合同总价</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费用申请</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日常费用审批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费用报销</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有发票/无发票双模式</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付款申请</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按合同付款、剩余校验</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付款确认</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财务确认实际付款</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项目回款</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回款录入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数据看板</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KPI+图表+待办</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通知系统</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13模块消息推送</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系统设置</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配置+字典+日志+改密</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用户管理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增删改查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材料设备库</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基础数据维护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移动端 H5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Tab导航+审批+通知+个人</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删除功能</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已完成</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付款/回款/费用/报销</w:t>
            </w:r>
          </w:p>
        </w:tc>
      </w:tr>
    </w:tbl>
    <w:p>
      <w:r>
        <w:br w:type="page"/>
      </w:r>
    </w:p>
    <w:p>
      <w:pPr>
        <w:pStyle w:val="Heading2"/>
        <w:spacing w:after="160" w:before="240"/>
      </w:pPr>
      <w:r>
        <w:rPr>
          <w:rFonts w:ascii="Arial" w:cs="Arial" w:eastAsia="Arial" w:hAnsi="Arial"/>
          <w:b/>
          <w:bCs/>
          <w:color w:val="2563eb"/>
          <w:sz w:val="28"/>
          <w:szCs w:val="28"/>
        </w:rPr>
        <w:t xml:space="preserve">6.2 后续规划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功能</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优先级</w:t>
            </w:r>
          </w:p>
        </w:tc>
        <w:tc>
          <w:tcPr>
            <w:tcW w:type="dxa" w:w="5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说明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表单导出</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中</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各类单据 PDF 带水印下载</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消息通知增强</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低</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企业微信/钉钉推送</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报表模块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中</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自定义报表、Excel 导出</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移动端增强</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低</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完整的业务流程移动操作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数据备份</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低</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自动备份与恢复</w:t>
            </w:r>
          </w:p>
        </w:tc>
      </w:tr>
    </w:tbl>
    <w:p>
      <w:r>
        <w:br w:type="page"/>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七、部署运维</w:t>
      </w:r>
    </w:p>
    <w:p>
      <w:pPr>
        <w:pStyle w:val="Heading2"/>
        <w:spacing w:after="160" w:before="240"/>
      </w:pPr>
      <w:r>
        <w:rPr>
          <w:rFonts w:ascii="Arial" w:cs="Arial" w:eastAsia="Arial" w:hAnsi="Arial"/>
          <w:b/>
          <w:bCs/>
          <w:color w:val="2563eb"/>
          <w:sz w:val="28"/>
          <w:szCs w:val="28"/>
        </w:rPr>
        <w:t xml:space="preserve">7.1 环境要求</w:t>
      </w:r>
    </w:p>
    <w:p>
      <w:pPr>
        <w:pStyle w:val="ListParagraph"/>
        <w:numPr>
          <w:ilvl w:val="0"/>
          <w:numId w:val="2"/>
        </w:numPr>
        <w:spacing w:after="60"/>
      </w:pPr>
      <w:r>
        <w:rPr>
          <w:rFonts w:ascii="Arial" w:cs="Arial" w:eastAsia="Arial" w:hAnsi="Arial"/>
          <w:sz w:val="22"/>
          <w:szCs w:val="22"/>
        </w:rPr>
        <w:t xml:space="preserve">Node.js &gt;= 20</w:t>
      </w:r>
    </w:p>
    <w:p>
      <w:pPr>
        <w:pStyle w:val="ListParagraph"/>
        <w:numPr>
          <w:ilvl w:val="0"/>
          <w:numId w:val="2"/>
        </w:numPr>
        <w:spacing w:after="60"/>
      </w:pPr>
      <w:r>
        <w:rPr>
          <w:rFonts w:ascii="Arial" w:cs="Arial" w:eastAsia="Arial" w:hAnsi="Arial"/>
          <w:sz w:val="22"/>
          <w:szCs w:val="22"/>
        </w:rPr>
        <w:t xml:space="preserve">PostgreSQL &gt;= 14</w:t>
      </w:r>
    </w:p>
    <w:p>
      <w:pPr>
        <w:pStyle w:val="ListParagraph"/>
        <w:numPr>
          <w:ilvl w:val="0"/>
          <w:numId w:val="2"/>
        </w:numPr>
        <w:spacing w:after="60"/>
      </w:pPr>
      <w:r>
        <w:rPr>
          <w:rFonts w:ascii="Arial" w:cs="Arial" w:eastAsia="Arial" w:hAnsi="Arial"/>
          <w:sz w:val="22"/>
          <w:szCs w:val="22"/>
        </w:rPr>
        <w:t xml:space="preserve">npm 或 pnpm 包管理器</w:t>
      </w:r>
    </w:p>
    <w:p>
      <w:pPr>
        <w:pStyle w:val="Heading2"/>
        <w:spacing w:after="160" w:before="240"/>
      </w:pPr>
      <w:r>
        <w:rPr>
          <w:rFonts w:ascii="Arial" w:cs="Arial" w:eastAsia="Arial" w:hAnsi="Arial"/>
          <w:b/>
          <w:bCs/>
          <w:color w:val="2563eb"/>
          <w:sz w:val="28"/>
          <w:szCs w:val="28"/>
        </w:rPr>
        <w:t xml:space="preserve">7.2 启动方式</w:t>
      </w:r>
    </w:p>
    <w:p>
      <w:pPr>
        <w:spacing w:after="100"/>
      </w:pPr>
      <w:r>
        <w:rPr>
          <w:rFonts w:ascii="Arial" w:cs="Arial" w:eastAsia="Arial" w:hAnsi="Arial"/>
          <w:sz w:val="22"/>
          <w:szCs w:val="22"/>
        </w:rPr>
        <w:t xml:space="preserve"># 后端编译与启动</w:t>
      </w:r>
    </w:p>
    <w:p>
      <w:pPr>
        <w:spacing w:after="100"/>
      </w:pPr>
      <w:r>
        <w:rPr>
          <w:rFonts w:ascii="Arial" w:cs="Arial" w:eastAsia="Arial" w:hAnsi="Arial"/>
          <w:sz w:val="22"/>
          <w:szCs w:val="22"/>
        </w:rPr>
        <w:t xml:space="preserve">cd backend &amp;&amp; npm run build</w:t>
      </w:r>
    </w:p>
    <w:p>
      <w:pPr>
        <w:spacing w:after="100"/>
      </w:pPr>
      <w:r>
        <w:rPr>
          <w:rFonts w:ascii="Arial" w:cs="Arial" w:eastAsia="Arial" w:hAnsi="Arial"/>
          <w:sz w:val="22"/>
          <w:szCs w:val="22"/>
        </w:rPr>
        <w:t xml:space="preserve">node dist/src/main.js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前端编译与部署（开发时）</w:t>
      </w:r>
    </w:p>
    <w:p>
      <w:pPr>
        <w:spacing w:after="100"/>
      </w:pPr>
      <w:r>
        <w:rPr>
          <w:rFonts w:ascii="Arial" w:cs="Arial" w:eastAsia="Arial" w:hAnsi="Arial"/>
          <w:sz w:val="22"/>
          <w:szCs w:val="22"/>
        </w:rPr>
        <w:t xml:space="preserve">cd frontend &amp;&amp; npx vite build</w:t>
      </w:r>
    </w:p>
    <w:p>
      <w:pPr>
        <w:spacing w:after="100"/>
      </w:pPr>
      <w:r>
        <w:rPr>
          <w:rFonts w:ascii="Arial" w:cs="Arial" w:eastAsia="Arial" w:hAnsi="Arial"/>
          <w:sz w:val="22"/>
          <w:szCs w:val="22"/>
        </w:rPr>
        <w:t xml:space="preserve">cp -r dist/* ../backend/public/</w:t>
      </w:r>
    </w:p>
    <w:p>
      <w:pPr>
        <w:pStyle w:val="Heading2"/>
        <w:spacing w:after="160" w:before="240"/>
      </w:pPr>
      <w:r>
        <w:rPr>
          <w:rFonts w:ascii="Arial" w:cs="Arial" w:eastAsia="Arial" w:hAnsi="Arial"/>
          <w:b/>
          <w:bCs/>
          <w:color w:val="2563eb"/>
          <w:sz w:val="28"/>
          <w:szCs w:val="28"/>
        </w:rPr>
        <w:t xml:space="preserve">7.3 默认端口</w:t>
      </w:r>
    </w:p>
    <w:p>
      <w:pPr>
        <w:pStyle w:val="ListParagraph"/>
        <w:numPr>
          <w:ilvl w:val="0"/>
          <w:numId w:val="2"/>
        </w:numPr>
        <w:spacing w:after="60"/>
      </w:pPr>
      <w:r>
        <w:rPr>
          <w:rFonts w:ascii="Arial" w:cs="Arial" w:eastAsia="Arial" w:hAnsi="Arial"/>
          <w:sz w:val="22"/>
          <w:szCs w:val="22"/>
        </w:rPr>
        <w:t xml:space="preserve">服务端口：12404</w:t>
      </w:r>
    </w:p>
    <w:p>
      <w:pPr>
        <w:pStyle w:val="ListParagraph"/>
        <w:numPr>
          <w:ilvl w:val="0"/>
          <w:numId w:val="2"/>
        </w:numPr>
        <w:spacing w:after="60"/>
      </w:pPr>
      <w:r>
        <w:rPr>
          <w:rFonts w:ascii="Arial" w:cs="Arial" w:eastAsia="Arial" w:hAnsi="Arial"/>
          <w:sz w:val="22"/>
          <w:szCs w:val="22"/>
        </w:rPr>
        <w:t xml:space="preserve">API 前缀：/api/v1</w:t>
      </w:r>
    </w:p>
    <w:p>
      <w:pPr>
        <w:pStyle w:val="ListParagraph"/>
        <w:numPr>
          <w:ilvl w:val="0"/>
          <w:numId w:val="2"/>
        </w:numPr>
        <w:spacing w:after="60"/>
      </w:pPr>
      <w:r>
        <w:rPr>
          <w:rFonts w:ascii="Arial" w:cs="Arial" w:eastAsia="Arial" w:hAnsi="Arial"/>
          <w:sz w:val="22"/>
          <w:szCs w:val="22"/>
        </w:rPr>
        <w:t xml:space="preserve">静态文件：/（根路径）</w:t>
      </w:r>
    </w:p>
    <w:p>
      <w:pPr>
        <w:pStyle w:val="Heading2"/>
        <w:spacing w:after="160" w:before="240"/>
      </w:pPr>
      <w:r>
        <w:rPr>
          <w:rFonts w:ascii="Arial" w:cs="Arial" w:eastAsia="Arial" w:hAnsi="Arial"/>
          <w:b/>
          <w:bCs/>
          <w:color w:val="2563eb"/>
          <w:sz w:val="28"/>
          <w:szCs w:val="28"/>
        </w:rPr>
        <w:t xml:space="preserve">7.4 构建产物</w:t>
      </w:r>
    </w:p>
    <w:p>
      <w:pPr>
        <w:spacing w:after="100"/>
      </w:pPr>
      <w:r>
        <w:rPr>
          <w:rFonts w:ascii="Arial" w:cs="Arial" w:eastAsia="Arial" w:hAnsi="Arial"/>
          <w:sz w:val="22"/>
          <w:szCs w:val="22"/>
        </w:rPr>
        <w:t xml:space="preserve">前端编译后约 3.3MB（含 antd 和图表库）</w:t>
      </w:r>
    </w:p>
    <w:p>
      <w:pPr>
        <w:spacing w:after="100"/>
      </w:pPr>
      <w:r>
        <w:rPr>
          <w:rFonts w:ascii="Arial" w:cs="Arial" w:eastAsia="Arial" w:hAnsi="Arial"/>
          <w:sz w:val="22"/>
          <w:szCs w:val="22"/>
        </w:rPr>
        <w:t xml:space="preserve">后端编译后约 1.2MB</w:t>
      </w:r>
    </w:p>
    <w:p>
      <w:r>
        <w:br w:type="page"/>
      </w:r>
    </w:p>
    <w:sectPr>
      <w:headerReference w:type="default" r:id="rId21"/>
      <w:footerReference w:type="default" r:id="rId2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扬光工程管理系统 · 项目开发文档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扬光工程管理系统 · 项目开发文档</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扬光工程管理系统 · 项目开发文档</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扬光工程管理系统 · 项目开发文档</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扬光工程管理系统 · 项目开发文档</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扬光工程管理系统 · 项目开发文档</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扬光工程管理系统 · 项目开发文档</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扬光工程管理系统 · 项目开发文档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2026-05-14T03:40:58.139Z</dcterms:created>
  <dcterms:modified xsi:type="dcterms:W3CDTF">2026-05-14T03:40:58.140Z</dcterms:modified>
</cp:coreProperties>
</file>

<file path=docProps/custom.xml><?xml version="1.0" encoding="utf-8"?>
<Properties xmlns="http://schemas.openxmlformats.org/officeDocument/2006/custom-properties" xmlns:vt="http://schemas.openxmlformats.org/officeDocument/2006/docPropsVTypes"/>
</file>