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left"/>
      </w:pPr>
      <w:r>
        <w:rPr>
          <w:rFonts w:ascii="Calibri" w:hAnsi="Calibri"/>
          <w:b/>
          <w:color w:val="0B2545"/>
          <w:sz w:val="40"/>
        </w:rPr>
        <w:t>QDSV/QIntent as a Guarded Semantic Decision Layer for LDPC/qLDPC-Style Post-Decoding Correction Governance</w:t>
      </w:r>
    </w:p>
    <w:p>
      <w:r>
        <w:t>Mature research draft.</w:t>
      </w:r>
    </w:p>
    <w:p>
      <w:pPr>
        <w:pStyle w:val="Heading1"/>
      </w:pPr>
      <w:r>
        <w:t>Abstract</w:t>
      </w:r>
    </w:p>
    <w:p>
      <w:r>
        <w:t>Quantum LDPC and qLDPC codes are promising candidates for scalable quantum error correction, but scalable codes and stronger decoders do not remove a practical downstream question: when several correction hypotheses are plausible, uncertain or conflicting, which correction should be trusted?</w:t>
      </w:r>
    </w:p>
    <w:p>
      <w:r>
        <w:t>This paper evaluates QDSV/QIntent as a guarded semantic decision layer for post-decoding correction-hypothesis governance. QDSV/QIntent does not replace belief propagation, BP+OSD, LSD, neural or soft-information decoders. Instead, it receives decoder-generated candidates and prepared evidence signals, including syndrome consistency, decoder confidence, decoder agreement, logical-safety indicators, propagation safety and logical-risk indicators. It then performs structured candidate evaluation and returns an auditable decision trace without exposing the private QDSV scoring formula.</w:t>
      </w:r>
    </w:p>
    <w:p>
      <w:r>
        <w:t xml:space="preserve">We report seven experimental stages. A controlled ambiguity benchmark demonstrates risk-aware selection under constructed syndrome ambiguity. A BP-soft multi-seed benchmark over 480 scenarios shows that raw QDSV improves exact rate from 0.7708 to 0.7896 and reduces average logical risk from 141.12 to 110.80, while guarded QDSV reduces bad overrides from 5.83% to 1.46%. An external </w:t>
      </w:r>
      <w:r>
        <w:rPr>
          <w:rFonts w:ascii="Consolas" w:hAnsi="Consolas"/>
          <w:sz w:val="20"/>
        </w:rPr>
        <w:t>ldpc</w:t>
      </w:r>
      <w:r>
        <w:t xml:space="preserve"> decoder-ensemble recovery benchmark uses BP, BP+OSD and BP+LSD outputs. In 168 BP-failure scenarios, raw QDSV recovered exact corrections in 53.1% of cases, reduced the logical-failure proxy from 48.7% to 24.2%, and reduced average logical risk from 165.02 to 129.14. Guarded QDSV accepted fewer overrides but reduced bad overrides from 16.18% to 0.69% and eliminated worse-risk selections. A preliminary IBM Quantum hardware-oriented syndrome validation on </w:t>
      </w:r>
      <w:r>
        <w:rPr>
          <w:rFonts w:ascii="Consolas" w:hAnsi="Consolas"/>
          <w:sz w:val="20"/>
        </w:rPr>
        <w:t>ibm_fez</w:t>
      </w:r>
      <w:r>
        <w:t xml:space="preserve"> validates the handoff from hardware counts to QDSV/QIntent evidence. Finally, two known stabilizer-code validations compute the formal residual </w:t>
      </w:r>
      <w:r>
        <w:rPr>
          <w:rFonts w:ascii="Consolas" w:hAnsi="Consolas"/>
          <w:sz w:val="20"/>
        </w:rPr>
        <w:t>R = C E</w:t>
      </w:r>
      <w:r>
        <w:t>: in 320 correctable single-error scenarios, the 5-qubit code baseline produced an 8.125% mean formal logical-failure rate while raw and guarded QDSV achieved 0%; in the Steane [[7,1,3]] CSS code, the baseline produced a 12.1875% mean formal logical-failure rate while raw and guarded QDSV again achieved 0%.</w:t>
      </w:r>
    </w:p>
    <w:p>
      <w:r>
        <w:t>These results support the hypothesis that QDSV/QIntent can serve as a decoder-agnostic, guarded, auditable post-decoding decision layer validated across small stabilizer-code families. The results do not establish production decoder superiority, real-time suitability or quantum advantage. They identify a complementary role for semantic decision governance in decoder pipelines and motivate further evaluation with production qLDPC codes, larger stabilizer benchmarks and latency-aware implementations.</w:t>
      </w:r>
    </w:p>
    <w:p>
      <w:pPr>
        <w:pStyle w:val="Heading1"/>
      </w:pPr>
      <w:r>
        <w:t>1. Introduction</w:t>
      </w:r>
    </w:p>
    <w:p>
      <w:r>
        <w:t>Quantum error correction is a central requirement for scalable quantum computing. LDPC and qLDPC-style codes are attractive because they promise improved overhead properties compared with many conventional approaches. However, scalable code construction alone is not enough. The decoding workflow must interpret noisy syndromes, manage ambiguity, select corrections, avoid logical failures and do so under practical latency and reliability constraints.</w:t>
      </w:r>
    </w:p>
    <w:p>
      <w:r>
        <w:t>Most decoding research focuses on producing better correction hypotheses: higher likelihood candidates, faster convergence, lower-weight corrections, ordered-statistics post-processing, localized inversion or learned neural inference. These are essential mechanisms. Yet a practical pipeline still faces a governance problem after candidate generation: if several hypotheses are plausible, if decoders disagree, or if confidence and logical risk point in different directions, the system must decide whether to accept, override, reject or defer a correction.</w:t>
      </w:r>
    </w:p>
    <w:p>
      <w:r>
        <w:t>The final correction decision can involve several competing criteria:</w:t>
      </w:r>
    </w:p>
    <w:p>
      <w:pPr>
        <w:pStyle w:val="ListBullet"/>
      </w:pPr>
      <w:r>
        <w:t>Does the candidate match the syndrome?</w:t>
      </w:r>
    </w:p>
    <w:p>
      <w:pPr>
        <w:pStyle w:val="ListBullet"/>
      </w:pPr>
      <w:r>
        <w:t>How confident is the decoder?</w:t>
      </w:r>
    </w:p>
    <w:p>
      <w:pPr>
        <w:pStyle w:val="ListBullet"/>
      </w:pPr>
      <w:r>
        <w:t>Do multiple decoders agree?</w:t>
      </w:r>
    </w:p>
    <w:p>
      <w:pPr>
        <w:pStyle w:val="ListBullet"/>
      </w:pPr>
      <w:r>
        <w:t>Does the correction touch structurally sensitive qubits?</w:t>
      </w:r>
    </w:p>
    <w:p>
      <w:pPr>
        <w:pStyle w:val="ListBullet"/>
      </w:pPr>
      <w:r>
        <w:t>Does it increase propagation risk?</w:t>
      </w:r>
    </w:p>
    <w:p>
      <w:pPr>
        <w:pStyle w:val="ListBullet"/>
      </w:pPr>
      <w:r>
        <w:t>Is it likely to preserve the logical subspace?</w:t>
      </w:r>
    </w:p>
    <w:p>
      <w:pPr>
        <w:pStyle w:val="ListBullet"/>
      </w:pPr>
      <w:r>
        <w:t>Can the decision be audited and reproduced?</w:t>
      </w:r>
    </w:p>
    <w:p>
      <w:r>
        <w:t>This work explores QDSV/QIntent in that decision-governance gap. QDSV provides a semantic representation layer for structured evidence, building on the problem-first representation model introduced in [5] and its implementation/validation framework in [6]. QIntent provides a public declarative syntax for expressing correction-hypothesis decision workflows. In the experiments reported here, QDSV/QIntent is evaluated in the post-decoding phase: decoders generate candidates, and QDSV/QIntent governs whether a correction hypothesis should be accepted, rejected or overridden using structured evidence, risk-aware decision logic and guarded acceptance policies.</w:t>
      </w:r>
    </w:p>
    <w:p>
      <w:r>
        <w:t>The paper makes four focused contributions:</w:t>
      </w:r>
    </w:p>
    <w:p>
      <w:pPr>
        <w:pStyle w:val="ListNumber"/>
      </w:pPr>
      <w:r>
        <w:t>It formulates post-decoding correction selection as a guarded semantic decision-governance problem rather than as a replacement decoder.</w:t>
      </w:r>
    </w:p>
    <w:p>
      <w:pPr>
        <w:pStyle w:val="ListNumber"/>
      </w:pPr>
      <w:r>
        <w:t xml:space="preserve">It evaluates QDSV/QIntent over synthetic ambiguity, BP-soft evidence and external </w:t>
      </w:r>
      <w:r>
        <w:rPr>
          <w:rFonts w:ascii="Consolas" w:hAnsi="Consolas"/>
          <w:sz w:val="20"/>
        </w:rPr>
        <w:t>ldpc</w:t>
      </w:r>
      <w:r>
        <w:t xml:space="preserve"> decoder outputs including BP, BP+OSD and BP+LSD.</w:t>
      </w:r>
    </w:p>
    <w:p>
      <w:pPr>
        <w:pStyle w:val="ListNumber"/>
      </w:pPr>
      <w:r>
        <w:t>It introduces guarded override policies that reduce harmful overrides while preserving the ability to recover from baseline decoder failures.</w:t>
      </w:r>
    </w:p>
    <w:p>
      <w:pPr>
        <w:pStyle w:val="ListNumber"/>
      </w:pPr>
      <w:r>
        <w:t xml:space="preserve">It validates logical preservation in two known stabilizer-code settings by computing the residual </w:t>
      </w:r>
      <w:r>
        <w:rPr>
          <w:rFonts w:ascii="Consolas" w:hAnsi="Consolas"/>
          <w:sz w:val="20"/>
        </w:rPr>
        <w:t>R = C E</w:t>
      </w:r>
      <w:r>
        <w:t xml:space="preserve"> and classifying it against </w:t>
      </w:r>
      <w:r>
        <w:rPr>
          <w:rFonts w:ascii="Consolas" w:hAnsi="Consolas"/>
          <w:sz w:val="20"/>
        </w:rPr>
        <w:t>S</w:t>
      </w:r>
      <w:r>
        <w:t xml:space="preserve"> and </w:t>
      </w:r>
      <w:r>
        <w:rPr>
          <w:rFonts w:ascii="Consolas" w:hAnsi="Consolas"/>
          <w:sz w:val="20"/>
        </w:rPr>
        <w:t>N(S)\S</w:t>
      </w:r>
      <w:r>
        <w:t>.</w:t>
      </w:r>
    </w:p>
    <w:p>
      <w:r>
        <w:t>The intended claim is deliberately narrow: QDSV/QIntent is a complementary post-decoding decision layer. It is not a new qLDPC code construction, not a replacement for BP/OSD/LSD/neural decoders, and not a claim of hardware fault tolerance.</w:t>
      </w:r>
    </w:p>
    <w:p>
      <w:pPr>
        <w:pStyle w:val="Heading1"/>
      </w:pPr>
      <w:r>
        <w:t>2. Related Work and Positioning</w:t>
      </w:r>
    </w:p>
    <w:p>
      <w:r>
        <w:t xml:space="preserve">Belief propagation is a natural baseline for sparse classical and quantum codes, but degeneracy, short cycles and ambiguous syndromes can limit standalone BP behavior in quantum LDPC settings. BP combined with ordered-statistics decoding has been studied as a general decoder for quantum LDPC codes and is implemented in the open </w:t>
      </w:r>
      <w:r>
        <w:rPr>
          <w:rFonts w:ascii="Consolas" w:hAnsi="Consolas"/>
          <w:sz w:val="20"/>
        </w:rPr>
        <w:t>ldpc</w:t>
      </w:r>
      <w:r>
        <w:t xml:space="preserve"> ecosystem used by this work [1].</w:t>
      </w:r>
    </w:p>
    <w:p>
      <w:r>
        <w:t>Localized statistics decoding (LSD) was proposed as a parallel decoding approach for quantum LDPC codes, addressing scalability and runtime limitations of global BP+OSD-style post-processing while retaining broad applicability [2]. Neural decoders and learned approaches provide another line of work, targeting accuracy-latency tradeoffs and hardware deployability under real-time constraints [3]. Soft-information and soft-output approaches incorporate richer measurement or confidence information into decoding pipelines, improving the evidence available to the decoder rather than treating each syndrome bit as a hard decision [4].</w:t>
      </w:r>
    </w:p>
    <w:p>
      <w:r>
        <w:t>QDSV/QIntent is positioned differently. It does not attempt to replace BP, BP+OSD, LSD, neural or soft-information decoders. It operates after candidate generation, using decoder outputs and auxiliary evidence as inputs to a guarded decision layer. In this framing, decoders answer "what corrections are plausible?", while QDSV/QIntent addresses "which plausible correction should be trusted under the current evidence, risk and guard policy?".</w:t>
      </w:r>
    </w:p>
    <w:p>
      <w:r>
        <w:t>This distinction matters because a post-decoding decision layer can be evaluated using metrics that are not identical to decoder accuracy alone: harmful override rate, successful override rate, evidence-insufficiency rate, risk delta, audit trace completeness and formal residual classification in known stabilizer codes.</w:t>
      </w:r>
    </w:p>
    <w:p>
      <w:pPr>
        <w:pStyle w:val="Heading1"/>
      </w:pPr>
      <w:r>
        <w:t>3. Gap Analysis in LDPC/qLDPC Decoding</w:t>
      </w:r>
    </w:p>
    <w:p>
      <w:r>
        <w:t>This paper focuses on practical gaps in the decoding workflow rather than proposing a new code family.</w:t>
      </w:r>
    </w:p>
    <w:tbl>
      <w:tblPr>
        <w:tblStyle w:val="TableGrid"/>
        <w:tblW w:type="dxa" w:w="9360"/>
        <w:jc w:val="center"/>
        <w:tblLook w:firstColumn="1" w:firstRow="1" w:lastColumn="0" w:lastRow="0" w:noHBand="0" w:noVBand="1" w:val="04A0"/>
        <w:tblCellMar>
          <w:top w:w="80" w:type="dxa"/>
          <w:start w:w="120" w:type="dxa"/>
          <w:bottom w:w="80" w:type="dxa"/>
          <w:end w:w="120" w:type="dxa"/>
        </w:tblCellMar>
      </w:tblPr>
      <w:tblGrid>
        <w:gridCol w:w="1560"/>
        <w:gridCol w:w="1560"/>
        <w:gridCol w:w="1560"/>
        <w:gridCol w:w="1560"/>
        <w:gridCol w:w="1560"/>
        <w:gridCol w:w="1560"/>
      </w:tblGrid>
      <w:tr>
        <w:tc>
          <w:tcPr>
            <w:tcW w:type="dxa" w:w="1560"/>
            <w:vAlign w:val="center"/>
            <w:shd w:fill="F2F4F7"/>
          </w:tcPr>
          <w:p>
            <w:pPr>
              <w:spacing w:after="40"/>
            </w:pPr>
            <w:r>
              <w:rPr>
                <w:b/>
                <w:sz w:val="18"/>
              </w:rPr>
            </w:r>
            <w:r>
              <w:rPr>
                <w:b/>
                <w:sz w:val="18"/>
              </w:rPr>
              <w:t>Gap</w:t>
            </w:r>
          </w:p>
        </w:tc>
        <w:tc>
          <w:tcPr>
            <w:tcW w:type="dxa" w:w="1560"/>
            <w:vAlign w:val="center"/>
            <w:shd w:fill="F2F4F7"/>
          </w:tcPr>
          <w:p>
            <w:pPr>
              <w:spacing w:after="40"/>
            </w:pPr>
            <w:r>
              <w:rPr>
                <w:b/>
                <w:sz w:val="18"/>
              </w:rPr>
            </w:r>
            <w:r>
              <w:rPr>
                <w:b/>
                <w:sz w:val="18"/>
              </w:rPr>
              <w:t>Meaning in decoding workflow</w:t>
            </w:r>
          </w:p>
        </w:tc>
        <w:tc>
          <w:tcPr>
            <w:tcW w:type="dxa" w:w="1560"/>
            <w:vAlign w:val="center"/>
            <w:shd w:fill="F2F4F7"/>
          </w:tcPr>
          <w:p>
            <w:pPr>
              <w:spacing w:after="40"/>
            </w:pPr>
            <w:r>
              <w:rPr>
                <w:b/>
                <w:sz w:val="18"/>
              </w:rPr>
            </w:r>
            <w:r>
              <w:rPr>
                <w:b/>
                <w:sz w:val="18"/>
              </w:rPr>
              <w:t>Current QDSV/QIntent contribution</w:t>
            </w:r>
          </w:p>
        </w:tc>
        <w:tc>
          <w:tcPr>
            <w:tcW w:type="dxa" w:w="1560"/>
            <w:vAlign w:val="center"/>
            <w:shd w:fill="F2F4F7"/>
          </w:tcPr>
          <w:p>
            <w:pPr>
              <w:spacing w:after="40"/>
            </w:pPr>
            <w:r>
              <w:rPr>
                <w:b/>
                <w:sz w:val="18"/>
              </w:rPr>
            </w:r>
            <w:r>
              <w:rPr>
                <w:b/>
                <w:sz w:val="18"/>
              </w:rPr>
              <w:t>Next validation step</w:t>
            </w:r>
          </w:p>
        </w:tc>
        <w:tc>
          <w:tcPr>
            <w:tcW w:type="dxa" w:w="1560"/>
            <w:vAlign w:val="center"/>
            <w:shd w:fill="F2F4F7"/>
          </w:tcPr>
          <w:p>
            <w:pPr>
              <w:spacing w:after="40"/>
            </w:pPr>
            <w:r>
              <w:rPr>
                <w:b/>
                <w:sz w:val="18"/>
              </w:rPr>
            </w:r>
            <w:r>
              <w:rPr>
                <w:b/>
                <w:sz w:val="18"/>
              </w:rPr>
              <w:t>Current coverage</w:t>
            </w:r>
          </w:p>
        </w:tc>
        <w:tc>
          <w:tcPr>
            <w:tcW w:type="dxa" w:w="1560"/>
            <w:vAlign w:val="center"/>
            <w:shd w:fill="F2F4F7"/>
          </w:tcPr>
          <w:p>
            <w:pPr>
              <w:spacing w:after="40"/>
            </w:pPr>
            <w:r>
              <w:rPr>
                <w:b/>
                <w:sz w:val="18"/>
              </w:rPr>
            </w:r>
            <w:r>
              <w:rPr>
                <w:b/>
                <w:sz w:val="18"/>
              </w:rPr>
              <w:t>Target after next step</w:t>
            </w:r>
          </w:p>
        </w:tc>
      </w:tr>
      <w:tr>
        <w:tc>
          <w:tcPr>
            <w:tcW w:type="dxa" w:w="1560"/>
            <w:vAlign w:val="center"/>
          </w:tcPr>
          <w:p>
            <w:pPr>
              <w:spacing w:after="40"/>
            </w:pPr>
            <w:r>
              <w:rPr>
                <w:sz w:val="18"/>
              </w:rPr>
            </w:r>
            <w:r>
              <w:rPr>
                <w:sz w:val="18"/>
              </w:rPr>
              <w:t>Syndrome ambiguity</w:t>
            </w:r>
          </w:p>
        </w:tc>
        <w:tc>
          <w:tcPr>
            <w:tcW w:type="dxa" w:w="1560"/>
            <w:vAlign w:val="center"/>
          </w:tcPr>
          <w:p>
            <w:pPr>
              <w:spacing w:after="40"/>
            </w:pPr>
            <w:r>
              <w:rPr>
                <w:sz w:val="18"/>
              </w:rPr>
            </w:r>
            <w:r>
              <w:rPr>
                <w:sz w:val="18"/>
              </w:rPr>
              <w:t>Multiple correction hypotheses can satisfy the same syndrome.</w:t>
            </w:r>
          </w:p>
        </w:tc>
        <w:tc>
          <w:tcPr>
            <w:tcW w:type="dxa" w:w="1560"/>
            <w:vAlign w:val="center"/>
          </w:tcPr>
          <w:p>
            <w:pPr>
              <w:spacing w:after="40"/>
            </w:pPr>
            <w:r>
              <w:rPr>
                <w:sz w:val="18"/>
              </w:rPr>
            </w:r>
            <w:r>
              <w:rPr>
                <w:sz w:val="18"/>
              </w:rPr>
              <w:t>Represents candidates as decision states and evaluates syndrome, decoder and logical-safety evidence together.</w:t>
            </w:r>
          </w:p>
        </w:tc>
        <w:tc>
          <w:tcPr>
            <w:tcW w:type="dxa" w:w="1560"/>
            <w:vAlign w:val="center"/>
          </w:tcPr>
          <w:p>
            <w:pPr>
              <w:spacing w:after="40"/>
            </w:pPr>
            <w:r>
              <w:rPr>
                <w:sz w:val="18"/>
              </w:rPr>
            </w:r>
            <w:r>
              <w:rPr>
                <w:sz w:val="18"/>
              </w:rPr>
              <w:t>Add hardware-derived syndrome-count evidence and compare Aer vs IBM observed syndromes.</w:t>
            </w:r>
          </w:p>
        </w:tc>
        <w:tc>
          <w:tcPr>
            <w:tcW w:type="dxa" w:w="1560"/>
            <w:vAlign w:val="center"/>
          </w:tcPr>
          <w:p>
            <w:pPr>
              <w:spacing w:after="40"/>
            </w:pPr>
            <w:r>
              <w:rPr>
                <w:sz w:val="18"/>
              </w:rPr>
            </w:r>
            <w:r>
              <w:rPr>
                <w:sz w:val="18"/>
              </w:rPr>
              <w:t>~60%</w:t>
            </w:r>
          </w:p>
        </w:tc>
        <w:tc>
          <w:tcPr>
            <w:tcW w:type="dxa" w:w="1560"/>
            <w:vAlign w:val="center"/>
          </w:tcPr>
          <w:p>
            <w:pPr>
              <w:spacing w:after="40"/>
            </w:pPr>
            <w:r>
              <w:rPr>
                <w:sz w:val="18"/>
              </w:rPr>
            </w:r>
            <w:r>
              <w:rPr>
                <w:sz w:val="18"/>
              </w:rPr>
              <w:t>~70%</w:t>
            </w:r>
          </w:p>
        </w:tc>
      </w:tr>
      <w:tr>
        <w:tc>
          <w:tcPr>
            <w:tcW w:type="dxa" w:w="1560"/>
            <w:vAlign w:val="center"/>
          </w:tcPr>
          <w:p>
            <w:pPr>
              <w:spacing w:after="40"/>
            </w:pPr>
            <w:r>
              <w:rPr>
                <w:sz w:val="18"/>
              </w:rPr>
            </w:r>
            <w:r>
              <w:rPr>
                <w:sz w:val="18"/>
              </w:rPr>
              <w:t>Candidate selection under competing criteria</w:t>
            </w:r>
          </w:p>
        </w:tc>
        <w:tc>
          <w:tcPr>
            <w:tcW w:type="dxa" w:w="1560"/>
            <w:vAlign w:val="center"/>
          </w:tcPr>
          <w:p>
            <w:pPr>
              <w:spacing w:after="40"/>
            </w:pPr>
            <w:r>
              <w:rPr>
                <w:sz w:val="18"/>
              </w:rPr>
            </w:r>
            <w:r>
              <w:rPr>
                <w:sz w:val="18"/>
              </w:rPr>
              <w:t>The highest-confidence or minimum-weight correction may not be the safest correction.</w:t>
            </w:r>
          </w:p>
        </w:tc>
        <w:tc>
          <w:tcPr>
            <w:tcW w:type="dxa" w:w="1560"/>
            <w:vAlign w:val="center"/>
          </w:tcPr>
          <w:p>
            <w:pPr>
              <w:spacing w:after="40"/>
            </w:pPr>
            <w:r>
              <w:rPr>
                <w:sz w:val="18"/>
              </w:rPr>
            </w:r>
            <w:r>
              <w:rPr>
                <w:sz w:val="18"/>
              </w:rPr>
              <w:t>Compares baseline, raw QDSV and guarded QDSV using structured evidence, confidence, risk and safety signals.</w:t>
            </w:r>
          </w:p>
        </w:tc>
        <w:tc>
          <w:tcPr>
            <w:tcW w:type="dxa" w:w="1560"/>
            <w:vAlign w:val="center"/>
          </w:tcPr>
          <w:p>
            <w:pPr>
              <w:spacing w:after="40"/>
            </w:pPr>
            <w:r>
              <w:rPr>
                <w:sz w:val="18"/>
              </w:rPr>
            </w:r>
            <w:r>
              <w:rPr>
                <w:sz w:val="18"/>
              </w:rPr>
              <w:t>Add oracle-best and policy-ablation baselines.</w:t>
            </w:r>
          </w:p>
        </w:tc>
        <w:tc>
          <w:tcPr>
            <w:tcW w:type="dxa" w:w="1560"/>
            <w:vAlign w:val="center"/>
          </w:tcPr>
          <w:p>
            <w:pPr>
              <w:spacing w:after="40"/>
            </w:pPr>
            <w:r>
              <w:rPr>
                <w:sz w:val="18"/>
              </w:rPr>
            </w:r>
            <w:r>
              <w:rPr>
                <w:sz w:val="18"/>
              </w:rPr>
              <w:t>~78%</w:t>
            </w:r>
          </w:p>
        </w:tc>
        <w:tc>
          <w:tcPr>
            <w:tcW w:type="dxa" w:w="1560"/>
            <w:vAlign w:val="center"/>
          </w:tcPr>
          <w:p>
            <w:pPr>
              <w:spacing w:after="40"/>
            </w:pPr>
            <w:r>
              <w:rPr>
                <w:sz w:val="18"/>
              </w:rPr>
            </w:r>
            <w:r>
              <w:rPr>
                <w:sz w:val="18"/>
              </w:rPr>
              <w:t>~85%</w:t>
            </w:r>
          </w:p>
        </w:tc>
      </w:tr>
      <w:tr>
        <w:tc>
          <w:tcPr>
            <w:tcW w:type="dxa" w:w="1560"/>
            <w:vAlign w:val="center"/>
          </w:tcPr>
          <w:p>
            <w:pPr>
              <w:spacing w:after="40"/>
            </w:pPr>
            <w:r>
              <w:rPr>
                <w:sz w:val="18"/>
              </w:rPr>
            </w:r>
            <w:r>
              <w:rPr>
                <w:sz w:val="18"/>
              </w:rPr>
              <w:t>Risk-aware correction choice</w:t>
            </w:r>
          </w:p>
        </w:tc>
        <w:tc>
          <w:tcPr>
            <w:tcW w:type="dxa" w:w="1560"/>
            <w:vAlign w:val="center"/>
          </w:tcPr>
          <w:p>
            <w:pPr>
              <w:spacing w:after="40"/>
            </w:pPr>
            <w:r>
              <w:rPr>
                <w:sz w:val="18"/>
              </w:rPr>
            </w:r>
            <w:r>
              <w:rPr>
                <w:sz w:val="18"/>
              </w:rPr>
              <w:t>A locally plausible correction can be structurally risky or logical-sensitive.</w:t>
            </w:r>
          </w:p>
        </w:tc>
        <w:tc>
          <w:tcPr>
            <w:tcW w:type="dxa" w:w="1560"/>
            <w:vAlign w:val="center"/>
          </w:tcPr>
          <w:p>
            <w:pPr>
              <w:spacing w:after="40"/>
            </w:pPr>
            <w:r>
              <w:rPr>
                <w:sz w:val="18"/>
              </w:rPr>
            </w:r>
            <w:r>
              <w:rPr>
                <w:sz w:val="18"/>
              </w:rPr>
              <w:t>Adds logical-risk, propagation-safety, distance-safety and logical-preservation proxies; guarded QDSV prevents unsafe overrides.</w:t>
            </w:r>
          </w:p>
        </w:tc>
        <w:tc>
          <w:tcPr>
            <w:tcW w:type="dxa" w:w="1560"/>
            <w:vAlign w:val="center"/>
          </w:tcPr>
          <w:p>
            <w:pPr>
              <w:spacing w:after="40"/>
            </w:pPr>
            <w:r>
              <w:rPr>
                <w:sz w:val="18"/>
              </w:rPr>
            </w:r>
            <w:r>
              <w:rPr>
                <w:sz w:val="18"/>
              </w:rPr>
              <w:t>Replace part of the proxy logic with explicit logical-observable or stabilizer-derived sensitivity features.</w:t>
            </w:r>
          </w:p>
        </w:tc>
        <w:tc>
          <w:tcPr>
            <w:tcW w:type="dxa" w:w="1560"/>
            <w:vAlign w:val="center"/>
          </w:tcPr>
          <w:p>
            <w:pPr>
              <w:spacing w:after="40"/>
            </w:pPr>
            <w:r>
              <w:rPr>
                <w:sz w:val="18"/>
              </w:rPr>
            </w:r>
            <w:r>
              <w:rPr>
                <w:sz w:val="18"/>
              </w:rPr>
              <w:t>~72%</w:t>
            </w:r>
          </w:p>
        </w:tc>
        <w:tc>
          <w:tcPr>
            <w:tcW w:type="dxa" w:w="1560"/>
            <w:vAlign w:val="center"/>
          </w:tcPr>
          <w:p>
            <w:pPr>
              <w:spacing w:after="40"/>
            </w:pPr>
            <w:r>
              <w:rPr>
                <w:sz w:val="18"/>
              </w:rPr>
            </w:r>
            <w:r>
              <w:rPr>
                <w:sz w:val="18"/>
              </w:rPr>
              <w:t>~80%</w:t>
            </w:r>
          </w:p>
        </w:tc>
      </w:tr>
      <w:tr>
        <w:tc>
          <w:tcPr>
            <w:tcW w:type="dxa" w:w="1560"/>
            <w:vAlign w:val="center"/>
          </w:tcPr>
          <w:p>
            <w:pPr>
              <w:spacing w:after="40"/>
            </w:pPr>
            <w:r>
              <w:rPr>
                <w:sz w:val="18"/>
              </w:rPr>
            </w:r>
            <w:r>
              <w:rPr>
                <w:sz w:val="18"/>
              </w:rPr>
              <w:t>Decoder disagreement</w:t>
            </w:r>
          </w:p>
        </w:tc>
        <w:tc>
          <w:tcPr>
            <w:tcW w:type="dxa" w:w="1560"/>
            <w:vAlign w:val="center"/>
          </w:tcPr>
          <w:p>
            <w:pPr>
              <w:spacing w:after="40"/>
            </w:pPr>
            <w:r>
              <w:rPr>
                <w:sz w:val="18"/>
              </w:rPr>
            </w:r>
            <w:r>
              <w:rPr>
                <w:sz w:val="18"/>
              </w:rPr>
              <w:t>BP, BP+OSD, BP+LSD or alternative methods may produce different corrections.</w:t>
            </w:r>
          </w:p>
        </w:tc>
        <w:tc>
          <w:tcPr>
            <w:tcW w:type="dxa" w:w="1560"/>
            <w:vAlign w:val="center"/>
          </w:tcPr>
          <w:p>
            <w:pPr>
              <w:spacing w:after="40"/>
            </w:pPr>
            <w:r>
              <w:rPr>
                <w:sz w:val="18"/>
              </w:rPr>
            </w:r>
            <w:r>
              <w:rPr>
                <w:sz w:val="18"/>
              </w:rPr>
              <w:t>Treats decoder outputs as an ensemble and selects across them using method reliability, risk and guarded override evidence.</w:t>
            </w:r>
          </w:p>
        </w:tc>
        <w:tc>
          <w:tcPr>
            <w:tcW w:type="dxa" w:w="1560"/>
            <w:vAlign w:val="center"/>
          </w:tcPr>
          <w:p>
            <w:pPr>
              <w:spacing w:after="40"/>
            </w:pPr>
            <w:r>
              <w:rPr>
                <w:sz w:val="18"/>
              </w:rPr>
            </w:r>
            <w:r>
              <w:rPr>
                <w:sz w:val="18"/>
              </w:rPr>
              <w:t>Compare against BP+OSD-preferred, BP+LSD-preferred and oracle-best ensemble baselines.</w:t>
            </w:r>
          </w:p>
        </w:tc>
        <w:tc>
          <w:tcPr>
            <w:tcW w:type="dxa" w:w="1560"/>
            <w:vAlign w:val="center"/>
          </w:tcPr>
          <w:p>
            <w:pPr>
              <w:spacing w:after="40"/>
            </w:pPr>
            <w:r>
              <w:rPr>
                <w:sz w:val="18"/>
              </w:rPr>
            </w:r>
            <w:r>
              <w:rPr>
                <w:sz w:val="18"/>
              </w:rPr>
              <w:t>~65%</w:t>
            </w:r>
          </w:p>
        </w:tc>
        <w:tc>
          <w:tcPr>
            <w:tcW w:type="dxa" w:w="1560"/>
            <w:vAlign w:val="center"/>
          </w:tcPr>
          <w:p>
            <w:pPr>
              <w:spacing w:after="40"/>
            </w:pPr>
            <w:r>
              <w:rPr>
                <w:sz w:val="18"/>
              </w:rPr>
            </w:r>
            <w:r>
              <w:rPr>
                <w:sz w:val="18"/>
              </w:rPr>
              <w:t>~78%</w:t>
            </w:r>
          </w:p>
        </w:tc>
      </w:tr>
      <w:tr>
        <w:tc>
          <w:tcPr>
            <w:tcW w:type="dxa" w:w="1560"/>
            <w:vAlign w:val="center"/>
          </w:tcPr>
          <w:p>
            <w:pPr>
              <w:spacing w:after="40"/>
            </w:pPr>
            <w:r>
              <w:rPr>
                <w:sz w:val="18"/>
              </w:rPr>
            </w:r>
            <w:r>
              <w:rPr>
                <w:sz w:val="18"/>
              </w:rPr>
              <w:t>Auditability and reproducibility</w:t>
            </w:r>
          </w:p>
        </w:tc>
        <w:tc>
          <w:tcPr>
            <w:tcW w:type="dxa" w:w="1560"/>
            <w:vAlign w:val="center"/>
          </w:tcPr>
          <w:p>
            <w:pPr>
              <w:spacing w:after="40"/>
            </w:pPr>
            <w:r>
              <w:rPr>
                <w:sz w:val="18"/>
              </w:rPr>
            </w:r>
            <w:r>
              <w:rPr>
                <w:sz w:val="18"/>
              </w:rPr>
              <w:t>Decoder decisions often lack a structured, human-readable decision trace.</w:t>
            </w:r>
          </w:p>
        </w:tc>
        <w:tc>
          <w:tcPr>
            <w:tcW w:type="dxa" w:w="1560"/>
            <w:vAlign w:val="center"/>
          </w:tcPr>
          <w:p>
            <w:pPr>
              <w:spacing w:after="40"/>
            </w:pPr>
            <w:r>
              <w:rPr>
                <w:sz w:val="18"/>
              </w:rPr>
            </w:r>
            <w:r>
              <w:rPr>
                <w:sz w:val="18"/>
              </w:rPr>
              <w:t>Produces public block-level evidence, reproducible JSON/CSV traces and IBM job/backend metadata.</w:t>
            </w:r>
          </w:p>
        </w:tc>
        <w:tc>
          <w:tcPr>
            <w:tcW w:type="dxa" w:w="1560"/>
            <w:vAlign w:val="center"/>
          </w:tcPr>
          <w:p>
            <w:pPr>
              <w:spacing w:after="40"/>
            </w:pPr>
            <w:r>
              <w:rPr>
                <w:sz w:val="18"/>
              </w:rPr>
            </w:r>
            <w:r>
              <w:rPr>
                <w:sz w:val="18"/>
              </w:rPr>
              <w:t>Add repeated hardware runs and cross-backend comparison.</w:t>
            </w:r>
          </w:p>
        </w:tc>
        <w:tc>
          <w:tcPr>
            <w:tcW w:type="dxa" w:w="1560"/>
            <w:vAlign w:val="center"/>
          </w:tcPr>
          <w:p>
            <w:pPr>
              <w:spacing w:after="40"/>
            </w:pPr>
            <w:r>
              <w:rPr>
                <w:sz w:val="18"/>
              </w:rPr>
            </w:r>
            <w:r>
              <w:rPr>
                <w:sz w:val="18"/>
              </w:rPr>
              <w:t>~86%</w:t>
            </w:r>
          </w:p>
        </w:tc>
        <w:tc>
          <w:tcPr>
            <w:tcW w:type="dxa" w:w="1560"/>
            <w:vAlign w:val="center"/>
          </w:tcPr>
          <w:p>
            <w:pPr>
              <w:spacing w:after="40"/>
            </w:pPr>
            <w:r>
              <w:rPr>
                <w:sz w:val="18"/>
              </w:rPr>
            </w:r>
            <w:r>
              <w:rPr>
                <w:sz w:val="18"/>
              </w:rPr>
              <w:t>~90%</w:t>
            </w:r>
          </w:p>
        </w:tc>
      </w:tr>
      <w:tr>
        <w:tc>
          <w:tcPr>
            <w:tcW w:type="dxa" w:w="1560"/>
            <w:vAlign w:val="center"/>
          </w:tcPr>
          <w:p>
            <w:pPr>
              <w:spacing w:after="40"/>
            </w:pPr>
            <w:r>
              <w:rPr>
                <w:sz w:val="18"/>
              </w:rPr>
            </w:r>
            <w:r>
              <w:rPr>
                <w:sz w:val="18"/>
              </w:rPr>
              <w:t>Evidence insufficiency detection</w:t>
            </w:r>
          </w:p>
        </w:tc>
        <w:tc>
          <w:tcPr>
            <w:tcW w:type="dxa" w:w="1560"/>
            <w:vAlign w:val="center"/>
          </w:tcPr>
          <w:p>
            <w:pPr>
              <w:spacing w:after="40"/>
            </w:pPr>
            <w:r>
              <w:rPr>
                <w:sz w:val="18"/>
              </w:rPr>
            </w:r>
            <w:r>
              <w:rPr>
                <w:sz w:val="18"/>
              </w:rPr>
              <w:t>Some cases cannot be resolved with the available signals.</w:t>
            </w:r>
          </w:p>
        </w:tc>
        <w:tc>
          <w:tcPr>
            <w:tcW w:type="dxa" w:w="1560"/>
            <w:vAlign w:val="center"/>
          </w:tcPr>
          <w:p>
            <w:pPr>
              <w:spacing w:after="40"/>
            </w:pPr>
            <w:r>
              <w:rPr>
                <w:sz w:val="18"/>
              </w:rPr>
            </w:r>
            <w:r>
              <w:rPr>
                <w:sz w:val="18"/>
              </w:rPr>
              <w:t>Ambiguity audit now includes low-margin, decoder-disagreement, evidence-insufficient flags, IBM syndrome-count dispersion and guarded rejection reasons.</w:t>
            </w:r>
          </w:p>
        </w:tc>
        <w:tc>
          <w:tcPr>
            <w:tcW w:type="dxa" w:w="1560"/>
            <w:vAlign w:val="center"/>
          </w:tcPr>
          <w:p>
            <w:pPr>
              <w:spacing w:after="40"/>
            </w:pPr>
            <w:r>
              <w:rPr>
                <w:sz w:val="18"/>
              </w:rPr>
            </w:r>
            <w:r>
              <w:rPr>
                <w:sz w:val="18"/>
              </w:rPr>
              <w:t>Add repeated hardware runs and uncertainty calibration.</w:t>
            </w:r>
          </w:p>
        </w:tc>
        <w:tc>
          <w:tcPr>
            <w:tcW w:type="dxa" w:w="1560"/>
            <w:vAlign w:val="center"/>
          </w:tcPr>
          <w:p>
            <w:pPr>
              <w:spacing w:after="40"/>
            </w:pPr>
            <w:r>
              <w:rPr>
                <w:sz w:val="18"/>
              </w:rPr>
            </w:r>
            <w:r>
              <w:rPr>
                <w:sz w:val="18"/>
              </w:rPr>
              <w:t>~70%</w:t>
            </w:r>
          </w:p>
        </w:tc>
        <w:tc>
          <w:tcPr>
            <w:tcW w:type="dxa" w:w="1560"/>
            <w:vAlign w:val="center"/>
          </w:tcPr>
          <w:p>
            <w:pPr>
              <w:spacing w:after="40"/>
            </w:pPr>
            <w:r>
              <w:rPr>
                <w:sz w:val="18"/>
              </w:rPr>
            </w:r>
            <w:r>
              <w:rPr>
                <w:sz w:val="18"/>
              </w:rPr>
              <w:t>~78%</w:t>
            </w:r>
          </w:p>
        </w:tc>
      </w:tr>
      <w:tr>
        <w:tc>
          <w:tcPr>
            <w:tcW w:type="dxa" w:w="1560"/>
            <w:vAlign w:val="center"/>
          </w:tcPr>
          <w:p>
            <w:pPr>
              <w:spacing w:after="40"/>
            </w:pPr>
            <w:r>
              <w:rPr>
                <w:sz w:val="18"/>
              </w:rPr>
            </w:r>
            <w:r>
              <w:rPr>
                <w:sz w:val="18"/>
              </w:rPr>
              <w:t>Real-time latency</w:t>
            </w:r>
          </w:p>
        </w:tc>
        <w:tc>
          <w:tcPr>
            <w:tcW w:type="dxa" w:w="1560"/>
            <w:vAlign w:val="center"/>
          </w:tcPr>
          <w:p>
            <w:pPr>
              <w:spacing w:after="40"/>
            </w:pPr>
            <w:r>
              <w:rPr>
                <w:sz w:val="18"/>
              </w:rPr>
            </w:r>
            <w:r>
              <w:rPr>
                <w:sz w:val="18"/>
              </w:rPr>
              <w:t>Decoding must eventually run under strict timing constraints.</w:t>
            </w:r>
          </w:p>
        </w:tc>
        <w:tc>
          <w:tcPr>
            <w:tcW w:type="dxa" w:w="1560"/>
            <w:vAlign w:val="center"/>
          </w:tcPr>
          <w:p>
            <w:pPr>
              <w:spacing w:after="40"/>
            </w:pPr>
            <w:r>
              <w:rPr>
                <w:sz w:val="18"/>
              </w:rPr>
            </w:r>
            <w:r>
              <w:rPr>
                <w:sz w:val="18"/>
              </w:rPr>
              <w:t>Offline timing instrumentation now reports decode, candidate generation, QDSV scoring and total policy time.</w:t>
            </w:r>
          </w:p>
        </w:tc>
        <w:tc>
          <w:tcPr>
            <w:tcW w:type="dxa" w:w="1560"/>
            <w:vAlign w:val="center"/>
          </w:tcPr>
          <w:p>
            <w:pPr>
              <w:spacing w:after="40"/>
            </w:pPr>
            <w:r>
              <w:rPr>
                <w:sz w:val="18"/>
              </w:rPr>
            </w:r>
            <w:r>
              <w:rPr>
                <w:sz w:val="18"/>
              </w:rPr>
              <w:t>Compare local timing against Colab/IBM-derived workflow timings and identify real-time-compatible substeps.</w:t>
            </w:r>
          </w:p>
        </w:tc>
        <w:tc>
          <w:tcPr>
            <w:tcW w:type="dxa" w:w="1560"/>
            <w:vAlign w:val="center"/>
          </w:tcPr>
          <w:p>
            <w:pPr>
              <w:spacing w:after="40"/>
            </w:pPr>
            <w:r>
              <w:rPr>
                <w:sz w:val="18"/>
              </w:rPr>
            </w:r>
            <w:r>
              <w:rPr>
                <w:sz w:val="18"/>
              </w:rPr>
              <w:t>~25%</w:t>
            </w:r>
          </w:p>
        </w:tc>
        <w:tc>
          <w:tcPr>
            <w:tcW w:type="dxa" w:w="1560"/>
            <w:vAlign w:val="center"/>
          </w:tcPr>
          <w:p>
            <w:pPr>
              <w:spacing w:after="40"/>
            </w:pPr>
            <w:r>
              <w:rPr>
                <w:sz w:val="18"/>
              </w:rPr>
            </w:r>
            <w:r>
              <w:rPr>
                <w:sz w:val="18"/>
              </w:rPr>
              <w:t>~35%</w:t>
            </w:r>
          </w:p>
        </w:tc>
      </w:tr>
      <w:tr>
        <w:tc>
          <w:tcPr>
            <w:tcW w:type="dxa" w:w="1560"/>
            <w:vAlign w:val="center"/>
          </w:tcPr>
          <w:p>
            <w:pPr>
              <w:spacing w:after="40"/>
            </w:pPr>
            <w:r>
              <w:rPr>
                <w:sz w:val="18"/>
              </w:rPr>
            </w:r>
            <w:r>
              <w:rPr>
                <w:sz w:val="18"/>
              </w:rPr>
              <w:t>Full logical-operator preservation</w:t>
            </w:r>
          </w:p>
        </w:tc>
        <w:tc>
          <w:tcPr>
            <w:tcW w:type="dxa" w:w="1560"/>
            <w:vAlign w:val="center"/>
          </w:tcPr>
          <w:p>
            <w:pPr>
              <w:spacing w:after="40"/>
            </w:pPr>
            <w:r>
              <w:rPr>
                <w:sz w:val="18"/>
              </w:rPr>
            </w:r>
            <w:r>
              <w:rPr>
                <w:sz w:val="18"/>
              </w:rPr>
              <w:t>A real qLDPC system requires formal logical operator analysis, not proxies.</w:t>
            </w:r>
          </w:p>
        </w:tc>
        <w:tc>
          <w:tcPr>
            <w:tcW w:type="dxa" w:w="1560"/>
            <w:vAlign w:val="center"/>
          </w:tcPr>
          <w:p>
            <w:pPr>
              <w:spacing w:after="40"/>
            </w:pPr>
            <w:r>
              <w:rPr>
                <w:sz w:val="18"/>
              </w:rPr>
            </w:r>
            <w:r>
              <w:rPr>
                <w:sz w:val="18"/>
              </w:rPr>
              <w:t xml:space="preserve">Adds two known stabilizer-code validations, 5-qubit and Steane CSS, using residual classification </w:t>
            </w:r>
            <w:r>
              <w:rPr>
                <w:rFonts w:ascii="Consolas" w:hAnsi="Consolas"/>
                <w:sz w:val="18"/>
              </w:rPr>
              <w:t>R = C E</w:t>
            </w:r>
            <w:r>
              <w:rPr>
                <w:sz w:val="18"/>
              </w:rPr>
              <w:t xml:space="preserve">, with </w:t>
            </w:r>
            <w:r>
              <w:rPr>
                <w:rFonts w:ascii="Consolas" w:hAnsi="Consolas"/>
                <w:sz w:val="18"/>
              </w:rPr>
              <w:t>R in S</w:t>
            </w:r>
            <w:r>
              <w:rPr>
                <w:sz w:val="18"/>
              </w:rPr>
              <w:t xml:space="preserve"> as logical success and </w:t>
            </w:r>
            <w:r>
              <w:rPr>
                <w:rFonts w:ascii="Consolas" w:hAnsi="Consolas"/>
                <w:sz w:val="18"/>
              </w:rPr>
              <w:t>R in N(S) \ S</w:t>
            </w:r>
            <w:r>
              <w:rPr>
                <w:sz w:val="18"/>
              </w:rPr>
              <w:t xml:space="preserve"> as logical failure.</w:t>
            </w:r>
          </w:p>
        </w:tc>
        <w:tc>
          <w:tcPr>
            <w:tcW w:type="dxa" w:w="1560"/>
            <w:vAlign w:val="center"/>
          </w:tcPr>
          <w:p>
            <w:pPr>
              <w:spacing w:after="40"/>
            </w:pPr>
            <w:r>
              <w:rPr>
                <w:sz w:val="18"/>
              </w:rPr>
            </w:r>
            <w:r>
              <w:rPr>
                <w:sz w:val="18"/>
              </w:rPr>
              <w:t>Extend from correctable single-error cases to larger stabilizer/CSS examples and production qLDPC-style codes.</w:t>
            </w:r>
          </w:p>
        </w:tc>
        <w:tc>
          <w:tcPr>
            <w:tcW w:type="dxa" w:w="1560"/>
            <w:vAlign w:val="center"/>
          </w:tcPr>
          <w:p>
            <w:pPr>
              <w:spacing w:after="40"/>
            </w:pPr>
            <w:r>
              <w:rPr>
                <w:sz w:val="18"/>
              </w:rPr>
            </w:r>
            <w:r>
              <w:rPr>
                <w:sz w:val="18"/>
              </w:rPr>
              <w:t>~65%</w:t>
            </w:r>
          </w:p>
        </w:tc>
        <w:tc>
          <w:tcPr>
            <w:tcW w:type="dxa" w:w="1560"/>
            <w:vAlign w:val="center"/>
          </w:tcPr>
          <w:p>
            <w:pPr>
              <w:spacing w:after="40"/>
            </w:pPr>
            <w:r>
              <w:rPr>
                <w:sz w:val="18"/>
              </w:rPr>
            </w:r>
            <w:r>
              <w:rPr>
                <w:sz w:val="18"/>
              </w:rPr>
              <w:t>~78%</w:t>
            </w:r>
          </w:p>
        </w:tc>
      </w:tr>
      <w:tr>
        <w:tc>
          <w:tcPr>
            <w:tcW w:type="dxa" w:w="1560"/>
            <w:vAlign w:val="center"/>
          </w:tcPr>
          <w:p>
            <w:pPr>
              <w:spacing w:after="40"/>
            </w:pPr>
            <w:r>
              <w:rPr>
                <w:sz w:val="18"/>
              </w:rPr>
            </w:r>
            <w:r>
              <w:rPr>
                <w:sz w:val="18"/>
              </w:rPr>
              <w:t>Hardware noise and measurement faults</w:t>
            </w:r>
          </w:p>
        </w:tc>
        <w:tc>
          <w:tcPr>
            <w:tcW w:type="dxa" w:w="1560"/>
            <w:vAlign w:val="center"/>
          </w:tcPr>
          <w:p>
            <w:pPr>
              <w:spacing w:after="40"/>
            </w:pPr>
            <w:r>
              <w:rPr>
                <w:sz w:val="18"/>
              </w:rPr>
            </w:r>
            <w:r>
              <w:rPr>
                <w:sz w:val="18"/>
              </w:rPr>
              <w:t>Real devices include correlated noise, readout errors and time dynamics.</w:t>
            </w:r>
          </w:p>
        </w:tc>
        <w:tc>
          <w:tcPr>
            <w:tcW w:type="dxa" w:w="1560"/>
            <w:vAlign w:val="center"/>
          </w:tcPr>
          <w:p>
            <w:pPr>
              <w:spacing w:after="40"/>
            </w:pPr>
            <w:r>
              <w:rPr>
                <w:sz w:val="18"/>
              </w:rPr>
            </w:r>
            <w:r>
              <w:rPr>
                <w:sz w:val="18"/>
              </w:rPr>
              <w:t xml:space="preserve">Preliminary IBM </w:t>
            </w:r>
            <w:r>
              <w:rPr>
                <w:rFonts w:ascii="Consolas" w:hAnsi="Consolas"/>
                <w:sz w:val="18"/>
              </w:rPr>
              <w:t>ibm_fez</w:t>
            </w:r>
            <w:r>
              <w:rPr>
                <w:sz w:val="18"/>
              </w:rPr>
              <w:t xml:space="preserve"> syndrome-count evidence is archived for four small syndrome scenarios.</w:t>
            </w:r>
          </w:p>
        </w:tc>
        <w:tc>
          <w:tcPr>
            <w:tcW w:type="dxa" w:w="1560"/>
            <w:vAlign w:val="center"/>
          </w:tcPr>
          <w:p>
            <w:pPr>
              <w:spacing w:after="40"/>
            </w:pPr>
            <w:r>
              <w:rPr>
                <w:sz w:val="18"/>
              </w:rPr>
            </w:r>
            <w:r>
              <w:rPr>
                <w:sz w:val="18"/>
              </w:rPr>
              <w:t>Repeat on additional backends and add noisy repeated runs.</w:t>
            </w:r>
          </w:p>
        </w:tc>
        <w:tc>
          <w:tcPr>
            <w:tcW w:type="dxa" w:w="1560"/>
            <w:vAlign w:val="center"/>
          </w:tcPr>
          <w:p>
            <w:pPr>
              <w:spacing w:after="40"/>
            </w:pPr>
            <w:r>
              <w:rPr>
                <w:sz w:val="18"/>
              </w:rPr>
            </w:r>
            <w:r>
              <w:rPr>
                <w:sz w:val="18"/>
              </w:rPr>
              <w:t>~40%</w:t>
            </w:r>
          </w:p>
        </w:tc>
        <w:tc>
          <w:tcPr>
            <w:tcW w:type="dxa" w:w="1560"/>
            <w:vAlign w:val="center"/>
          </w:tcPr>
          <w:p>
            <w:pPr>
              <w:spacing w:after="40"/>
            </w:pPr>
            <w:r>
              <w:rPr>
                <w:sz w:val="18"/>
              </w:rPr>
            </w:r>
            <w:r>
              <w:rPr>
                <w:sz w:val="18"/>
              </w:rPr>
              <w:t>~55%</w:t>
            </w:r>
          </w:p>
        </w:tc>
      </w:tr>
      <w:tr>
        <w:tc>
          <w:tcPr>
            <w:tcW w:type="dxa" w:w="1560"/>
            <w:vAlign w:val="center"/>
          </w:tcPr>
          <w:p>
            <w:pPr>
              <w:spacing w:after="40"/>
            </w:pPr>
            <w:r>
              <w:rPr>
                <w:sz w:val="18"/>
              </w:rPr>
            </w:r>
            <w:r>
              <w:rPr>
                <w:sz w:val="18"/>
              </w:rPr>
              <w:t>Production qLDPC code families</w:t>
            </w:r>
          </w:p>
        </w:tc>
        <w:tc>
          <w:tcPr>
            <w:tcW w:type="dxa" w:w="1560"/>
            <w:vAlign w:val="center"/>
          </w:tcPr>
          <w:p>
            <w:pPr>
              <w:spacing w:after="40"/>
            </w:pPr>
            <w:r>
              <w:rPr>
                <w:sz w:val="18"/>
              </w:rPr>
            </w:r>
            <w:r>
              <w:rPr>
                <w:sz w:val="18"/>
              </w:rPr>
              <w:t>Results should be tested on known production-relevant qLDPC constructions.</w:t>
            </w:r>
          </w:p>
        </w:tc>
        <w:tc>
          <w:tcPr>
            <w:tcW w:type="dxa" w:w="1560"/>
            <w:vAlign w:val="center"/>
          </w:tcPr>
          <w:p>
            <w:pPr>
              <w:spacing w:after="40"/>
            </w:pPr>
            <w:r>
              <w:rPr>
                <w:sz w:val="18"/>
              </w:rPr>
            </w:r>
            <w:r>
              <w:rPr>
                <w:sz w:val="18"/>
              </w:rPr>
              <w:t>Adds named 5-qubit and Steane CSS stabilizer-code benchmarks with explicit stabilizer generators, normalizer and residual classification; qLDPC-scale families remain future work.</w:t>
            </w:r>
          </w:p>
        </w:tc>
        <w:tc>
          <w:tcPr>
            <w:tcW w:type="dxa" w:w="1560"/>
            <w:vAlign w:val="center"/>
          </w:tcPr>
          <w:p>
            <w:pPr>
              <w:spacing w:after="40"/>
            </w:pPr>
            <w:r>
              <w:rPr>
                <w:sz w:val="18"/>
              </w:rPr>
            </w:r>
            <w:r>
              <w:rPr>
                <w:sz w:val="18"/>
              </w:rPr>
              <w:t>Add surface-code and production qLDPC-style benchmarks.</w:t>
            </w:r>
          </w:p>
        </w:tc>
        <w:tc>
          <w:tcPr>
            <w:tcW w:type="dxa" w:w="1560"/>
            <w:vAlign w:val="center"/>
          </w:tcPr>
          <w:p>
            <w:pPr>
              <w:spacing w:after="40"/>
            </w:pPr>
            <w:r>
              <w:rPr>
                <w:sz w:val="18"/>
              </w:rPr>
            </w:r>
            <w:r>
              <w:rPr>
                <w:sz w:val="18"/>
              </w:rPr>
              <w:t>~58%</w:t>
            </w:r>
          </w:p>
        </w:tc>
        <w:tc>
          <w:tcPr>
            <w:tcW w:type="dxa" w:w="1560"/>
            <w:vAlign w:val="center"/>
          </w:tcPr>
          <w:p>
            <w:pPr>
              <w:spacing w:after="40"/>
            </w:pPr>
            <w:r>
              <w:rPr>
                <w:sz w:val="18"/>
              </w:rPr>
            </w:r>
            <w:r>
              <w:rPr>
                <w:sz w:val="18"/>
              </w:rPr>
              <w:t>~70%</w:t>
            </w:r>
          </w:p>
        </w:tc>
      </w:tr>
    </w:tbl>
    <w:p/>
    <w:p>
      <w:r>
        <w:t xml:space="preserve">Overall estimated coverage of the current work: approximately 72-80% of the broader qLDPC decoding workflow gap after the external </w:t>
      </w:r>
      <w:r>
        <w:rPr>
          <w:rFonts w:ascii="Consolas" w:hAnsi="Consolas"/>
          <w:sz w:val="20"/>
        </w:rPr>
        <w:t>ldpc</w:t>
      </w:r>
      <w:r>
        <w:t xml:space="preserve"> ensemble benchmark, uncertainty instrumentation, timing instrumentation, guarded policy evaluation, preliminary IBM hardware-oriented syndrome validation and two known stabilizer-code logical validations.</w:t>
      </w:r>
    </w:p>
    <w:p>
      <w:r>
        <w:t>Coverage of the post-decoding decision subproblem: approximately 78-85%.</w:t>
      </w:r>
    </w:p>
    <w:p>
      <w:r>
        <w:t>The remaining gaps are no longer addressed by adding more synthetic benchmarks. They require a different validation tier: larger known code families, repeated hardware-derived syndrome evidence, latency-aware implementation and production qLDPC-scale comparisons.</w:t>
      </w:r>
    </w:p>
    <w:p>
      <w:pPr>
        <w:pStyle w:val="Heading1"/>
      </w:pPr>
      <w:r>
        <w:t>4. QDSV/QIntent Post-Decoding Model</w:t>
      </w:r>
    </w:p>
    <w:p>
      <w:r>
        <w:t>The proposed workflow is:</w:t>
      </w:r>
    </w:p>
    <w:p>
      <w:pPr>
        <w:pStyle w:val="QDSVCode"/>
      </w:pPr>
      <w:r>
        <w:t>LDPC/qLDPC check structure</w:t>
      </w:r>
    </w:p>
    <w:p>
      <w:pPr>
        <w:pStyle w:val="QDSVCode"/>
      </w:pPr>
      <w:r>
        <w:t>-&gt; syndrome extraction</w:t>
      </w:r>
    </w:p>
    <w:p>
      <w:pPr>
        <w:pStyle w:val="QDSVCode"/>
      </w:pPr>
      <w:r>
        <w:t>-&gt; decoder outputs / candidate generation</w:t>
      </w:r>
    </w:p>
    <w:p>
      <w:pPr>
        <w:pStyle w:val="QDSVCode"/>
      </w:pPr>
      <w:r>
        <w:t>-&gt; prepared evidence signals</w:t>
      </w:r>
    </w:p>
    <w:p>
      <w:pPr>
        <w:pStyle w:val="QDSVCode"/>
      </w:pPr>
      <w:r>
        <w:t>-&gt; QDSV/QIntent structured semantic score</w:t>
      </w:r>
    </w:p>
    <w:p>
      <w:pPr>
        <w:pStyle w:val="QDSVCode"/>
      </w:pPr>
      <w:r>
        <w:t>-&gt; ranked correction</w:t>
      </w:r>
    </w:p>
    <w:p>
      <w:pPr>
        <w:pStyle w:val="QDSVCode"/>
      </w:pPr>
      <w:r>
        <w:t>-&gt; audit trace</w:t>
      </w:r>
    </w:p>
    <w:p>
      <w:r>
        <w:t>The active contribution in this paper is the post-decoding decision layer. QDSV/QIntent does not replace BP, BP+OSD, BP+LSD or other decoder families. It consumes their outputs and organizes candidate evidence into structured blocks.</w:t>
      </w:r>
    </w:p>
    <w:p>
      <w:r>
        <w:t>Public evidence blocks:</w:t>
      </w:r>
    </w:p>
    <w:p>
      <w:pPr>
        <w:pStyle w:val="QDSVCode"/>
      </w:pPr>
      <w:r>
        <w:t>syndrome</w:t>
      </w:r>
    </w:p>
    <w:p>
      <w:pPr>
        <w:pStyle w:val="QDSVCode"/>
      </w:pPr>
      <w:r>
        <w:t>logical_safety</w:t>
      </w:r>
    </w:p>
    <w:p>
      <w:pPr>
        <w:pStyle w:val="QDSVCode"/>
      </w:pPr>
      <w:r>
        <w:t>decoder</w:t>
      </w:r>
    </w:p>
    <w:p>
      <w:r>
        <w:t>Representative signals:</w:t>
      </w:r>
    </w:p>
    <w:p>
      <w:pPr>
        <w:pStyle w:val="QDSVCode"/>
      </w:pPr>
      <w:r>
        <w:t>syndrome_support</w:t>
      </w:r>
    </w:p>
    <w:p>
      <w:pPr>
        <w:pStyle w:val="QDSVCode"/>
      </w:pPr>
      <w:r>
        <w:t>check_consistency</w:t>
      </w:r>
    </w:p>
    <w:p>
      <w:pPr>
        <w:pStyle w:val="QDSVCode"/>
      </w:pPr>
      <w:r>
        <w:t>decoder_confidence</w:t>
      </w:r>
    </w:p>
    <w:p>
      <w:pPr>
        <w:pStyle w:val="QDSVCode"/>
      </w:pPr>
      <w:r>
        <w:t>decoder_margin</w:t>
      </w:r>
    </w:p>
    <w:p>
      <w:pPr>
        <w:pStyle w:val="QDSVCode"/>
      </w:pPr>
      <w:r>
        <w:t>decoder_agreement</w:t>
      </w:r>
    </w:p>
    <w:p>
      <w:pPr>
        <w:pStyle w:val="QDSVCode"/>
      </w:pPr>
      <w:r>
        <w:t>method_reliability</w:t>
      </w:r>
    </w:p>
    <w:p>
      <w:pPr>
        <w:pStyle w:val="QDSVCode"/>
      </w:pPr>
      <w:r>
        <w:t>logical_preservation</w:t>
      </w:r>
    </w:p>
    <w:p>
      <w:pPr>
        <w:pStyle w:val="QDSVCode"/>
      </w:pPr>
      <w:r>
        <w:t>distance_safety</w:t>
      </w:r>
    </w:p>
    <w:p>
      <w:pPr>
        <w:pStyle w:val="QDSVCode"/>
      </w:pPr>
      <w:r>
        <w:t>propagation_safety</w:t>
      </w:r>
    </w:p>
    <w:p>
      <w:pPr>
        <w:pStyle w:val="QDSVCode"/>
      </w:pPr>
      <w:r>
        <w:t>syndrome_risk</w:t>
      </w:r>
    </w:p>
    <w:p>
      <w:pPr>
        <w:pStyle w:val="QDSVCode"/>
      </w:pPr>
      <w:r>
        <w:t>logical_risk</w:t>
      </w:r>
    </w:p>
    <w:p>
      <w:r>
        <w:t>The internal QDSV decision formula is not exposed. The public QIntent layer exposes the declaration of blocks, signals, priorities, risk fields, selected candidate, rank, score and audit trace.</w:t>
      </w:r>
    </w:p>
    <w:p>
      <w:r>
        <w:t>The POST contribution is not limited to candidate re-ranking. It provides a structured semantic decision layer for correction-hypothesis selection under uncertainty.</w:t>
      </w:r>
    </w:p>
    <w:tbl>
      <w:tblPr>
        <w:tblStyle w:val="TableGrid"/>
        <w:tblW w:type="dxa" w:w="9360"/>
        <w:jc w:val="center"/>
        <w:tblLook w:firstColumn="1" w:firstRow="1" w:lastColumn="0" w:lastRow="0" w:noHBand="0" w:noVBand="1" w:val="04A0"/>
        <w:tblCellMar>
          <w:top w:w="80" w:type="dxa"/>
          <w:start w:w="120" w:type="dxa"/>
          <w:bottom w:w="80" w:type="dxa"/>
          <w:end w:w="120" w:type="dxa"/>
        </w:tblCellMar>
      </w:tblPr>
      <w:tblGrid>
        <w:gridCol w:w="4680"/>
        <w:gridCol w:w="4680"/>
      </w:tblGrid>
      <w:tr>
        <w:tc>
          <w:tcPr>
            <w:tcW w:type="dxa" w:w="4680"/>
            <w:vAlign w:val="center"/>
            <w:shd w:fill="F2F4F7"/>
          </w:tcPr>
          <w:p>
            <w:pPr>
              <w:spacing w:after="40"/>
            </w:pPr>
            <w:r>
              <w:rPr>
                <w:b/>
                <w:sz w:val="18"/>
              </w:rPr>
            </w:r>
            <w:r>
              <w:rPr>
                <w:b/>
                <w:sz w:val="18"/>
              </w:rPr>
              <w:t>POST capability</w:t>
            </w:r>
          </w:p>
        </w:tc>
        <w:tc>
          <w:tcPr>
            <w:tcW w:type="dxa" w:w="4680"/>
            <w:vAlign w:val="center"/>
            <w:shd w:fill="F2F4F7"/>
          </w:tcPr>
          <w:p>
            <w:pPr>
              <w:spacing w:after="40"/>
            </w:pPr>
            <w:r>
              <w:rPr>
                <w:b/>
                <w:sz w:val="18"/>
              </w:rPr>
            </w:r>
            <w:r>
              <w:rPr>
                <w:b/>
                <w:sz w:val="18"/>
              </w:rPr>
              <w:t>Scientific value</w:t>
            </w:r>
          </w:p>
        </w:tc>
      </w:tr>
      <w:tr>
        <w:tc>
          <w:tcPr>
            <w:tcW w:type="dxa" w:w="4680"/>
            <w:vAlign w:val="center"/>
          </w:tcPr>
          <w:p>
            <w:pPr>
              <w:spacing w:after="40"/>
            </w:pPr>
            <w:r>
              <w:rPr>
                <w:sz w:val="18"/>
              </w:rPr>
            </w:r>
            <w:r>
              <w:rPr>
                <w:sz w:val="18"/>
              </w:rPr>
              <w:t>Heterogeneous evidence integration</w:t>
            </w:r>
          </w:p>
        </w:tc>
        <w:tc>
          <w:tcPr>
            <w:tcW w:type="dxa" w:w="4680"/>
            <w:vAlign w:val="center"/>
          </w:tcPr>
          <w:p>
            <w:pPr>
              <w:spacing w:after="40"/>
            </w:pPr>
            <w:r>
              <w:rPr>
                <w:sz w:val="18"/>
              </w:rPr>
            </w:r>
            <w:r>
              <w:rPr>
                <w:sz w:val="18"/>
              </w:rPr>
              <w:t>Combines signals that are usually evaluated independently: syndrome evidence, decoder confidence, method agreement, logical risk and propagation safety.</w:t>
            </w:r>
          </w:p>
        </w:tc>
      </w:tr>
      <w:tr>
        <w:tc>
          <w:tcPr>
            <w:tcW w:type="dxa" w:w="4680"/>
            <w:vAlign w:val="center"/>
          </w:tcPr>
          <w:p>
            <w:pPr>
              <w:spacing w:after="40"/>
            </w:pPr>
            <w:r>
              <w:rPr>
                <w:sz w:val="18"/>
              </w:rPr>
            </w:r>
            <w:r>
              <w:rPr>
                <w:sz w:val="18"/>
              </w:rPr>
              <w:t>Logical-risk management</w:t>
            </w:r>
          </w:p>
        </w:tc>
        <w:tc>
          <w:tcPr>
            <w:tcW w:type="dxa" w:w="4680"/>
            <w:vAlign w:val="center"/>
          </w:tcPr>
          <w:p>
            <w:pPr>
              <w:spacing w:after="40"/>
            </w:pPr>
            <w:r>
              <w:rPr>
                <w:sz w:val="18"/>
              </w:rPr>
            </w:r>
            <w:r>
              <w:rPr>
                <w:sz w:val="18"/>
              </w:rPr>
              <w:t>Extends the decision beyond local criteria such as minimum weight or error probability by incorporating indicators related to potential logical failure.</w:t>
            </w:r>
          </w:p>
        </w:tc>
      </w:tr>
      <w:tr>
        <w:tc>
          <w:tcPr>
            <w:tcW w:type="dxa" w:w="4680"/>
            <w:vAlign w:val="center"/>
          </w:tcPr>
          <w:p>
            <w:pPr>
              <w:spacing w:after="40"/>
            </w:pPr>
            <w:r>
              <w:rPr>
                <w:sz w:val="18"/>
              </w:rPr>
            </w:r>
            <w:r>
              <w:rPr>
                <w:sz w:val="18"/>
              </w:rPr>
              <w:t>Decoder-disagreement resolution</w:t>
            </w:r>
          </w:p>
        </w:tc>
        <w:tc>
          <w:tcPr>
            <w:tcW w:type="dxa" w:w="4680"/>
            <w:vAlign w:val="center"/>
          </w:tcPr>
          <w:p>
            <w:pPr>
              <w:spacing w:after="40"/>
            </w:pPr>
            <w:r>
              <w:rPr>
                <w:sz w:val="18"/>
              </w:rPr>
            </w:r>
            <w:r>
              <w:rPr>
                <w:sz w:val="18"/>
              </w:rPr>
              <w:t>Selects among hypotheses produced by different decoding strategies under a common decision framework.</w:t>
            </w:r>
          </w:p>
        </w:tc>
      </w:tr>
      <w:tr>
        <w:tc>
          <w:tcPr>
            <w:tcW w:type="dxa" w:w="4680"/>
            <w:vAlign w:val="center"/>
          </w:tcPr>
          <w:p>
            <w:pPr>
              <w:spacing w:after="40"/>
            </w:pPr>
            <w:r>
              <w:rPr>
                <w:sz w:val="18"/>
              </w:rPr>
            </w:r>
            <w:r>
              <w:rPr>
                <w:sz w:val="18"/>
              </w:rPr>
              <w:t>Uncertainty handling</w:t>
            </w:r>
          </w:p>
        </w:tc>
        <w:tc>
          <w:tcPr>
            <w:tcW w:type="dxa" w:w="4680"/>
            <w:vAlign w:val="center"/>
          </w:tcPr>
          <w:p>
            <w:pPr>
              <w:spacing w:after="40"/>
            </w:pPr>
            <w:r>
              <w:rPr>
                <w:sz w:val="18"/>
              </w:rPr>
            </w:r>
            <w:r>
              <w:rPr>
                <w:sz w:val="18"/>
              </w:rPr>
              <w:t>Identifies situations with insufficient evidence, low decision margin or conflict between methods.</w:t>
            </w:r>
          </w:p>
        </w:tc>
      </w:tr>
      <w:tr>
        <w:tc>
          <w:tcPr>
            <w:tcW w:type="dxa" w:w="4680"/>
            <w:vAlign w:val="center"/>
          </w:tcPr>
          <w:p>
            <w:pPr>
              <w:spacing w:after="40"/>
            </w:pPr>
            <w:r>
              <w:rPr>
                <w:sz w:val="18"/>
              </w:rPr>
            </w:r>
            <w:r>
              <w:rPr>
                <w:sz w:val="18"/>
              </w:rPr>
              <w:t>Guarded decision policy</w:t>
            </w:r>
          </w:p>
        </w:tc>
        <w:tc>
          <w:tcPr>
            <w:tcW w:type="dxa" w:w="4680"/>
            <w:vAlign w:val="center"/>
          </w:tcPr>
          <w:p>
            <w:pPr>
              <w:spacing w:after="40"/>
            </w:pPr>
            <w:r>
              <w:rPr>
                <w:sz w:val="18"/>
              </w:rPr>
            </w:r>
            <w:r>
              <w:rPr>
                <w:sz w:val="18"/>
              </w:rPr>
              <w:t>Prevents the decision layer from degrading a reliable baseline decoder through controlled acceptance and override rules.</w:t>
            </w:r>
          </w:p>
        </w:tc>
      </w:tr>
      <w:tr>
        <w:tc>
          <w:tcPr>
            <w:tcW w:type="dxa" w:w="4680"/>
            <w:vAlign w:val="center"/>
          </w:tcPr>
          <w:p>
            <w:pPr>
              <w:spacing w:after="40"/>
            </w:pPr>
            <w:r>
              <w:rPr>
                <w:sz w:val="18"/>
              </w:rPr>
            </w:r>
            <w:r>
              <w:rPr>
                <w:sz w:val="18"/>
              </w:rPr>
              <w:t>Traceability</w:t>
            </w:r>
          </w:p>
        </w:tc>
        <w:tc>
          <w:tcPr>
            <w:tcW w:type="dxa" w:w="4680"/>
            <w:vAlign w:val="center"/>
          </w:tcPr>
          <w:p>
            <w:pPr>
              <w:spacing w:after="40"/>
            </w:pPr>
            <w:r>
              <w:rPr>
                <w:sz w:val="18"/>
              </w:rPr>
            </w:r>
            <w:r>
              <w:rPr>
                <w:sz w:val="18"/>
              </w:rPr>
              <w:t>Produces auditable evidence about the reasons and signals associated with the final correction selection.</w:t>
            </w:r>
          </w:p>
        </w:tc>
      </w:tr>
    </w:tbl>
    <w:p/>
    <w:p>
      <w:pPr>
        <w:pStyle w:val="Heading1"/>
      </w:pPr>
      <w:r>
        <w:t>5. Methodology</w:t>
      </w:r>
    </w:p>
    <w:p>
      <w:r>
        <w:t>Seven experiments were conducted.</w:t>
      </w:r>
    </w:p>
    <w:p>
      <w:pPr>
        <w:pStyle w:val="Heading2"/>
      </w:pPr>
      <w:r>
        <w:t>Experiment 1: Controlled Ambiguity Benchmark</w:t>
      </w:r>
    </w:p>
    <w:p>
      <w:r>
        <w:t>Purpose: verify whether QDSV/QIntent can select a lower-risk correlated correction when a minimum-weight baseline selects a risky singleton.</w:t>
      </w:r>
    </w:p>
    <w:p>
      <w:r>
        <w:t>Design:</w:t>
      </w:r>
    </w:p>
    <w:p>
      <w:pPr>
        <w:pStyle w:val="QDSVCode"/>
      </w:pPr>
      <w:r>
        <w:t>H[sensitive] = H[safe_a] xor H[safe_b]</w:t>
      </w:r>
    </w:p>
    <w:p>
      <w:pPr>
        <w:pStyle w:val="QDSVCode"/>
      </w:pPr>
      <w:r>
        <w:t>true_error = safe_a + safe_b</w:t>
      </w:r>
    </w:p>
    <w:p>
      <w:pPr>
        <w:pStyle w:val="QDSVCode"/>
      </w:pPr>
      <w:r>
        <w:t>baseline selects sensitive</w:t>
      </w:r>
    </w:p>
    <w:p>
      <w:pPr>
        <w:pStyle w:val="QDSVCode"/>
      </w:pPr>
      <w:r>
        <w:t>QDSV evaluates logical safety and risk</w:t>
      </w:r>
    </w:p>
    <w:p>
      <w:pPr>
        <w:pStyle w:val="Heading2"/>
      </w:pPr>
      <w:r>
        <w:t>Experiment 2: Random Sparse Benchmark with Ambiguity Audit</w:t>
      </w:r>
    </w:p>
    <w:p>
      <w:r>
        <w:t>Purpose: move away from a fully constructed win case and test random sparse structures.</w:t>
      </w:r>
    </w:p>
    <w:p>
      <w:r>
        <w:t>The experiment showed that some scenarios are observationally ambiguous: two scenarios can have the same visible candidate evidence but opposite ground truth. This motivates adding richer decoder evidence rather than only tuning weights.</w:t>
      </w:r>
    </w:p>
    <w:p>
      <w:pPr>
        <w:pStyle w:val="Heading2"/>
      </w:pPr>
      <w:r>
        <w:t>Experiment 3: BP-Soft Multi-Seed Benchmark</w:t>
      </w:r>
    </w:p>
    <w:p>
      <w:r>
        <w:t>Purpose: test QDSV/QIntent over soft evidence produced by a lightweight BP message-passing process.</w:t>
      </w:r>
    </w:p>
    <w:p>
      <w:r>
        <w:t>Design:</w:t>
      </w:r>
    </w:p>
    <w:p>
      <w:pPr>
        <w:pStyle w:val="QDSVCode"/>
      </w:pPr>
      <w:r>
        <w:t>sparse check matrix</w:t>
      </w:r>
    </w:p>
    <w:p>
      <w:pPr>
        <w:pStyle w:val="QDSVCode"/>
      </w:pPr>
      <w:r>
        <w:t>-&gt; sampled errors</w:t>
      </w:r>
    </w:p>
    <w:p>
      <w:pPr>
        <w:pStyle w:val="QDSVCode"/>
      </w:pPr>
      <w:r>
        <w:t>-&gt; BP posterior evidence</w:t>
      </w:r>
    </w:p>
    <w:p>
      <w:pPr>
        <w:pStyle w:val="QDSVCode"/>
      </w:pPr>
      <w:r>
        <w:t>-&gt; syndrome-compatible candidate enumeration</w:t>
      </w:r>
    </w:p>
    <w:p>
      <w:pPr>
        <w:pStyle w:val="QDSVCode"/>
      </w:pPr>
      <w:r>
        <w:t>-&gt; raw QDSV decision</w:t>
      </w:r>
    </w:p>
    <w:p>
      <w:pPr>
        <w:pStyle w:val="QDSVCode"/>
      </w:pPr>
      <w:r>
        <w:t>-&gt; guarded QDSV decision</w:t>
      </w:r>
    </w:p>
    <w:p>
      <w:pPr>
        <w:pStyle w:val="Heading2"/>
      </w:pPr>
      <w:r>
        <w:t>Experiment 4: External `ldpc` Decoder-Ensemble Recovery</w:t>
      </w:r>
    </w:p>
    <w:p>
      <w:r>
        <w:t>Purpose: evaluate QDSV/QIntent over real external decoder outputs.</w:t>
      </w:r>
    </w:p>
    <w:p>
      <w:r>
        <w:t>Decoders:</w:t>
      </w:r>
    </w:p>
    <w:p>
      <w:pPr>
        <w:pStyle w:val="QDSVCode"/>
      </w:pPr>
      <w:r>
        <w:t>BpDecoder</w:t>
      </w:r>
    </w:p>
    <w:p>
      <w:pPr>
        <w:pStyle w:val="QDSVCode"/>
      </w:pPr>
      <w:r>
        <w:t>BpOsdDecoder</w:t>
      </w:r>
    </w:p>
    <w:p>
      <w:pPr>
        <w:pStyle w:val="QDSVCode"/>
      </w:pPr>
      <w:r>
        <w:t>BpLsdDecoder</w:t>
      </w:r>
    </w:p>
    <w:p>
      <w:pPr>
        <w:pStyle w:val="QDSVCode"/>
      </w:pPr>
      <w:r>
        <w:t>low_weight_alt candidates</w:t>
      </w:r>
    </w:p>
    <w:p>
      <w:r>
        <w:t>This experiment focuses on BP-failure scenarios. BP is the baseline. Raw QDSV/QIntent selects across the decoder ensemble. Guarded QDSV/QIntent accepts the override only when the risk reduction and uncertainty evidence justify changing the baseline.</w:t>
      </w:r>
    </w:p>
    <w:p>
      <w:pPr>
        <w:pStyle w:val="Heading2"/>
      </w:pPr>
      <w:r>
        <w:t>Experiment 5: IBM Hardware-Oriented Syndrome Validation</w:t>
      </w:r>
    </w:p>
    <w:p>
      <w:r>
        <w:t>Purpose: validate the handoff from real IBM hardware syndrome-count evidence into the same QDSV/QIntent post-decoding ranking layer.</w:t>
      </w:r>
    </w:p>
    <w:p>
      <w:r>
        <w:t>Backend:</w:t>
      </w:r>
    </w:p>
    <w:p>
      <w:pPr>
        <w:pStyle w:val="QDSVCode"/>
      </w:pPr>
      <w:r>
        <w:t>ibm_fez</w:t>
      </w:r>
    </w:p>
    <w:p>
      <w:r>
        <w:t>Job:</w:t>
      </w:r>
    </w:p>
    <w:p>
      <w:pPr>
        <w:pStyle w:val="QDSVCode"/>
      </w:pPr>
      <w:r>
        <w:t>d977en52su3c739horng</w:t>
      </w:r>
    </w:p>
    <w:p>
      <w:r>
        <w:t>The experiment uses a small two-check syndrome extraction circuit. The goal is not production qLDPC decoding, but hardware-derived evidence integration:</w:t>
      </w:r>
    </w:p>
    <w:p>
      <w:pPr>
        <w:pStyle w:val="QDSVCode"/>
      </w:pPr>
      <w:r>
        <w:t>IBM counts</w:t>
      </w:r>
    </w:p>
    <w:p>
      <w:pPr>
        <w:pStyle w:val="QDSVCode"/>
      </w:pPr>
      <w:r>
        <w:t>-&gt; observed syndrome</w:t>
      </w:r>
    </w:p>
    <w:p>
      <w:pPr>
        <w:pStyle w:val="QDSVCode"/>
      </w:pPr>
      <w:r>
        <w:t>-&gt; candidate correction evidence</w:t>
      </w:r>
    </w:p>
    <w:p>
      <w:pPr>
        <w:pStyle w:val="QDSVCode"/>
      </w:pPr>
      <w:r>
        <w:t>-&gt; QDSV/QIntent ranking</w:t>
      </w:r>
    </w:p>
    <w:p>
      <w:pPr>
        <w:pStyle w:val="QDSVCode"/>
      </w:pPr>
      <w:r>
        <w:t>-&gt; auditable JSON/CSV artifacts</w:t>
      </w:r>
    </w:p>
    <w:p>
      <w:pPr>
        <w:pStyle w:val="Heading2"/>
      </w:pPr>
      <w:r>
        <w:t>Experiment 6: Known Stabilizer-Code Logical Validation</w:t>
      </w:r>
    </w:p>
    <w:p>
      <w:r>
        <w:t>Purpose: connect QDSV/QIntent correction-hypothesis decisions to formal logical behavior in a known stabilizer code rather than only proxy risk metrics.</w:t>
      </w:r>
    </w:p>
    <w:p>
      <w:r>
        <w:t>Code:</w:t>
      </w:r>
    </w:p>
    <w:p>
      <w:pPr>
        <w:pStyle w:val="QDSVCode"/>
      </w:pPr>
      <w:r>
        <w:t>5-qubit perfect stabilizer code</w:t>
      </w:r>
    </w:p>
    <w:p>
      <w:pPr>
        <w:pStyle w:val="QDSVCode"/>
      </w:pPr>
      <w:r>
        <w:t>generators: XZZXI, IXZZX, XIXZZ, ZXIXZ</w:t>
      </w:r>
    </w:p>
    <w:p>
      <w:r>
        <w:t xml:space="preserve">For each physical error </w:t>
      </w:r>
      <w:r>
        <w:rPr>
          <w:rFonts w:ascii="Consolas" w:hAnsi="Consolas"/>
          <w:sz w:val="20"/>
        </w:rPr>
        <w:t>E</w:t>
      </w:r>
      <w:r>
        <w:t xml:space="preserve"> and selected correction </w:t>
      </w:r>
      <w:r>
        <w:rPr>
          <w:rFonts w:ascii="Consolas" w:hAnsi="Consolas"/>
          <w:sz w:val="20"/>
        </w:rPr>
        <w:t>C</w:t>
      </w:r>
      <w:r>
        <w:t>, the experiment computes:</w:t>
      </w:r>
    </w:p>
    <w:p>
      <w:pPr>
        <w:pStyle w:val="QDSVCode"/>
      </w:pPr>
      <w:r>
        <w:t>R = C E</w:t>
      </w:r>
    </w:p>
    <w:p>
      <w:r>
        <w:t>Classification:</w:t>
      </w:r>
    </w:p>
    <w:p>
      <w:pPr>
        <w:pStyle w:val="QDSVCode"/>
      </w:pPr>
      <w:r>
        <w:t>R in S        -&gt; formal logical success</w:t>
      </w:r>
    </w:p>
    <w:p>
      <w:pPr>
        <w:pStyle w:val="QDSVCode"/>
      </w:pPr>
      <w:r>
        <w:t>R in N(S)\S   -&gt; formal logical failure</w:t>
      </w:r>
    </w:p>
    <w:p>
      <w:r>
        <w:t xml:space="preserve">The benchmark evaluates a confidence-only baseline, raw QDSV/QIntent, guarded QDSV/QIntent and an </w:t>
      </w:r>
      <w:r>
        <w:rPr>
          <w:rFonts w:ascii="Consolas" w:hAnsi="Consolas"/>
          <w:sz w:val="20"/>
        </w:rPr>
        <w:t>oracle_best</w:t>
      </w:r>
      <w:r>
        <w:t xml:space="preserve"> reference over the same candidate set. The oracle is used only as an experimental upper-bound reference; it is not part of the proposed method.</w:t>
      </w:r>
    </w:p>
    <w:p>
      <w:pPr>
        <w:pStyle w:val="Heading2"/>
      </w:pPr>
      <w:r>
        <w:t>Experiment 7: Steane CSS Logical Validation</w:t>
      </w:r>
    </w:p>
    <w:p>
      <w:r>
        <w:t>Purpose: test whether the formal logical-preservation behavior observed in the 5-qubit code generalizes to a second known stabilizer-code family with CSS structure.</w:t>
      </w:r>
    </w:p>
    <w:p>
      <w:r>
        <w:t>Code:</w:t>
      </w:r>
    </w:p>
    <w:p>
      <w:pPr>
        <w:pStyle w:val="QDSVCode"/>
      </w:pPr>
      <w:r>
        <w:t>Steane [[7,1,3]] CSS stabilizer code</w:t>
      </w:r>
    </w:p>
    <w:p>
      <w:pPr>
        <w:pStyle w:val="QDSVCode"/>
      </w:pPr>
      <w:r>
        <w:t>generators: IIIXXXX, IXXIIXX, XIXIXIX, IIIZZZZ, IZZIIZZ, ZIZIZIZ</w:t>
      </w:r>
    </w:p>
    <w:p>
      <w:r>
        <w:t>The same residual test is used:</w:t>
      </w:r>
    </w:p>
    <w:p>
      <w:pPr>
        <w:pStyle w:val="QDSVCode"/>
      </w:pPr>
      <w:r>
        <w:t>R = C E</w:t>
      </w:r>
    </w:p>
    <w:p>
      <w:pPr>
        <w:pStyle w:val="QDSVCode"/>
      </w:pPr>
      <w:r>
        <w:t>R in S        -&gt; formal logical success</w:t>
      </w:r>
    </w:p>
    <w:p>
      <w:pPr>
        <w:pStyle w:val="QDSVCode"/>
      </w:pPr>
      <w:r>
        <w:t>R in N(S)\S   -&gt; formal logical failure</w:t>
      </w:r>
    </w:p>
    <w:p>
      <w:r>
        <w:t>This experiment adds CSS-sector evidence but keeps the same public QIntent pattern: syndrome evidence, logical-safety evidence, decoder evidence and guarded override policy.</w:t>
      </w:r>
    </w:p>
    <w:p>
      <w:pPr>
        <w:pStyle w:val="Heading1"/>
      </w:pPr>
      <w:r>
        <w:t>6. Experimental Results</w:t>
      </w:r>
    </w:p>
    <w:p>
      <w:pPr>
        <w:pStyle w:val="Heading2"/>
      </w:pPr>
      <w:r>
        <w:t>6.1 Controlled Ambiguity Benchmark</w:t>
      </w:r>
    </w:p>
    <w:tbl>
      <w:tblPr>
        <w:tblStyle w:val="TableGrid"/>
        <w:tblW w:type="dxa" w:w="9360"/>
        <w:jc w:val="center"/>
        <w:tblLook w:firstColumn="1" w:firstRow="1" w:lastColumn="0" w:lastRow="0" w:noHBand="0" w:noVBand="1" w:val="04A0"/>
        <w:tblCellMar>
          <w:top w:w="80" w:type="dxa"/>
          <w:start w:w="120" w:type="dxa"/>
          <w:bottom w:w="80" w:type="dxa"/>
          <w:end w:w="120" w:type="dxa"/>
        </w:tblCellMar>
      </w:tblPr>
      <w:tblGrid>
        <w:gridCol w:w="3120"/>
        <w:gridCol w:w="3120"/>
        <w:gridCol w:w="3120"/>
      </w:tblGrid>
      <w:tr>
        <w:tc>
          <w:tcPr>
            <w:tcW w:type="dxa" w:w="3120"/>
            <w:vAlign w:val="center"/>
            <w:shd w:fill="F2F4F7"/>
          </w:tcPr>
          <w:p>
            <w:pPr>
              <w:spacing w:after="40"/>
            </w:pPr>
            <w:r>
              <w:rPr>
                <w:b/>
                <w:sz w:val="18"/>
              </w:rPr>
            </w:r>
            <w:r>
              <w:rPr>
                <w:b/>
                <w:sz w:val="18"/>
              </w:rPr>
              <w:t>Metric</w:t>
            </w:r>
          </w:p>
        </w:tc>
        <w:tc>
          <w:tcPr>
            <w:tcW w:type="dxa" w:w="3120"/>
            <w:vAlign w:val="center"/>
            <w:shd w:fill="F2F4F7"/>
          </w:tcPr>
          <w:p>
            <w:pPr>
              <w:spacing w:after="40"/>
            </w:pPr>
            <w:r>
              <w:rPr>
                <w:b/>
                <w:sz w:val="18"/>
              </w:rPr>
            </w:r>
            <w:r>
              <w:rPr>
                <w:b/>
                <w:sz w:val="18"/>
              </w:rPr>
              <w:t>Baseline</w:t>
            </w:r>
          </w:p>
        </w:tc>
        <w:tc>
          <w:tcPr>
            <w:tcW w:type="dxa" w:w="3120"/>
            <w:vAlign w:val="center"/>
            <w:shd w:fill="F2F4F7"/>
          </w:tcPr>
          <w:p>
            <w:pPr>
              <w:spacing w:after="40"/>
            </w:pPr>
            <w:r>
              <w:rPr>
                <w:b/>
                <w:sz w:val="18"/>
              </w:rPr>
            </w:r>
            <w:r>
              <w:rPr>
                <w:b/>
                <w:sz w:val="18"/>
              </w:rPr>
              <w:t>QDSV/QIntent</w:t>
            </w:r>
          </w:p>
        </w:tc>
      </w:tr>
      <w:tr>
        <w:tc>
          <w:tcPr>
            <w:tcW w:type="dxa" w:w="3120"/>
            <w:vAlign w:val="center"/>
          </w:tcPr>
          <w:p>
            <w:pPr>
              <w:spacing w:after="40"/>
            </w:pPr>
            <w:r>
              <w:rPr>
                <w:sz w:val="18"/>
              </w:rPr>
            </w:r>
            <w:r>
              <w:rPr>
                <w:sz w:val="18"/>
              </w:rPr>
              <w:t>Exact correction rate</w:t>
            </w:r>
          </w:p>
        </w:tc>
        <w:tc>
          <w:tcPr>
            <w:tcW w:type="dxa" w:w="3120"/>
            <w:vAlign w:val="center"/>
          </w:tcPr>
          <w:p>
            <w:pPr>
              <w:spacing w:after="40"/>
            </w:pPr>
            <w:r>
              <w:rPr>
                <w:sz w:val="18"/>
              </w:rPr>
            </w:r>
            <w:r>
              <w:rPr>
                <w:sz w:val="18"/>
              </w:rPr>
              <w:t>0/6</w:t>
            </w:r>
          </w:p>
        </w:tc>
        <w:tc>
          <w:tcPr>
            <w:tcW w:type="dxa" w:w="3120"/>
            <w:vAlign w:val="center"/>
          </w:tcPr>
          <w:p>
            <w:pPr>
              <w:spacing w:after="40"/>
            </w:pPr>
            <w:r>
              <w:rPr>
                <w:sz w:val="18"/>
              </w:rPr>
            </w:r>
            <w:r>
              <w:rPr>
                <w:sz w:val="18"/>
              </w:rPr>
              <w:t>6/6</w:t>
            </w:r>
          </w:p>
        </w:tc>
      </w:tr>
      <w:tr>
        <w:tc>
          <w:tcPr>
            <w:tcW w:type="dxa" w:w="3120"/>
            <w:vAlign w:val="center"/>
          </w:tcPr>
          <w:p>
            <w:pPr>
              <w:spacing w:after="40"/>
            </w:pPr>
            <w:r>
              <w:rPr>
                <w:sz w:val="18"/>
              </w:rPr>
            </w:r>
            <w:r>
              <w:rPr>
                <w:sz w:val="18"/>
              </w:rPr>
              <w:t>Logical-failure proxy rate</w:t>
            </w:r>
          </w:p>
        </w:tc>
        <w:tc>
          <w:tcPr>
            <w:tcW w:type="dxa" w:w="3120"/>
            <w:vAlign w:val="center"/>
          </w:tcPr>
          <w:p>
            <w:pPr>
              <w:spacing w:after="40"/>
            </w:pPr>
            <w:r>
              <w:rPr>
                <w:sz w:val="18"/>
              </w:rPr>
            </w:r>
            <w:r>
              <w:rPr>
                <w:sz w:val="18"/>
              </w:rPr>
              <w:t>6/6</w:t>
            </w:r>
          </w:p>
        </w:tc>
        <w:tc>
          <w:tcPr>
            <w:tcW w:type="dxa" w:w="3120"/>
            <w:vAlign w:val="center"/>
          </w:tcPr>
          <w:p>
            <w:pPr>
              <w:spacing w:after="40"/>
            </w:pPr>
            <w:r>
              <w:rPr>
                <w:sz w:val="18"/>
              </w:rPr>
            </w:r>
            <w:r>
              <w:rPr>
                <w:sz w:val="18"/>
              </w:rPr>
              <w:t>0/6</w:t>
            </w:r>
          </w:p>
        </w:tc>
      </w:tr>
      <w:tr>
        <w:tc>
          <w:tcPr>
            <w:tcW w:type="dxa" w:w="3120"/>
            <w:vAlign w:val="center"/>
          </w:tcPr>
          <w:p>
            <w:pPr>
              <w:spacing w:after="40"/>
            </w:pPr>
            <w:r>
              <w:rPr>
                <w:sz w:val="18"/>
              </w:rPr>
            </w:r>
            <w:r>
              <w:rPr>
                <w:sz w:val="18"/>
              </w:rPr>
              <w:t>Average logical risk</w:t>
            </w:r>
          </w:p>
        </w:tc>
        <w:tc>
          <w:tcPr>
            <w:tcW w:type="dxa" w:w="3120"/>
            <w:vAlign w:val="center"/>
          </w:tcPr>
          <w:p>
            <w:pPr>
              <w:spacing w:after="40"/>
            </w:pPr>
            <w:r>
              <w:rPr>
                <w:sz w:val="18"/>
              </w:rPr>
            </w:r>
            <w:r>
              <w:rPr>
                <w:sz w:val="18"/>
              </w:rPr>
              <w:t>263</w:t>
            </w:r>
          </w:p>
        </w:tc>
        <w:tc>
          <w:tcPr>
            <w:tcW w:type="dxa" w:w="3120"/>
            <w:vAlign w:val="center"/>
          </w:tcPr>
          <w:p>
            <w:pPr>
              <w:spacing w:after="40"/>
            </w:pPr>
            <w:r>
              <w:rPr>
                <w:sz w:val="18"/>
              </w:rPr>
            </w:r>
            <w:r>
              <w:rPr>
                <w:sz w:val="18"/>
              </w:rPr>
              <w:t>56</w:t>
            </w:r>
          </w:p>
        </w:tc>
      </w:tr>
      <w:tr>
        <w:tc>
          <w:tcPr>
            <w:tcW w:type="dxa" w:w="3120"/>
            <w:vAlign w:val="center"/>
          </w:tcPr>
          <w:p>
            <w:pPr>
              <w:spacing w:after="40"/>
            </w:pPr>
            <w:r>
              <w:rPr>
                <w:sz w:val="18"/>
              </w:rPr>
            </w:r>
            <w:r>
              <w:rPr>
                <w:sz w:val="18"/>
              </w:rPr>
              <w:t>Average risk reduction</w:t>
            </w:r>
          </w:p>
        </w:tc>
        <w:tc>
          <w:tcPr>
            <w:tcW w:type="dxa" w:w="3120"/>
            <w:vAlign w:val="center"/>
          </w:tcPr>
          <w:p>
            <w:pPr>
              <w:spacing w:after="40"/>
            </w:pPr>
            <w:r>
              <w:rPr>
                <w:sz w:val="18"/>
              </w:rPr>
            </w:r>
            <w:r>
              <w:rPr>
                <w:sz w:val="18"/>
              </w:rPr>
              <w:t>-</w:t>
            </w:r>
          </w:p>
        </w:tc>
        <w:tc>
          <w:tcPr>
            <w:tcW w:type="dxa" w:w="3120"/>
            <w:vAlign w:val="center"/>
          </w:tcPr>
          <w:p>
            <w:pPr>
              <w:spacing w:after="40"/>
            </w:pPr>
            <w:r>
              <w:rPr>
                <w:sz w:val="18"/>
              </w:rPr>
            </w:r>
            <w:r>
              <w:rPr>
                <w:sz w:val="18"/>
              </w:rPr>
              <w:t>207</w:t>
            </w:r>
          </w:p>
        </w:tc>
      </w:tr>
    </w:tbl>
    <w:p/>
    <w:p>
      <w:r>
        <w:t>Interpretation: QDSV/QIntent successfully selected the lower-risk correlated correction in the constructed ambiguity.</w:t>
      </w:r>
    </w:p>
    <w:p>
      <w:pPr>
        <w:pStyle w:val="Heading2"/>
      </w:pPr>
      <w:r>
        <w:t>6.2 Random Sparse Benchmark</w:t>
      </w:r>
    </w:p>
    <w:p>
      <w:r>
        <w:t>The random sparse benchmark showed that aggressive risk-first scoring can reduce risk but may sacrifice exactness, while balanced policies preserve more decoder agreement. The ambiguity audit identified cases that cannot be resolved from the available synthetic evidence alone.</w:t>
      </w:r>
    </w:p>
    <w:p>
      <w:r>
        <w:t>Interpretation: QDSV/QIntent should not be tuned only as a risk minimizer. It needs richer decoder evidence and policy calibration.</w:t>
      </w:r>
    </w:p>
    <w:p>
      <w:pPr>
        <w:pStyle w:val="Heading2"/>
      </w:pPr>
      <w:r>
        <w:t>6.3 BP-Soft Multi-Seed Benchmark</w:t>
      </w:r>
    </w:p>
    <w:p>
      <w:r>
        <w:t>Configuration:</w:t>
      </w:r>
    </w:p>
    <w:p>
      <w:pPr>
        <w:pStyle w:val="QDSVCode"/>
      </w:pPr>
      <w:r>
        <w:t>12 seeds</w:t>
      </w:r>
    </w:p>
    <w:p>
      <w:pPr>
        <w:pStyle w:val="QDSVCode"/>
      </w:pPr>
      <w:r>
        <w:t>40 samples per seed</w:t>
      </w:r>
    </w:p>
    <w:p>
      <w:pPr>
        <w:pStyle w:val="QDSVCode"/>
      </w:pPr>
      <w:r>
        <w:t>480 total scenarios</w:t>
      </w:r>
    </w:p>
    <w:tbl>
      <w:tblPr>
        <w:tblStyle w:val="TableGrid"/>
        <w:tblW w:type="dxa" w:w="9360"/>
        <w:jc w:val="center"/>
        <w:tblLook w:firstColumn="1" w:firstRow="1" w:lastColumn="0" w:lastRow="0" w:noHBand="0" w:noVBand="1" w:val="04A0"/>
        <w:tblCellMar>
          <w:top w:w="80" w:type="dxa"/>
          <w:start w:w="120" w:type="dxa"/>
          <w:bottom w:w="80" w:type="dxa"/>
          <w:end w:w="120" w:type="dxa"/>
        </w:tblCellMar>
      </w:tblPr>
      <w:tblGrid>
        <w:gridCol w:w="2340"/>
        <w:gridCol w:w="2340"/>
        <w:gridCol w:w="2340"/>
        <w:gridCol w:w="2340"/>
      </w:tblGrid>
      <w:tr>
        <w:tc>
          <w:tcPr>
            <w:tcW w:type="dxa" w:w="2340"/>
            <w:vAlign w:val="center"/>
            <w:shd w:fill="F2F4F7"/>
          </w:tcPr>
          <w:p>
            <w:pPr>
              <w:spacing w:after="40"/>
            </w:pPr>
            <w:r>
              <w:rPr>
                <w:b/>
                <w:sz w:val="18"/>
              </w:rPr>
            </w:r>
            <w:r>
              <w:rPr>
                <w:b/>
                <w:sz w:val="18"/>
              </w:rPr>
              <w:t>Metric</w:t>
            </w:r>
          </w:p>
        </w:tc>
        <w:tc>
          <w:tcPr>
            <w:tcW w:type="dxa" w:w="2340"/>
            <w:vAlign w:val="center"/>
            <w:shd w:fill="F2F4F7"/>
          </w:tcPr>
          <w:p>
            <w:pPr>
              <w:spacing w:after="40"/>
            </w:pPr>
            <w:r>
              <w:rPr>
                <w:b/>
                <w:sz w:val="18"/>
              </w:rPr>
            </w:r>
            <w:r>
              <w:rPr>
                <w:b/>
                <w:sz w:val="18"/>
              </w:rPr>
              <w:t>BP-confidence baseline</w:t>
            </w:r>
          </w:p>
        </w:tc>
        <w:tc>
          <w:tcPr>
            <w:tcW w:type="dxa" w:w="2340"/>
            <w:vAlign w:val="center"/>
            <w:shd w:fill="F2F4F7"/>
          </w:tcPr>
          <w:p>
            <w:pPr>
              <w:spacing w:after="40"/>
            </w:pPr>
            <w:r>
              <w:rPr>
                <w:b/>
                <w:sz w:val="18"/>
              </w:rPr>
            </w:r>
            <w:r>
              <w:rPr>
                <w:b/>
                <w:sz w:val="18"/>
              </w:rPr>
              <w:t>QDSV raw</w:t>
            </w:r>
          </w:p>
        </w:tc>
        <w:tc>
          <w:tcPr>
            <w:tcW w:type="dxa" w:w="2340"/>
            <w:vAlign w:val="center"/>
            <w:shd w:fill="F2F4F7"/>
          </w:tcPr>
          <w:p>
            <w:pPr>
              <w:spacing w:after="40"/>
            </w:pPr>
            <w:r>
              <w:rPr>
                <w:b/>
                <w:sz w:val="18"/>
              </w:rPr>
            </w:r>
            <w:r>
              <w:rPr>
                <w:b/>
                <w:sz w:val="18"/>
              </w:rPr>
              <w:t>QDSV guarded</w:t>
            </w:r>
          </w:p>
        </w:tc>
      </w:tr>
      <w:tr>
        <w:tc>
          <w:tcPr>
            <w:tcW w:type="dxa" w:w="2340"/>
            <w:vAlign w:val="center"/>
          </w:tcPr>
          <w:p>
            <w:pPr>
              <w:spacing w:after="40"/>
            </w:pPr>
            <w:r>
              <w:rPr>
                <w:sz w:val="18"/>
              </w:rPr>
            </w:r>
            <w:r>
              <w:rPr>
                <w:sz w:val="18"/>
              </w:rPr>
              <w:t>Exact correction rate, mean</w:t>
            </w:r>
          </w:p>
        </w:tc>
        <w:tc>
          <w:tcPr>
            <w:tcW w:type="dxa" w:w="2340"/>
            <w:vAlign w:val="center"/>
          </w:tcPr>
          <w:p>
            <w:pPr>
              <w:spacing w:after="40"/>
            </w:pPr>
            <w:r>
              <w:rPr>
                <w:sz w:val="18"/>
              </w:rPr>
            </w:r>
            <w:r>
              <w:rPr>
                <w:sz w:val="18"/>
              </w:rPr>
              <w:t>0.7708</w:t>
            </w:r>
          </w:p>
        </w:tc>
        <w:tc>
          <w:tcPr>
            <w:tcW w:type="dxa" w:w="2340"/>
            <w:vAlign w:val="center"/>
          </w:tcPr>
          <w:p>
            <w:pPr>
              <w:spacing w:after="40"/>
            </w:pPr>
            <w:r>
              <w:rPr>
                <w:sz w:val="18"/>
              </w:rPr>
            </w:r>
            <w:r>
              <w:rPr>
                <w:sz w:val="18"/>
              </w:rPr>
              <w:t>0.7896</w:t>
            </w:r>
          </w:p>
        </w:tc>
        <w:tc>
          <w:tcPr>
            <w:tcW w:type="dxa" w:w="2340"/>
            <w:vAlign w:val="center"/>
          </w:tcPr>
          <w:p>
            <w:pPr>
              <w:spacing w:after="40"/>
            </w:pPr>
            <w:r>
              <w:rPr>
                <w:sz w:val="18"/>
              </w:rPr>
            </w:r>
            <w:r>
              <w:rPr>
                <w:sz w:val="18"/>
              </w:rPr>
              <w:t>0.7792</w:t>
            </w:r>
          </w:p>
        </w:tc>
      </w:tr>
      <w:tr>
        <w:tc>
          <w:tcPr>
            <w:tcW w:type="dxa" w:w="2340"/>
            <w:vAlign w:val="center"/>
          </w:tcPr>
          <w:p>
            <w:pPr>
              <w:spacing w:after="40"/>
            </w:pPr>
            <w:r>
              <w:rPr>
                <w:sz w:val="18"/>
              </w:rPr>
            </w:r>
            <w:r>
              <w:rPr>
                <w:sz w:val="18"/>
              </w:rPr>
              <w:t>Exact correction rate, std</w:t>
            </w:r>
          </w:p>
        </w:tc>
        <w:tc>
          <w:tcPr>
            <w:tcW w:type="dxa" w:w="2340"/>
            <w:vAlign w:val="center"/>
          </w:tcPr>
          <w:p>
            <w:pPr>
              <w:spacing w:after="40"/>
            </w:pPr>
            <w:r>
              <w:rPr>
                <w:sz w:val="18"/>
              </w:rPr>
            </w:r>
            <w:r>
              <w:rPr>
                <w:sz w:val="18"/>
              </w:rPr>
              <w:t>0.0668</w:t>
            </w:r>
          </w:p>
        </w:tc>
        <w:tc>
          <w:tcPr>
            <w:tcW w:type="dxa" w:w="2340"/>
            <w:vAlign w:val="center"/>
          </w:tcPr>
          <w:p>
            <w:pPr>
              <w:spacing w:after="40"/>
            </w:pPr>
            <w:r>
              <w:rPr>
                <w:sz w:val="18"/>
              </w:rPr>
            </w:r>
            <w:r>
              <w:rPr>
                <w:sz w:val="18"/>
              </w:rPr>
              <w:t>0.0657</w:t>
            </w:r>
          </w:p>
        </w:tc>
        <w:tc>
          <w:tcPr>
            <w:tcW w:type="dxa" w:w="2340"/>
            <w:vAlign w:val="center"/>
          </w:tcPr>
          <w:p>
            <w:pPr>
              <w:spacing w:after="40"/>
            </w:pPr>
            <w:r>
              <w:rPr>
                <w:sz w:val="18"/>
              </w:rPr>
            </w:r>
            <w:r>
              <w:rPr>
                <w:sz w:val="18"/>
              </w:rPr>
              <w:t>0.0628</w:t>
            </w:r>
          </w:p>
        </w:tc>
      </w:tr>
      <w:tr>
        <w:tc>
          <w:tcPr>
            <w:tcW w:type="dxa" w:w="2340"/>
            <w:vAlign w:val="center"/>
          </w:tcPr>
          <w:p>
            <w:pPr>
              <w:spacing w:after="40"/>
            </w:pPr>
            <w:r>
              <w:rPr>
                <w:sz w:val="18"/>
              </w:rPr>
            </w:r>
            <w:r>
              <w:rPr>
                <w:sz w:val="18"/>
              </w:rPr>
              <w:t>Logical-failure proxy rate, mean</w:t>
            </w:r>
          </w:p>
        </w:tc>
        <w:tc>
          <w:tcPr>
            <w:tcW w:type="dxa" w:w="2340"/>
            <w:vAlign w:val="center"/>
          </w:tcPr>
          <w:p>
            <w:pPr>
              <w:spacing w:after="40"/>
            </w:pPr>
            <w:r>
              <w:rPr>
                <w:sz w:val="18"/>
              </w:rPr>
            </w:r>
            <w:r>
              <w:rPr>
                <w:sz w:val="18"/>
              </w:rPr>
              <w:t>0.0542</w:t>
            </w:r>
          </w:p>
        </w:tc>
        <w:tc>
          <w:tcPr>
            <w:tcW w:type="dxa" w:w="2340"/>
            <w:vAlign w:val="center"/>
          </w:tcPr>
          <w:p>
            <w:pPr>
              <w:spacing w:after="40"/>
            </w:pPr>
            <w:r>
              <w:rPr>
                <w:sz w:val="18"/>
              </w:rPr>
            </w:r>
            <w:r>
              <w:rPr>
                <w:sz w:val="18"/>
              </w:rPr>
              <w:t>0.0479</w:t>
            </w:r>
          </w:p>
        </w:tc>
        <w:tc>
          <w:tcPr>
            <w:tcW w:type="dxa" w:w="2340"/>
            <w:vAlign w:val="center"/>
          </w:tcPr>
          <w:p>
            <w:pPr>
              <w:spacing w:after="40"/>
            </w:pPr>
            <w:r>
              <w:rPr>
                <w:sz w:val="18"/>
              </w:rPr>
            </w:r>
            <w:r>
              <w:rPr>
                <w:sz w:val="18"/>
              </w:rPr>
              <w:t>0.0542</w:t>
            </w:r>
          </w:p>
        </w:tc>
      </w:tr>
      <w:tr>
        <w:tc>
          <w:tcPr>
            <w:tcW w:type="dxa" w:w="2340"/>
            <w:vAlign w:val="center"/>
          </w:tcPr>
          <w:p>
            <w:pPr>
              <w:spacing w:after="40"/>
            </w:pPr>
            <w:r>
              <w:rPr>
                <w:sz w:val="18"/>
              </w:rPr>
            </w:r>
            <w:r>
              <w:rPr>
                <w:sz w:val="18"/>
              </w:rPr>
              <w:t>Logical-failure proxy rate, std</w:t>
            </w:r>
          </w:p>
        </w:tc>
        <w:tc>
          <w:tcPr>
            <w:tcW w:type="dxa" w:w="2340"/>
            <w:vAlign w:val="center"/>
          </w:tcPr>
          <w:p>
            <w:pPr>
              <w:spacing w:after="40"/>
            </w:pPr>
            <w:r>
              <w:rPr>
                <w:sz w:val="18"/>
              </w:rPr>
            </w:r>
            <w:r>
              <w:rPr>
                <w:sz w:val="18"/>
              </w:rPr>
              <w:t>0.0431</w:t>
            </w:r>
          </w:p>
        </w:tc>
        <w:tc>
          <w:tcPr>
            <w:tcW w:type="dxa" w:w="2340"/>
            <w:vAlign w:val="center"/>
          </w:tcPr>
          <w:p>
            <w:pPr>
              <w:spacing w:after="40"/>
            </w:pPr>
            <w:r>
              <w:rPr>
                <w:sz w:val="18"/>
              </w:rPr>
            </w:r>
            <w:r>
              <w:rPr>
                <w:sz w:val="18"/>
              </w:rPr>
              <w:t>0.0438</w:t>
            </w:r>
          </w:p>
        </w:tc>
        <w:tc>
          <w:tcPr>
            <w:tcW w:type="dxa" w:w="2340"/>
            <w:vAlign w:val="center"/>
          </w:tcPr>
          <w:p>
            <w:pPr>
              <w:spacing w:after="40"/>
            </w:pPr>
            <w:r>
              <w:rPr>
                <w:sz w:val="18"/>
              </w:rPr>
            </w:r>
            <w:r>
              <w:rPr>
                <w:sz w:val="18"/>
              </w:rPr>
              <w:t>0.0477</w:t>
            </w:r>
          </w:p>
        </w:tc>
      </w:tr>
      <w:tr>
        <w:tc>
          <w:tcPr>
            <w:tcW w:type="dxa" w:w="2340"/>
            <w:vAlign w:val="center"/>
          </w:tcPr>
          <w:p>
            <w:pPr>
              <w:spacing w:after="40"/>
            </w:pPr>
            <w:r>
              <w:rPr>
                <w:sz w:val="18"/>
              </w:rPr>
            </w:r>
            <w:r>
              <w:rPr>
                <w:sz w:val="18"/>
              </w:rPr>
              <w:t>Average logical risk, mean</w:t>
            </w:r>
          </w:p>
        </w:tc>
        <w:tc>
          <w:tcPr>
            <w:tcW w:type="dxa" w:w="2340"/>
            <w:vAlign w:val="center"/>
          </w:tcPr>
          <w:p>
            <w:pPr>
              <w:spacing w:after="40"/>
            </w:pPr>
            <w:r>
              <w:rPr>
                <w:sz w:val="18"/>
              </w:rPr>
            </w:r>
            <w:r>
              <w:rPr>
                <w:sz w:val="18"/>
              </w:rPr>
              <w:t>141.12</w:t>
            </w:r>
          </w:p>
        </w:tc>
        <w:tc>
          <w:tcPr>
            <w:tcW w:type="dxa" w:w="2340"/>
            <w:vAlign w:val="center"/>
          </w:tcPr>
          <w:p>
            <w:pPr>
              <w:spacing w:after="40"/>
            </w:pPr>
            <w:r>
              <w:rPr>
                <w:sz w:val="18"/>
              </w:rPr>
            </w:r>
            <w:r>
              <w:rPr>
                <w:sz w:val="18"/>
              </w:rPr>
              <w:t>110.80</w:t>
            </w:r>
          </w:p>
        </w:tc>
        <w:tc>
          <w:tcPr>
            <w:tcW w:type="dxa" w:w="2340"/>
            <w:vAlign w:val="center"/>
          </w:tcPr>
          <w:p>
            <w:pPr>
              <w:spacing w:after="40"/>
            </w:pPr>
            <w:r>
              <w:rPr>
                <w:sz w:val="18"/>
              </w:rPr>
            </w:r>
            <w:r>
              <w:rPr>
                <w:sz w:val="18"/>
              </w:rPr>
              <w:t>132.89</w:t>
            </w:r>
          </w:p>
        </w:tc>
      </w:tr>
      <w:tr>
        <w:tc>
          <w:tcPr>
            <w:tcW w:type="dxa" w:w="2340"/>
            <w:vAlign w:val="center"/>
          </w:tcPr>
          <w:p>
            <w:pPr>
              <w:spacing w:after="40"/>
            </w:pPr>
            <w:r>
              <w:rPr>
                <w:sz w:val="18"/>
              </w:rPr>
            </w:r>
            <w:r>
              <w:rPr>
                <w:sz w:val="18"/>
              </w:rPr>
              <w:t>Average logical risk, std</w:t>
            </w:r>
          </w:p>
        </w:tc>
        <w:tc>
          <w:tcPr>
            <w:tcW w:type="dxa" w:w="2340"/>
            <w:vAlign w:val="center"/>
          </w:tcPr>
          <w:p>
            <w:pPr>
              <w:spacing w:after="40"/>
            </w:pPr>
            <w:r>
              <w:rPr>
                <w:sz w:val="18"/>
              </w:rPr>
            </w:r>
            <w:r>
              <w:rPr>
                <w:sz w:val="18"/>
              </w:rPr>
              <w:t>13.03</w:t>
            </w:r>
          </w:p>
        </w:tc>
        <w:tc>
          <w:tcPr>
            <w:tcW w:type="dxa" w:w="2340"/>
            <w:vAlign w:val="center"/>
          </w:tcPr>
          <w:p>
            <w:pPr>
              <w:spacing w:after="40"/>
            </w:pPr>
            <w:r>
              <w:rPr>
                <w:sz w:val="18"/>
              </w:rPr>
            </w:r>
            <w:r>
              <w:rPr>
                <w:sz w:val="18"/>
              </w:rPr>
              <w:t>11.38</w:t>
            </w:r>
          </w:p>
        </w:tc>
        <w:tc>
          <w:tcPr>
            <w:tcW w:type="dxa" w:w="2340"/>
            <w:vAlign w:val="center"/>
          </w:tcPr>
          <w:p>
            <w:pPr>
              <w:spacing w:after="40"/>
            </w:pPr>
            <w:r>
              <w:rPr>
                <w:sz w:val="18"/>
              </w:rPr>
            </w:r>
            <w:r>
              <w:rPr>
                <w:sz w:val="18"/>
              </w:rPr>
              <w:t>13.51</w:t>
            </w:r>
          </w:p>
        </w:tc>
      </w:tr>
      <w:tr>
        <w:tc>
          <w:tcPr>
            <w:tcW w:type="dxa" w:w="2340"/>
            <w:vAlign w:val="center"/>
          </w:tcPr>
          <w:p>
            <w:pPr>
              <w:spacing w:after="40"/>
            </w:pPr>
            <w:r>
              <w:rPr>
                <w:sz w:val="18"/>
              </w:rPr>
            </w:r>
            <w:r>
              <w:rPr>
                <w:sz w:val="18"/>
              </w:rPr>
              <w:t>Improved-risk scenarios</w:t>
            </w:r>
          </w:p>
        </w:tc>
        <w:tc>
          <w:tcPr>
            <w:tcW w:type="dxa" w:w="2340"/>
            <w:vAlign w:val="center"/>
          </w:tcPr>
          <w:p>
            <w:pPr>
              <w:spacing w:after="40"/>
            </w:pPr>
            <w:r>
              <w:rPr>
                <w:sz w:val="18"/>
              </w:rPr>
            </w:r>
            <w:r>
              <w:rPr>
                <w:sz w:val="18"/>
              </w:rPr>
              <w:t>-</w:t>
            </w:r>
          </w:p>
        </w:tc>
        <w:tc>
          <w:tcPr>
            <w:tcW w:type="dxa" w:w="2340"/>
            <w:vAlign w:val="center"/>
          </w:tcPr>
          <w:p>
            <w:pPr>
              <w:spacing w:after="40"/>
            </w:pPr>
            <w:r>
              <w:rPr>
                <w:sz w:val="18"/>
              </w:rPr>
            </w:r>
            <w:r>
              <w:rPr>
                <w:sz w:val="18"/>
              </w:rPr>
              <w:t>74/480</w:t>
            </w:r>
          </w:p>
        </w:tc>
        <w:tc>
          <w:tcPr>
            <w:tcW w:type="dxa" w:w="2340"/>
            <w:vAlign w:val="center"/>
          </w:tcPr>
          <w:p>
            <w:pPr>
              <w:spacing w:after="40"/>
            </w:pPr>
            <w:r>
              <w:rPr>
                <w:sz w:val="18"/>
              </w:rPr>
            </w:r>
            <w:r>
              <w:rPr>
                <w:sz w:val="18"/>
              </w:rPr>
              <w:t>18/480</w:t>
            </w:r>
          </w:p>
        </w:tc>
      </w:tr>
      <w:tr>
        <w:tc>
          <w:tcPr>
            <w:tcW w:type="dxa" w:w="2340"/>
            <w:vAlign w:val="center"/>
          </w:tcPr>
          <w:p>
            <w:pPr>
              <w:spacing w:after="40"/>
            </w:pPr>
            <w:r>
              <w:rPr>
                <w:sz w:val="18"/>
              </w:rPr>
            </w:r>
            <w:r>
              <w:rPr>
                <w:sz w:val="18"/>
              </w:rPr>
              <w:t>Worse-risk scenarios</w:t>
            </w:r>
          </w:p>
        </w:tc>
        <w:tc>
          <w:tcPr>
            <w:tcW w:type="dxa" w:w="2340"/>
            <w:vAlign w:val="center"/>
          </w:tcPr>
          <w:p>
            <w:pPr>
              <w:spacing w:after="40"/>
            </w:pPr>
            <w:r>
              <w:rPr>
                <w:sz w:val="18"/>
              </w:rPr>
            </w:r>
            <w:r>
              <w:rPr>
                <w:sz w:val="18"/>
              </w:rPr>
              <w:t>-</w:t>
            </w:r>
          </w:p>
        </w:tc>
        <w:tc>
          <w:tcPr>
            <w:tcW w:type="dxa" w:w="2340"/>
            <w:vAlign w:val="center"/>
          </w:tcPr>
          <w:p>
            <w:pPr>
              <w:spacing w:after="40"/>
            </w:pPr>
            <w:r>
              <w:rPr>
                <w:sz w:val="18"/>
              </w:rPr>
            </w:r>
            <w:r>
              <w:rPr>
                <w:sz w:val="18"/>
              </w:rPr>
              <w:t>0/480</w:t>
            </w:r>
          </w:p>
        </w:tc>
        <w:tc>
          <w:tcPr>
            <w:tcW w:type="dxa" w:w="2340"/>
            <w:vAlign w:val="center"/>
          </w:tcPr>
          <w:p>
            <w:pPr>
              <w:spacing w:after="40"/>
            </w:pPr>
            <w:r>
              <w:rPr>
                <w:sz w:val="18"/>
              </w:rPr>
            </w:r>
            <w:r>
              <w:rPr>
                <w:sz w:val="18"/>
              </w:rPr>
              <w:t>0/480</w:t>
            </w:r>
          </w:p>
        </w:tc>
      </w:tr>
      <w:tr>
        <w:tc>
          <w:tcPr>
            <w:tcW w:type="dxa" w:w="2340"/>
            <w:vAlign w:val="center"/>
          </w:tcPr>
          <w:p>
            <w:pPr>
              <w:spacing w:after="40"/>
            </w:pPr>
            <w:r>
              <w:rPr>
                <w:sz w:val="18"/>
              </w:rPr>
            </w:r>
            <w:r>
              <w:rPr>
                <w:sz w:val="18"/>
              </w:rPr>
              <w:t>Override rate, mean</w:t>
            </w:r>
          </w:p>
        </w:tc>
        <w:tc>
          <w:tcPr>
            <w:tcW w:type="dxa" w:w="2340"/>
            <w:vAlign w:val="center"/>
          </w:tcPr>
          <w:p>
            <w:pPr>
              <w:spacing w:after="40"/>
            </w:pPr>
            <w:r>
              <w:rPr>
                <w:sz w:val="18"/>
              </w:rPr>
            </w:r>
            <w:r>
              <w:rPr>
                <w:sz w:val="18"/>
              </w:rPr>
              <w:t>-</w:t>
            </w:r>
          </w:p>
        </w:tc>
        <w:tc>
          <w:tcPr>
            <w:tcW w:type="dxa" w:w="2340"/>
            <w:vAlign w:val="center"/>
          </w:tcPr>
          <w:p>
            <w:pPr>
              <w:spacing w:after="40"/>
            </w:pPr>
            <w:r>
              <w:rPr>
                <w:sz w:val="18"/>
              </w:rPr>
            </w:r>
            <w:r>
              <w:rPr>
                <w:sz w:val="18"/>
              </w:rPr>
              <w:t>0.1542</w:t>
            </w:r>
          </w:p>
        </w:tc>
        <w:tc>
          <w:tcPr>
            <w:tcW w:type="dxa" w:w="2340"/>
            <w:vAlign w:val="center"/>
          </w:tcPr>
          <w:p>
            <w:pPr>
              <w:spacing w:after="40"/>
            </w:pPr>
            <w:r>
              <w:rPr>
                <w:sz w:val="18"/>
              </w:rPr>
            </w:r>
            <w:r>
              <w:rPr>
                <w:sz w:val="18"/>
              </w:rPr>
              <w:t>0.0375 accepted</w:t>
            </w:r>
          </w:p>
        </w:tc>
      </w:tr>
      <w:tr>
        <w:tc>
          <w:tcPr>
            <w:tcW w:type="dxa" w:w="2340"/>
            <w:vAlign w:val="center"/>
          </w:tcPr>
          <w:p>
            <w:pPr>
              <w:spacing w:after="40"/>
            </w:pPr>
            <w:r>
              <w:rPr>
                <w:sz w:val="18"/>
              </w:rPr>
            </w:r>
            <w:r>
              <w:rPr>
                <w:sz w:val="18"/>
              </w:rPr>
              <w:t>Bad override rate, mean</w:t>
            </w:r>
          </w:p>
        </w:tc>
        <w:tc>
          <w:tcPr>
            <w:tcW w:type="dxa" w:w="2340"/>
            <w:vAlign w:val="center"/>
          </w:tcPr>
          <w:p>
            <w:pPr>
              <w:spacing w:after="40"/>
            </w:pPr>
            <w:r>
              <w:rPr>
                <w:sz w:val="18"/>
              </w:rPr>
            </w:r>
            <w:r>
              <w:rPr>
                <w:sz w:val="18"/>
              </w:rPr>
              <w:t>-</w:t>
            </w:r>
          </w:p>
        </w:tc>
        <w:tc>
          <w:tcPr>
            <w:tcW w:type="dxa" w:w="2340"/>
            <w:vAlign w:val="center"/>
          </w:tcPr>
          <w:p>
            <w:pPr>
              <w:spacing w:after="40"/>
            </w:pPr>
            <w:r>
              <w:rPr>
                <w:sz w:val="18"/>
              </w:rPr>
            </w:r>
            <w:r>
              <w:rPr>
                <w:sz w:val="18"/>
              </w:rPr>
              <w:t>0.0583</w:t>
            </w:r>
          </w:p>
        </w:tc>
        <w:tc>
          <w:tcPr>
            <w:tcW w:type="dxa" w:w="2340"/>
            <w:vAlign w:val="center"/>
          </w:tcPr>
          <w:p>
            <w:pPr>
              <w:spacing w:after="40"/>
            </w:pPr>
            <w:r>
              <w:rPr>
                <w:sz w:val="18"/>
              </w:rPr>
            </w:r>
            <w:r>
              <w:rPr>
                <w:sz w:val="18"/>
              </w:rPr>
              <w:t>0.0146</w:t>
            </w:r>
          </w:p>
        </w:tc>
      </w:tr>
      <w:tr>
        <w:tc>
          <w:tcPr>
            <w:tcW w:type="dxa" w:w="2340"/>
            <w:vAlign w:val="center"/>
          </w:tcPr>
          <w:p>
            <w:pPr>
              <w:spacing w:after="40"/>
            </w:pPr>
            <w:r>
              <w:rPr>
                <w:sz w:val="18"/>
              </w:rPr>
            </w:r>
            <w:r>
              <w:rPr>
                <w:sz w:val="18"/>
              </w:rPr>
              <w:t>Successful override rate, mean</w:t>
            </w:r>
          </w:p>
        </w:tc>
        <w:tc>
          <w:tcPr>
            <w:tcW w:type="dxa" w:w="2340"/>
            <w:vAlign w:val="center"/>
          </w:tcPr>
          <w:p>
            <w:pPr>
              <w:spacing w:after="40"/>
            </w:pPr>
            <w:r>
              <w:rPr>
                <w:sz w:val="18"/>
              </w:rPr>
            </w:r>
            <w:r>
              <w:rPr>
                <w:sz w:val="18"/>
              </w:rPr>
              <w:t>-</w:t>
            </w:r>
          </w:p>
        </w:tc>
        <w:tc>
          <w:tcPr>
            <w:tcW w:type="dxa" w:w="2340"/>
            <w:vAlign w:val="center"/>
          </w:tcPr>
          <w:p>
            <w:pPr>
              <w:spacing w:after="40"/>
            </w:pPr>
            <w:r>
              <w:rPr>
                <w:sz w:val="18"/>
              </w:rPr>
            </w:r>
            <w:r>
              <w:rPr>
                <w:sz w:val="18"/>
              </w:rPr>
              <w:t>0.0958</w:t>
            </w:r>
          </w:p>
        </w:tc>
        <w:tc>
          <w:tcPr>
            <w:tcW w:type="dxa" w:w="2340"/>
            <w:vAlign w:val="center"/>
          </w:tcPr>
          <w:p>
            <w:pPr>
              <w:spacing w:after="40"/>
            </w:pPr>
            <w:r>
              <w:rPr>
                <w:sz w:val="18"/>
              </w:rPr>
            </w:r>
            <w:r>
              <w:rPr>
                <w:sz w:val="18"/>
              </w:rPr>
              <w:t>0.0229</w:t>
            </w:r>
          </w:p>
        </w:tc>
      </w:tr>
      <w:tr>
        <w:tc>
          <w:tcPr>
            <w:tcW w:type="dxa" w:w="2340"/>
            <w:vAlign w:val="center"/>
          </w:tcPr>
          <w:p>
            <w:pPr>
              <w:spacing w:after="40"/>
            </w:pPr>
            <w:r>
              <w:rPr>
                <w:sz w:val="18"/>
              </w:rPr>
            </w:r>
            <w:r>
              <w:rPr>
                <w:sz w:val="18"/>
              </w:rPr>
              <w:t>Evidence-insufficient flag rate, mean</w:t>
            </w:r>
          </w:p>
        </w:tc>
        <w:tc>
          <w:tcPr>
            <w:tcW w:type="dxa" w:w="2340"/>
            <w:vAlign w:val="center"/>
          </w:tcPr>
          <w:p>
            <w:pPr>
              <w:spacing w:after="40"/>
            </w:pPr>
            <w:r>
              <w:rPr>
                <w:sz w:val="18"/>
              </w:rPr>
            </w:r>
            <w:r>
              <w:rPr>
                <w:sz w:val="18"/>
              </w:rPr>
              <w:t>-</w:t>
            </w:r>
          </w:p>
        </w:tc>
        <w:tc>
          <w:tcPr>
            <w:tcW w:type="dxa" w:w="2340"/>
            <w:vAlign w:val="center"/>
          </w:tcPr>
          <w:p>
            <w:pPr>
              <w:spacing w:after="40"/>
            </w:pPr>
            <w:r>
              <w:rPr>
                <w:sz w:val="18"/>
              </w:rPr>
            </w:r>
            <w:r>
              <w:rPr>
                <w:sz w:val="18"/>
              </w:rPr>
              <w:t>0.1979</w:t>
            </w:r>
          </w:p>
        </w:tc>
        <w:tc>
          <w:tcPr>
            <w:tcW w:type="dxa" w:w="2340"/>
            <w:vAlign w:val="center"/>
          </w:tcPr>
          <w:p>
            <w:pPr>
              <w:spacing w:after="40"/>
            </w:pPr>
            <w:r>
              <w:rPr>
                <w:sz w:val="18"/>
              </w:rPr>
            </w:r>
            <w:r>
              <w:rPr>
                <w:sz w:val="18"/>
              </w:rPr>
              <w:t>0.1979</w:t>
            </w:r>
          </w:p>
        </w:tc>
      </w:tr>
      <w:tr>
        <w:tc>
          <w:tcPr>
            <w:tcW w:type="dxa" w:w="2340"/>
            <w:vAlign w:val="center"/>
          </w:tcPr>
          <w:p>
            <w:pPr>
              <w:spacing w:after="40"/>
            </w:pPr>
            <w:r>
              <w:rPr>
                <w:sz w:val="18"/>
              </w:rPr>
            </w:r>
            <w:r>
              <w:rPr>
                <w:sz w:val="18"/>
              </w:rPr>
              <w:t>QDSV score margin, mean</w:t>
            </w:r>
          </w:p>
        </w:tc>
        <w:tc>
          <w:tcPr>
            <w:tcW w:type="dxa" w:w="2340"/>
            <w:vAlign w:val="center"/>
          </w:tcPr>
          <w:p>
            <w:pPr>
              <w:spacing w:after="40"/>
            </w:pPr>
            <w:r>
              <w:rPr>
                <w:sz w:val="18"/>
              </w:rPr>
            </w:r>
            <w:r>
              <w:rPr>
                <w:sz w:val="18"/>
              </w:rPr>
              <w:t>-</w:t>
            </w:r>
          </w:p>
        </w:tc>
        <w:tc>
          <w:tcPr>
            <w:tcW w:type="dxa" w:w="2340"/>
            <w:vAlign w:val="center"/>
          </w:tcPr>
          <w:p>
            <w:pPr>
              <w:spacing w:after="40"/>
            </w:pPr>
            <w:r>
              <w:rPr>
                <w:sz w:val="18"/>
              </w:rPr>
            </w:r>
            <w:r>
              <w:rPr>
                <w:sz w:val="18"/>
              </w:rPr>
              <w:t>103.32</w:t>
            </w:r>
          </w:p>
        </w:tc>
        <w:tc>
          <w:tcPr>
            <w:tcW w:type="dxa" w:w="2340"/>
            <w:vAlign w:val="center"/>
          </w:tcPr>
          <w:p>
            <w:pPr>
              <w:spacing w:after="40"/>
            </w:pPr>
            <w:r>
              <w:rPr>
                <w:sz w:val="18"/>
              </w:rPr>
            </w:r>
            <w:r>
              <w:rPr>
                <w:sz w:val="18"/>
              </w:rPr>
              <w:t>103.32</w:t>
            </w:r>
          </w:p>
        </w:tc>
      </w:tr>
      <w:tr>
        <w:tc>
          <w:tcPr>
            <w:tcW w:type="dxa" w:w="2340"/>
            <w:vAlign w:val="center"/>
          </w:tcPr>
          <w:p>
            <w:pPr>
              <w:spacing w:after="40"/>
            </w:pPr>
            <w:r>
              <w:rPr>
                <w:sz w:val="18"/>
              </w:rPr>
            </w:r>
            <w:r>
              <w:rPr>
                <w:sz w:val="18"/>
              </w:rPr>
              <w:t>QDSV decision time, mean</w:t>
            </w:r>
          </w:p>
        </w:tc>
        <w:tc>
          <w:tcPr>
            <w:tcW w:type="dxa" w:w="2340"/>
            <w:vAlign w:val="center"/>
          </w:tcPr>
          <w:p>
            <w:pPr>
              <w:spacing w:after="40"/>
            </w:pPr>
            <w:r>
              <w:rPr>
                <w:sz w:val="18"/>
              </w:rPr>
            </w:r>
            <w:r>
              <w:rPr>
                <w:sz w:val="18"/>
              </w:rPr>
              <w:t>-</w:t>
            </w:r>
          </w:p>
        </w:tc>
        <w:tc>
          <w:tcPr>
            <w:tcW w:type="dxa" w:w="2340"/>
            <w:vAlign w:val="center"/>
          </w:tcPr>
          <w:p>
            <w:pPr>
              <w:spacing w:after="40"/>
            </w:pPr>
            <w:r>
              <w:rPr>
                <w:sz w:val="18"/>
              </w:rPr>
            </w:r>
            <w:r>
              <w:rPr>
                <w:sz w:val="18"/>
              </w:rPr>
              <w:t>2.22 ms</w:t>
            </w:r>
          </w:p>
        </w:tc>
        <w:tc>
          <w:tcPr>
            <w:tcW w:type="dxa" w:w="2340"/>
            <w:vAlign w:val="center"/>
          </w:tcPr>
          <w:p>
            <w:pPr>
              <w:spacing w:after="40"/>
            </w:pPr>
            <w:r>
              <w:rPr>
                <w:sz w:val="18"/>
              </w:rPr>
            </w:r>
            <w:r>
              <w:rPr>
                <w:sz w:val="18"/>
              </w:rPr>
              <w:t>2.22 ms</w:t>
            </w:r>
          </w:p>
        </w:tc>
      </w:tr>
      <w:tr>
        <w:tc>
          <w:tcPr>
            <w:tcW w:type="dxa" w:w="2340"/>
            <w:vAlign w:val="center"/>
          </w:tcPr>
          <w:p>
            <w:pPr>
              <w:spacing w:after="40"/>
            </w:pPr>
            <w:r>
              <w:rPr>
                <w:sz w:val="18"/>
              </w:rPr>
            </w:r>
            <w:r>
              <w:rPr>
                <w:sz w:val="18"/>
              </w:rPr>
              <w:t>Total local policy time, mean</w:t>
            </w:r>
          </w:p>
        </w:tc>
        <w:tc>
          <w:tcPr>
            <w:tcW w:type="dxa" w:w="2340"/>
            <w:vAlign w:val="center"/>
          </w:tcPr>
          <w:p>
            <w:pPr>
              <w:spacing w:after="40"/>
            </w:pPr>
            <w:r>
              <w:rPr>
                <w:sz w:val="18"/>
              </w:rPr>
            </w:r>
            <w:r>
              <w:rPr>
                <w:sz w:val="18"/>
              </w:rPr>
              <w:t>-</w:t>
            </w:r>
          </w:p>
        </w:tc>
        <w:tc>
          <w:tcPr>
            <w:tcW w:type="dxa" w:w="2340"/>
            <w:vAlign w:val="center"/>
          </w:tcPr>
          <w:p>
            <w:pPr>
              <w:spacing w:after="40"/>
            </w:pPr>
            <w:r>
              <w:rPr>
                <w:sz w:val="18"/>
              </w:rPr>
            </w:r>
            <w:r>
              <w:rPr>
                <w:sz w:val="18"/>
              </w:rPr>
              <w:t>50.76 ms</w:t>
            </w:r>
          </w:p>
        </w:tc>
        <w:tc>
          <w:tcPr>
            <w:tcW w:type="dxa" w:w="2340"/>
            <w:vAlign w:val="center"/>
          </w:tcPr>
          <w:p>
            <w:pPr>
              <w:spacing w:after="40"/>
            </w:pPr>
            <w:r>
              <w:rPr>
                <w:sz w:val="18"/>
              </w:rPr>
            </w:r>
            <w:r>
              <w:rPr>
                <w:sz w:val="18"/>
              </w:rPr>
              <w:t>50.76 ms</w:t>
            </w:r>
          </w:p>
        </w:tc>
      </w:tr>
    </w:tbl>
    <w:p/>
    <w:p>
      <w:r>
        <w:t>Interpretation: raw QDSV/QIntent provided stable risk reduction across seeds with no worse-risk selections under this configuration. Guarded QDSV/QIntent accepted fewer overrides, preserved a modest exact-rate improvement over baseline and reduced the bad override rate from 5.83% to 1.46%.</w:t>
      </w:r>
    </w:p>
    <w:p>
      <w:r>
        <w:t>The added timing and uncertainty instrumentation shows that this configuration is not yet a real-time decoder implementation, but the QDSV scoring step itself is small relative to candidate generation. The evidence-insufficient flag rate also provides a reproducible way to identify cases where the available signals may be too weak for a confident correction decision.</w:t>
      </w:r>
    </w:p>
    <w:p>
      <w:pPr>
        <w:pStyle w:val="Heading2"/>
      </w:pPr>
      <w:r>
        <w:t>6.4 External `ldpc` Decoder-Ensemble Recovery</w:t>
      </w:r>
    </w:p>
    <w:p>
      <w:r>
        <w:t>Configuration:</w:t>
      </w:r>
    </w:p>
    <w:p>
      <w:pPr>
        <w:pStyle w:val="QDSVCode"/>
      </w:pPr>
      <w:r>
        <w:t>External package: ldpc==2.4.1</w:t>
      </w:r>
    </w:p>
    <w:p>
      <w:pPr>
        <w:pStyle w:val="QDSVCode"/>
      </w:pPr>
      <w:r>
        <w:t>Decoders: BP, BP+OSD, BP+LSD</w:t>
      </w:r>
    </w:p>
    <w:p>
      <w:pPr>
        <w:pStyle w:val="QDSVCode"/>
      </w:pPr>
      <w:r>
        <w:t>Collected scenarios: BP-failure cases</w:t>
      </w:r>
    </w:p>
    <w:p>
      <w:pPr>
        <w:pStyle w:val="QDSVCode"/>
      </w:pPr>
      <w:r>
        <w:t>Seeds: 8</w:t>
      </w:r>
    </w:p>
    <w:p>
      <w:pPr>
        <w:pStyle w:val="QDSVCode"/>
      </w:pPr>
      <w:r>
        <w:t>Total BP-failure scenarios: 168</w:t>
      </w:r>
    </w:p>
    <w:tbl>
      <w:tblPr>
        <w:tblStyle w:val="TableGrid"/>
        <w:tblW w:type="dxa" w:w="9360"/>
        <w:jc w:val="center"/>
        <w:tblLook w:firstColumn="1" w:firstRow="1" w:lastColumn="0" w:lastRow="0" w:noHBand="0" w:noVBand="1" w:val="04A0"/>
        <w:tblCellMar>
          <w:top w:w="80" w:type="dxa"/>
          <w:start w:w="120" w:type="dxa"/>
          <w:bottom w:w="80" w:type="dxa"/>
          <w:end w:w="120" w:type="dxa"/>
        </w:tblCellMar>
      </w:tblPr>
      <w:tblGrid>
        <w:gridCol w:w="2340"/>
        <w:gridCol w:w="2340"/>
        <w:gridCol w:w="2340"/>
        <w:gridCol w:w="2340"/>
      </w:tblGrid>
      <w:tr>
        <w:tc>
          <w:tcPr>
            <w:tcW w:type="dxa" w:w="2340"/>
            <w:vAlign w:val="center"/>
            <w:shd w:fill="F2F4F7"/>
          </w:tcPr>
          <w:p>
            <w:pPr>
              <w:spacing w:after="40"/>
            </w:pPr>
            <w:r>
              <w:rPr>
                <w:b/>
                <w:sz w:val="18"/>
              </w:rPr>
            </w:r>
            <w:r>
              <w:rPr>
                <w:b/>
                <w:sz w:val="18"/>
              </w:rPr>
              <w:t>Metric</w:t>
            </w:r>
          </w:p>
        </w:tc>
        <w:tc>
          <w:tcPr>
            <w:tcW w:type="dxa" w:w="2340"/>
            <w:vAlign w:val="center"/>
            <w:shd w:fill="F2F4F7"/>
          </w:tcPr>
          <w:p>
            <w:pPr>
              <w:spacing w:after="40"/>
            </w:pPr>
            <w:r>
              <w:rPr>
                <w:b/>
                <w:sz w:val="18"/>
              </w:rPr>
            </w:r>
            <w:r>
              <w:rPr>
                <w:b/>
                <w:sz w:val="18"/>
              </w:rPr>
              <w:t>BP-only baseline</w:t>
            </w:r>
          </w:p>
        </w:tc>
        <w:tc>
          <w:tcPr>
            <w:tcW w:type="dxa" w:w="2340"/>
            <w:vAlign w:val="center"/>
            <w:shd w:fill="F2F4F7"/>
          </w:tcPr>
          <w:p>
            <w:pPr>
              <w:spacing w:after="40"/>
            </w:pPr>
            <w:r>
              <w:rPr>
                <w:b/>
                <w:sz w:val="18"/>
              </w:rPr>
            </w:r>
            <w:r>
              <w:rPr>
                <w:b/>
                <w:sz w:val="18"/>
              </w:rPr>
              <w:t>QDSV raw ensemble</w:t>
            </w:r>
          </w:p>
        </w:tc>
        <w:tc>
          <w:tcPr>
            <w:tcW w:type="dxa" w:w="2340"/>
            <w:vAlign w:val="center"/>
            <w:shd w:fill="F2F4F7"/>
          </w:tcPr>
          <w:p>
            <w:pPr>
              <w:spacing w:after="40"/>
            </w:pPr>
            <w:r>
              <w:rPr>
                <w:b/>
                <w:sz w:val="18"/>
              </w:rPr>
            </w:r>
            <w:r>
              <w:rPr>
                <w:b/>
                <w:sz w:val="18"/>
              </w:rPr>
              <w:t>QDSV guarded ensemble</w:t>
            </w:r>
          </w:p>
        </w:tc>
      </w:tr>
      <w:tr>
        <w:tc>
          <w:tcPr>
            <w:tcW w:type="dxa" w:w="2340"/>
            <w:vAlign w:val="center"/>
          </w:tcPr>
          <w:p>
            <w:pPr>
              <w:spacing w:after="40"/>
            </w:pPr>
            <w:r>
              <w:rPr>
                <w:sz w:val="18"/>
              </w:rPr>
            </w:r>
            <w:r>
              <w:rPr>
                <w:sz w:val="18"/>
              </w:rPr>
              <w:t>Exact correction rate, mean</w:t>
            </w:r>
          </w:p>
        </w:tc>
        <w:tc>
          <w:tcPr>
            <w:tcW w:type="dxa" w:w="2340"/>
            <w:vAlign w:val="center"/>
          </w:tcPr>
          <w:p>
            <w:pPr>
              <w:spacing w:after="40"/>
            </w:pPr>
            <w:r>
              <w:rPr>
                <w:sz w:val="18"/>
              </w:rPr>
            </w:r>
            <w:r>
              <w:rPr>
                <w:sz w:val="18"/>
              </w:rPr>
              <w:t>0.0000</w:t>
            </w:r>
          </w:p>
        </w:tc>
        <w:tc>
          <w:tcPr>
            <w:tcW w:type="dxa" w:w="2340"/>
            <w:vAlign w:val="center"/>
          </w:tcPr>
          <w:p>
            <w:pPr>
              <w:spacing w:after="40"/>
            </w:pPr>
            <w:r>
              <w:rPr>
                <w:sz w:val="18"/>
              </w:rPr>
            </w:r>
            <w:r>
              <w:rPr>
                <w:sz w:val="18"/>
              </w:rPr>
              <w:t>0.5307</w:t>
            </w:r>
          </w:p>
        </w:tc>
        <w:tc>
          <w:tcPr>
            <w:tcW w:type="dxa" w:w="2340"/>
            <w:vAlign w:val="center"/>
          </w:tcPr>
          <w:p>
            <w:pPr>
              <w:spacing w:after="40"/>
            </w:pPr>
            <w:r>
              <w:rPr>
                <w:sz w:val="18"/>
              </w:rPr>
            </w:r>
            <w:r>
              <w:rPr>
                <w:sz w:val="18"/>
              </w:rPr>
              <w:t>0.1915</w:t>
            </w:r>
          </w:p>
        </w:tc>
      </w:tr>
      <w:tr>
        <w:tc>
          <w:tcPr>
            <w:tcW w:type="dxa" w:w="2340"/>
            <w:vAlign w:val="center"/>
          </w:tcPr>
          <w:p>
            <w:pPr>
              <w:spacing w:after="40"/>
            </w:pPr>
            <w:r>
              <w:rPr>
                <w:sz w:val="18"/>
              </w:rPr>
            </w:r>
            <w:r>
              <w:rPr>
                <w:sz w:val="18"/>
              </w:rPr>
              <w:t>Logical-failure proxy rate, mean</w:t>
            </w:r>
          </w:p>
        </w:tc>
        <w:tc>
          <w:tcPr>
            <w:tcW w:type="dxa" w:w="2340"/>
            <w:vAlign w:val="center"/>
          </w:tcPr>
          <w:p>
            <w:pPr>
              <w:spacing w:after="40"/>
            </w:pPr>
            <w:r>
              <w:rPr>
                <w:sz w:val="18"/>
              </w:rPr>
            </w:r>
            <w:r>
              <w:rPr>
                <w:sz w:val="18"/>
              </w:rPr>
              <w:t>0.4866</w:t>
            </w:r>
          </w:p>
        </w:tc>
        <w:tc>
          <w:tcPr>
            <w:tcW w:type="dxa" w:w="2340"/>
            <w:vAlign w:val="center"/>
          </w:tcPr>
          <w:p>
            <w:pPr>
              <w:spacing w:after="40"/>
            </w:pPr>
            <w:r>
              <w:rPr>
                <w:sz w:val="18"/>
              </w:rPr>
            </w:r>
            <w:r>
              <w:rPr>
                <w:sz w:val="18"/>
              </w:rPr>
              <w:t>0.2420</w:t>
            </w:r>
          </w:p>
        </w:tc>
        <w:tc>
          <w:tcPr>
            <w:tcW w:type="dxa" w:w="2340"/>
            <w:vAlign w:val="center"/>
          </w:tcPr>
          <w:p>
            <w:pPr>
              <w:spacing w:after="40"/>
            </w:pPr>
            <w:r>
              <w:rPr>
                <w:sz w:val="18"/>
              </w:rPr>
            </w:r>
            <w:r>
              <w:rPr>
                <w:sz w:val="18"/>
              </w:rPr>
              <w:t>0.3565</w:t>
            </w:r>
          </w:p>
        </w:tc>
      </w:tr>
      <w:tr>
        <w:tc>
          <w:tcPr>
            <w:tcW w:type="dxa" w:w="2340"/>
            <w:vAlign w:val="center"/>
          </w:tcPr>
          <w:p>
            <w:pPr>
              <w:spacing w:after="40"/>
            </w:pPr>
            <w:r>
              <w:rPr>
                <w:sz w:val="18"/>
              </w:rPr>
            </w:r>
            <w:r>
              <w:rPr>
                <w:sz w:val="18"/>
              </w:rPr>
              <w:t>Average logical risk, mean</w:t>
            </w:r>
          </w:p>
        </w:tc>
        <w:tc>
          <w:tcPr>
            <w:tcW w:type="dxa" w:w="2340"/>
            <w:vAlign w:val="center"/>
          </w:tcPr>
          <w:p>
            <w:pPr>
              <w:spacing w:after="40"/>
            </w:pPr>
            <w:r>
              <w:rPr>
                <w:sz w:val="18"/>
              </w:rPr>
            </w:r>
            <w:r>
              <w:rPr>
                <w:sz w:val="18"/>
              </w:rPr>
              <w:t>165.02</w:t>
            </w:r>
          </w:p>
        </w:tc>
        <w:tc>
          <w:tcPr>
            <w:tcW w:type="dxa" w:w="2340"/>
            <w:vAlign w:val="center"/>
          </w:tcPr>
          <w:p>
            <w:pPr>
              <w:spacing w:after="40"/>
            </w:pPr>
            <w:r>
              <w:rPr>
                <w:sz w:val="18"/>
              </w:rPr>
            </w:r>
            <w:r>
              <w:rPr>
                <w:sz w:val="18"/>
              </w:rPr>
              <w:t>129.14</w:t>
            </w:r>
          </w:p>
        </w:tc>
        <w:tc>
          <w:tcPr>
            <w:tcW w:type="dxa" w:w="2340"/>
            <w:vAlign w:val="center"/>
          </w:tcPr>
          <w:p>
            <w:pPr>
              <w:spacing w:after="40"/>
            </w:pPr>
            <w:r>
              <w:rPr>
                <w:sz w:val="18"/>
              </w:rPr>
            </w:r>
            <w:r>
              <w:rPr>
                <w:sz w:val="18"/>
              </w:rPr>
              <w:t>124.81</w:t>
            </w:r>
          </w:p>
        </w:tc>
      </w:tr>
      <w:tr>
        <w:tc>
          <w:tcPr>
            <w:tcW w:type="dxa" w:w="2340"/>
            <w:vAlign w:val="center"/>
          </w:tcPr>
          <w:p>
            <w:pPr>
              <w:spacing w:after="40"/>
            </w:pPr>
            <w:r>
              <w:rPr>
                <w:sz w:val="18"/>
              </w:rPr>
            </w:r>
            <w:r>
              <w:rPr>
                <w:sz w:val="18"/>
              </w:rPr>
              <w:t>Average risk delta, mean</w:t>
            </w:r>
          </w:p>
        </w:tc>
        <w:tc>
          <w:tcPr>
            <w:tcW w:type="dxa" w:w="2340"/>
            <w:vAlign w:val="center"/>
          </w:tcPr>
          <w:p>
            <w:pPr>
              <w:spacing w:after="40"/>
            </w:pPr>
            <w:r>
              <w:rPr>
                <w:sz w:val="18"/>
              </w:rPr>
            </w:r>
            <w:r>
              <w:rPr>
                <w:sz w:val="18"/>
              </w:rPr>
              <w:t>-</w:t>
            </w:r>
          </w:p>
        </w:tc>
        <w:tc>
          <w:tcPr>
            <w:tcW w:type="dxa" w:w="2340"/>
            <w:vAlign w:val="center"/>
          </w:tcPr>
          <w:p>
            <w:pPr>
              <w:spacing w:after="40"/>
            </w:pPr>
            <w:r>
              <w:rPr>
                <w:sz w:val="18"/>
              </w:rPr>
            </w:r>
            <w:r>
              <w:rPr>
                <w:sz w:val="18"/>
              </w:rPr>
              <w:t>35.88</w:t>
            </w:r>
          </w:p>
        </w:tc>
        <w:tc>
          <w:tcPr>
            <w:tcW w:type="dxa" w:w="2340"/>
            <w:vAlign w:val="center"/>
          </w:tcPr>
          <w:p>
            <w:pPr>
              <w:spacing w:after="40"/>
            </w:pPr>
            <w:r>
              <w:rPr>
                <w:sz w:val="18"/>
              </w:rPr>
            </w:r>
            <w:r>
              <w:rPr>
                <w:sz w:val="18"/>
              </w:rPr>
              <w:t>40.21</w:t>
            </w:r>
          </w:p>
        </w:tc>
      </w:tr>
      <w:tr>
        <w:tc>
          <w:tcPr>
            <w:tcW w:type="dxa" w:w="2340"/>
            <w:vAlign w:val="center"/>
          </w:tcPr>
          <w:p>
            <w:pPr>
              <w:spacing w:after="40"/>
            </w:pPr>
            <w:r>
              <w:rPr>
                <w:sz w:val="18"/>
              </w:rPr>
            </w:r>
            <w:r>
              <w:rPr>
                <w:sz w:val="18"/>
              </w:rPr>
              <w:t>Improved-risk scenarios</w:t>
            </w:r>
          </w:p>
        </w:tc>
        <w:tc>
          <w:tcPr>
            <w:tcW w:type="dxa" w:w="2340"/>
            <w:vAlign w:val="center"/>
          </w:tcPr>
          <w:p>
            <w:pPr>
              <w:spacing w:after="40"/>
            </w:pPr>
            <w:r>
              <w:rPr>
                <w:sz w:val="18"/>
              </w:rPr>
            </w:r>
            <w:r>
              <w:rPr>
                <w:sz w:val="18"/>
              </w:rPr>
              <w:t>-</w:t>
            </w:r>
          </w:p>
        </w:tc>
        <w:tc>
          <w:tcPr>
            <w:tcW w:type="dxa" w:w="2340"/>
            <w:vAlign w:val="center"/>
          </w:tcPr>
          <w:p>
            <w:pPr>
              <w:spacing w:after="40"/>
            </w:pPr>
            <w:r>
              <w:rPr>
                <w:sz w:val="18"/>
              </w:rPr>
            </w:r>
            <w:r>
              <w:rPr>
                <w:sz w:val="18"/>
              </w:rPr>
              <w:t>61/168</w:t>
            </w:r>
          </w:p>
        </w:tc>
        <w:tc>
          <w:tcPr>
            <w:tcW w:type="dxa" w:w="2340"/>
            <w:vAlign w:val="center"/>
          </w:tcPr>
          <w:p>
            <w:pPr>
              <w:spacing w:after="40"/>
            </w:pPr>
            <w:r>
              <w:rPr>
                <w:sz w:val="18"/>
              </w:rPr>
            </w:r>
            <w:r>
              <w:rPr>
                <w:sz w:val="18"/>
              </w:rPr>
              <w:t>34/168</w:t>
            </w:r>
          </w:p>
        </w:tc>
      </w:tr>
      <w:tr>
        <w:tc>
          <w:tcPr>
            <w:tcW w:type="dxa" w:w="2340"/>
            <w:vAlign w:val="center"/>
          </w:tcPr>
          <w:p>
            <w:pPr>
              <w:spacing w:after="40"/>
            </w:pPr>
            <w:r>
              <w:rPr>
                <w:sz w:val="18"/>
              </w:rPr>
            </w:r>
            <w:r>
              <w:rPr>
                <w:sz w:val="18"/>
              </w:rPr>
              <w:t>Worse-risk scenarios</w:t>
            </w:r>
          </w:p>
        </w:tc>
        <w:tc>
          <w:tcPr>
            <w:tcW w:type="dxa" w:w="2340"/>
            <w:vAlign w:val="center"/>
          </w:tcPr>
          <w:p>
            <w:pPr>
              <w:spacing w:after="40"/>
            </w:pPr>
            <w:r>
              <w:rPr>
                <w:sz w:val="18"/>
              </w:rPr>
            </w:r>
            <w:r>
              <w:rPr>
                <w:sz w:val="18"/>
              </w:rPr>
              <w:t>-</w:t>
            </w:r>
          </w:p>
        </w:tc>
        <w:tc>
          <w:tcPr>
            <w:tcW w:type="dxa" w:w="2340"/>
            <w:vAlign w:val="center"/>
          </w:tcPr>
          <w:p>
            <w:pPr>
              <w:spacing w:after="40"/>
            </w:pPr>
            <w:r>
              <w:rPr>
                <w:sz w:val="18"/>
              </w:rPr>
            </w:r>
            <w:r>
              <w:rPr>
                <w:sz w:val="18"/>
              </w:rPr>
              <w:t>28/168</w:t>
            </w:r>
          </w:p>
        </w:tc>
        <w:tc>
          <w:tcPr>
            <w:tcW w:type="dxa" w:w="2340"/>
            <w:vAlign w:val="center"/>
          </w:tcPr>
          <w:p>
            <w:pPr>
              <w:spacing w:after="40"/>
            </w:pPr>
            <w:r>
              <w:rPr>
                <w:sz w:val="18"/>
              </w:rPr>
            </w:r>
            <w:r>
              <w:rPr>
                <w:sz w:val="18"/>
              </w:rPr>
              <w:t>0/168</w:t>
            </w:r>
          </w:p>
        </w:tc>
      </w:tr>
      <w:tr>
        <w:tc>
          <w:tcPr>
            <w:tcW w:type="dxa" w:w="2340"/>
            <w:vAlign w:val="center"/>
          </w:tcPr>
          <w:p>
            <w:pPr>
              <w:spacing w:after="40"/>
            </w:pPr>
            <w:r>
              <w:rPr>
                <w:sz w:val="18"/>
              </w:rPr>
            </w:r>
            <w:r>
              <w:rPr>
                <w:sz w:val="18"/>
              </w:rPr>
              <w:t>Override rate, mean</w:t>
            </w:r>
          </w:p>
        </w:tc>
        <w:tc>
          <w:tcPr>
            <w:tcW w:type="dxa" w:w="2340"/>
            <w:vAlign w:val="center"/>
          </w:tcPr>
          <w:p>
            <w:pPr>
              <w:spacing w:after="40"/>
            </w:pPr>
            <w:r>
              <w:rPr>
                <w:sz w:val="18"/>
              </w:rPr>
            </w:r>
            <w:r>
              <w:rPr>
                <w:sz w:val="18"/>
              </w:rPr>
              <w:t>-</w:t>
            </w:r>
          </w:p>
        </w:tc>
        <w:tc>
          <w:tcPr>
            <w:tcW w:type="dxa" w:w="2340"/>
            <w:vAlign w:val="center"/>
          </w:tcPr>
          <w:p>
            <w:pPr>
              <w:spacing w:after="40"/>
            </w:pPr>
            <w:r>
              <w:rPr>
                <w:sz w:val="18"/>
              </w:rPr>
            </w:r>
            <w:r>
              <w:rPr>
                <w:sz w:val="18"/>
              </w:rPr>
              <w:t>0.5482</w:t>
            </w:r>
          </w:p>
        </w:tc>
        <w:tc>
          <w:tcPr>
            <w:tcW w:type="dxa" w:w="2340"/>
            <w:vAlign w:val="center"/>
          </w:tcPr>
          <w:p>
            <w:pPr>
              <w:spacing w:after="40"/>
            </w:pPr>
            <w:r>
              <w:rPr>
                <w:sz w:val="18"/>
              </w:rPr>
            </w:r>
            <w:r>
              <w:rPr>
                <w:sz w:val="18"/>
              </w:rPr>
              <w:t>0.1985 accepted</w:t>
            </w:r>
          </w:p>
        </w:tc>
      </w:tr>
      <w:tr>
        <w:tc>
          <w:tcPr>
            <w:tcW w:type="dxa" w:w="2340"/>
            <w:vAlign w:val="center"/>
          </w:tcPr>
          <w:p>
            <w:pPr>
              <w:spacing w:after="40"/>
            </w:pPr>
            <w:r>
              <w:rPr>
                <w:sz w:val="18"/>
              </w:rPr>
            </w:r>
            <w:r>
              <w:rPr>
                <w:sz w:val="18"/>
              </w:rPr>
              <w:t>Bad override rate, mean</w:t>
            </w:r>
          </w:p>
        </w:tc>
        <w:tc>
          <w:tcPr>
            <w:tcW w:type="dxa" w:w="2340"/>
            <w:vAlign w:val="center"/>
          </w:tcPr>
          <w:p>
            <w:pPr>
              <w:spacing w:after="40"/>
            </w:pPr>
            <w:r>
              <w:rPr>
                <w:sz w:val="18"/>
              </w:rPr>
            </w:r>
            <w:r>
              <w:rPr>
                <w:sz w:val="18"/>
              </w:rPr>
              <w:t>-</w:t>
            </w:r>
          </w:p>
        </w:tc>
        <w:tc>
          <w:tcPr>
            <w:tcW w:type="dxa" w:w="2340"/>
            <w:vAlign w:val="center"/>
          </w:tcPr>
          <w:p>
            <w:pPr>
              <w:spacing w:after="40"/>
            </w:pPr>
            <w:r>
              <w:rPr>
                <w:sz w:val="18"/>
              </w:rPr>
            </w:r>
            <w:r>
              <w:rPr>
                <w:sz w:val="18"/>
              </w:rPr>
              <w:t>0.1618</w:t>
            </w:r>
          </w:p>
        </w:tc>
        <w:tc>
          <w:tcPr>
            <w:tcW w:type="dxa" w:w="2340"/>
            <w:vAlign w:val="center"/>
          </w:tcPr>
          <w:p>
            <w:pPr>
              <w:spacing w:after="40"/>
            </w:pPr>
            <w:r>
              <w:rPr>
                <w:sz w:val="18"/>
              </w:rPr>
            </w:r>
            <w:r>
              <w:rPr>
                <w:sz w:val="18"/>
              </w:rPr>
              <w:t>0.0069</w:t>
            </w:r>
          </w:p>
        </w:tc>
      </w:tr>
      <w:tr>
        <w:tc>
          <w:tcPr>
            <w:tcW w:type="dxa" w:w="2340"/>
            <w:vAlign w:val="center"/>
          </w:tcPr>
          <w:p>
            <w:pPr>
              <w:spacing w:after="40"/>
            </w:pPr>
            <w:r>
              <w:rPr>
                <w:sz w:val="18"/>
              </w:rPr>
            </w:r>
            <w:r>
              <w:rPr>
                <w:sz w:val="18"/>
              </w:rPr>
              <w:t>Successful override rate, mean</w:t>
            </w:r>
          </w:p>
        </w:tc>
        <w:tc>
          <w:tcPr>
            <w:tcW w:type="dxa" w:w="2340"/>
            <w:vAlign w:val="center"/>
          </w:tcPr>
          <w:p>
            <w:pPr>
              <w:spacing w:after="40"/>
            </w:pPr>
            <w:r>
              <w:rPr>
                <w:sz w:val="18"/>
              </w:rPr>
            </w:r>
            <w:r>
              <w:rPr>
                <w:sz w:val="18"/>
              </w:rPr>
              <w:t>-</w:t>
            </w:r>
          </w:p>
        </w:tc>
        <w:tc>
          <w:tcPr>
            <w:tcW w:type="dxa" w:w="2340"/>
            <w:vAlign w:val="center"/>
          </w:tcPr>
          <w:p>
            <w:pPr>
              <w:spacing w:after="40"/>
            </w:pPr>
            <w:r>
              <w:rPr>
                <w:sz w:val="18"/>
              </w:rPr>
            </w:r>
            <w:r>
              <w:rPr>
                <w:sz w:val="18"/>
              </w:rPr>
              <w:t>0.3553</w:t>
            </w:r>
          </w:p>
        </w:tc>
        <w:tc>
          <w:tcPr>
            <w:tcW w:type="dxa" w:w="2340"/>
            <w:vAlign w:val="center"/>
          </w:tcPr>
          <w:p>
            <w:pPr>
              <w:spacing w:after="40"/>
            </w:pPr>
            <w:r>
              <w:rPr>
                <w:sz w:val="18"/>
              </w:rPr>
            </w:r>
            <w:r>
              <w:rPr>
                <w:sz w:val="18"/>
              </w:rPr>
              <w:t>0.1915</w:t>
            </w:r>
          </w:p>
        </w:tc>
      </w:tr>
      <w:tr>
        <w:tc>
          <w:tcPr>
            <w:tcW w:type="dxa" w:w="2340"/>
            <w:vAlign w:val="center"/>
          </w:tcPr>
          <w:p>
            <w:pPr>
              <w:spacing w:after="40"/>
            </w:pPr>
            <w:r>
              <w:rPr>
                <w:sz w:val="18"/>
              </w:rPr>
            </w:r>
            <w:r>
              <w:rPr>
                <w:sz w:val="18"/>
              </w:rPr>
              <w:t>Evidence-insufficient flag rate, mean</w:t>
            </w:r>
          </w:p>
        </w:tc>
        <w:tc>
          <w:tcPr>
            <w:tcW w:type="dxa" w:w="2340"/>
            <w:vAlign w:val="center"/>
          </w:tcPr>
          <w:p>
            <w:pPr>
              <w:spacing w:after="40"/>
            </w:pPr>
            <w:r>
              <w:rPr>
                <w:sz w:val="18"/>
              </w:rPr>
            </w:r>
            <w:r>
              <w:rPr>
                <w:sz w:val="18"/>
              </w:rPr>
              <w:t>-</w:t>
            </w:r>
          </w:p>
        </w:tc>
        <w:tc>
          <w:tcPr>
            <w:tcW w:type="dxa" w:w="2340"/>
            <w:vAlign w:val="center"/>
          </w:tcPr>
          <w:p>
            <w:pPr>
              <w:spacing w:after="40"/>
            </w:pPr>
            <w:r>
              <w:rPr>
                <w:sz w:val="18"/>
              </w:rPr>
            </w:r>
            <w:r>
              <w:rPr>
                <w:sz w:val="18"/>
              </w:rPr>
              <w:t>0.0551</w:t>
            </w:r>
          </w:p>
        </w:tc>
        <w:tc>
          <w:tcPr>
            <w:tcW w:type="dxa" w:w="2340"/>
            <w:vAlign w:val="center"/>
          </w:tcPr>
          <w:p>
            <w:pPr>
              <w:spacing w:after="40"/>
            </w:pPr>
            <w:r>
              <w:rPr>
                <w:sz w:val="18"/>
              </w:rPr>
            </w:r>
            <w:r>
              <w:rPr>
                <w:sz w:val="18"/>
              </w:rPr>
              <w:t>0.0551</w:t>
            </w:r>
          </w:p>
        </w:tc>
      </w:tr>
      <w:tr>
        <w:tc>
          <w:tcPr>
            <w:tcW w:type="dxa" w:w="2340"/>
            <w:vAlign w:val="center"/>
          </w:tcPr>
          <w:p>
            <w:pPr>
              <w:spacing w:after="40"/>
            </w:pPr>
            <w:r>
              <w:rPr>
                <w:sz w:val="18"/>
              </w:rPr>
            </w:r>
            <w:r>
              <w:rPr>
                <w:sz w:val="18"/>
              </w:rPr>
              <w:t>QDSV score margin, mean</w:t>
            </w:r>
          </w:p>
        </w:tc>
        <w:tc>
          <w:tcPr>
            <w:tcW w:type="dxa" w:w="2340"/>
            <w:vAlign w:val="center"/>
          </w:tcPr>
          <w:p>
            <w:pPr>
              <w:spacing w:after="40"/>
            </w:pPr>
            <w:r>
              <w:rPr>
                <w:sz w:val="18"/>
              </w:rPr>
            </w:r>
            <w:r>
              <w:rPr>
                <w:sz w:val="18"/>
              </w:rPr>
              <w:t>-</w:t>
            </w:r>
          </w:p>
        </w:tc>
        <w:tc>
          <w:tcPr>
            <w:tcW w:type="dxa" w:w="2340"/>
            <w:vAlign w:val="center"/>
          </w:tcPr>
          <w:p>
            <w:pPr>
              <w:spacing w:after="40"/>
            </w:pPr>
            <w:r>
              <w:rPr>
                <w:sz w:val="18"/>
              </w:rPr>
            </w:r>
            <w:r>
              <w:rPr>
                <w:sz w:val="18"/>
              </w:rPr>
              <w:t>216.78</w:t>
            </w:r>
          </w:p>
        </w:tc>
        <w:tc>
          <w:tcPr>
            <w:tcW w:type="dxa" w:w="2340"/>
            <w:vAlign w:val="center"/>
          </w:tcPr>
          <w:p>
            <w:pPr>
              <w:spacing w:after="40"/>
            </w:pPr>
            <w:r>
              <w:rPr>
                <w:sz w:val="18"/>
              </w:rPr>
            </w:r>
            <w:r>
              <w:rPr>
                <w:sz w:val="18"/>
              </w:rPr>
              <w:t>216.78</w:t>
            </w:r>
          </w:p>
        </w:tc>
      </w:tr>
      <w:tr>
        <w:tc>
          <w:tcPr>
            <w:tcW w:type="dxa" w:w="2340"/>
            <w:vAlign w:val="center"/>
          </w:tcPr>
          <w:p>
            <w:pPr>
              <w:spacing w:after="40"/>
            </w:pPr>
            <w:r>
              <w:rPr>
                <w:sz w:val="18"/>
              </w:rPr>
            </w:r>
            <w:r>
              <w:rPr>
                <w:sz w:val="18"/>
              </w:rPr>
              <w:t>QDSV decision time, mean</w:t>
            </w:r>
          </w:p>
        </w:tc>
        <w:tc>
          <w:tcPr>
            <w:tcW w:type="dxa" w:w="2340"/>
            <w:vAlign w:val="center"/>
          </w:tcPr>
          <w:p>
            <w:pPr>
              <w:spacing w:after="40"/>
            </w:pPr>
            <w:r>
              <w:rPr>
                <w:sz w:val="18"/>
              </w:rPr>
            </w:r>
            <w:r>
              <w:rPr>
                <w:sz w:val="18"/>
              </w:rPr>
              <w:t>-</w:t>
            </w:r>
          </w:p>
        </w:tc>
        <w:tc>
          <w:tcPr>
            <w:tcW w:type="dxa" w:w="2340"/>
            <w:vAlign w:val="center"/>
          </w:tcPr>
          <w:p>
            <w:pPr>
              <w:spacing w:after="40"/>
            </w:pPr>
            <w:r>
              <w:rPr>
                <w:sz w:val="18"/>
              </w:rPr>
            </w:r>
            <w:r>
              <w:rPr>
                <w:sz w:val="18"/>
              </w:rPr>
              <w:t>0.79 ms</w:t>
            </w:r>
          </w:p>
        </w:tc>
        <w:tc>
          <w:tcPr>
            <w:tcW w:type="dxa" w:w="2340"/>
            <w:vAlign w:val="center"/>
          </w:tcPr>
          <w:p>
            <w:pPr>
              <w:spacing w:after="40"/>
            </w:pPr>
            <w:r>
              <w:rPr>
                <w:sz w:val="18"/>
              </w:rPr>
            </w:r>
            <w:r>
              <w:rPr>
                <w:sz w:val="18"/>
              </w:rPr>
              <w:t>0.79 ms</w:t>
            </w:r>
          </w:p>
        </w:tc>
      </w:tr>
      <w:tr>
        <w:tc>
          <w:tcPr>
            <w:tcW w:type="dxa" w:w="2340"/>
            <w:vAlign w:val="center"/>
          </w:tcPr>
          <w:p>
            <w:pPr>
              <w:spacing w:after="40"/>
            </w:pPr>
            <w:r>
              <w:rPr>
                <w:sz w:val="18"/>
              </w:rPr>
            </w:r>
            <w:r>
              <w:rPr>
                <w:sz w:val="18"/>
              </w:rPr>
              <w:t>Total local policy time, mean</w:t>
            </w:r>
          </w:p>
        </w:tc>
        <w:tc>
          <w:tcPr>
            <w:tcW w:type="dxa" w:w="2340"/>
            <w:vAlign w:val="center"/>
          </w:tcPr>
          <w:p>
            <w:pPr>
              <w:spacing w:after="40"/>
            </w:pPr>
            <w:r>
              <w:rPr>
                <w:sz w:val="18"/>
              </w:rPr>
            </w:r>
            <w:r>
              <w:rPr>
                <w:sz w:val="18"/>
              </w:rPr>
              <w:t>-</w:t>
            </w:r>
          </w:p>
        </w:tc>
        <w:tc>
          <w:tcPr>
            <w:tcW w:type="dxa" w:w="2340"/>
            <w:vAlign w:val="center"/>
          </w:tcPr>
          <w:p>
            <w:pPr>
              <w:spacing w:after="40"/>
            </w:pPr>
            <w:r>
              <w:rPr>
                <w:sz w:val="18"/>
              </w:rPr>
            </w:r>
            <w:r>
              <w:rPr>
                <w:sz w:val="18"/>
              </w:rPr>
              <w:t>10.88 ms</w:t>
            </w:r>
          </w:p>
        </w:tc>
        <w:tc>
          <w:tcPr>
            <w:tcW w:type="dxa" w:w="2340"/>
            <w:vAlign w:val="center"/>
          </w:tcPr>
          <w:p>
            <w:pPr>
              <w:spacing w:after="40"/>
            </w:pPr>
            <w:r>
              <w:rPr>
                <w:sz w:val="18"/>
              </w:rPr>
            </w:r>
            <w:r>
              <w:rPr>
                <w:sz w:val="18"/>
              </w:rPr>
              <w:t>10.88 ms</w:t>
            </w:r>
          </w:p>
        </w:tc>
      </w:tr>
    </w:tbl>
    <w:p/>
    <w:p>
      <w:r>
        <w:t>Interpretation: when BP fails, raw QDSV/QIntent can recover exact corrections in a substantial fraction of cases by selecting over a decoder ensemble. Guarded QDSV/QIntent accepts fewer overrides, but reduces bad overrides from 16.18% to 0.69% and eliminates worse-risk selections in this benchmark. This supports the interpretation of QDSV as a conservative governance layer rather than an aggressive decoder replacement.</w:t>
      </w:r>
    </w:p>
    <w:p>
      <w:r>
        <w:t>This experiment also provides the strongest latency-oriented evidence so far. The local QDSV decision step is sub-millisecond on average in this configuration, while the total local policy path remains around 10.89 ms per accepted BP-failure scenario. This is not a real-time hardware decoder claim, but it narrows the latency gap from "untested" to "instrumented offline baseline".</w:t>
      </w:r>
    </w:p>
    <w:p>
      <w:pPr>
        <w:pStyle w:val="Heading2"/>
      </w:pPr>
      <w:r>
        <w:t>6.5 IBM Hardware-Oriented Syndrome Validation</w:t>
      </w:r>
    </w:p>
    <w:p>
      <w:r>
        <w:t>Configuration:</w:t>
      </w:r>
    </w:p>
    <w:p>
      <w:pPr>
        <w:pStyle w:val="QDSVCode"/>
      </w:pPr>
      <w:r>
        <w:t>Backend: ibm_fez</w:t>
      </w:r>
    </w:p>
    <w:p>
      <w:pPr>
        <w:pStyle w:val="QDSVCode"/>
      </w:pPr>
      <w:r>
        <w:t>Job ID: d977en52su3c739horng</w:t>
      </w:r>
    </w:p>
    <w:p>
      <w:pPr>
        <w:pStyle w:val="QDSVCode"/>
      </w:pPr>
      <w:r>
        <w:t>Shots: 1024</w:t>
      </w:r>
    </w:p>
    <w:p>
      <w:pPr>
        <w:pStyle w:val="QDSVCode"/>
      </w:pPr>
      <w:r>
        <w:t>Scenarios: no_error, x0, x1, x2</w:t>
      </w:r>
    </w:p>
    <w:tbl>
      <w:tblPr>
        <w:tblStyle w:val="TableGrid"/>
        <w:tblW w:type="dxa" w:w="9360"/>
        <w:jc w:val="center"/>
        <w:tblLook w:firstColumn="1" w:firstRow="1" w:lastColumn="0" w:lastRow="0" w:noHBand="0" w:noVBand="1" w:val="04A0"/>
        <w:tblCellMar>
          <w:top w:w="80" w:type="dxa"/>
          <w:start w:w="120" w:type="dxa"/>
          <w:bottom w:w="80" w:type="dxa"/>
          <w:end w:w="120" w:type="dxa"/>
        </w:tblCellMar>
      </w:tblPr>
      <w:tblGrid>
        <w:gridCol w:w="2340"/>
        <w:gridCol w:w="2340"/>
        <w:gridCol w:w="2340"/>
        <w:gridCol w:w="2340"/>
      </w:tblGrid>
      <w:tr>
        <w:tc>
          <w:tcPr>
            <w:tcW w:type="dxa" w:w="2340"/>
            <w:vAlign w:val="center"/>
            <w:shd w:fill="F2F4F7"/>
          </w:tcPr>
          <w:p>
            <w:pPr>
              <w:spacing w:after="40"/>
            </w:pPr>
            <w:r>
              <w:rPr>
                <w:b/>
                <w:sz w:val="18"/>
              </w:rPr>
            </w:r>
            <w:r>
              <w:rPr>
                <w:b/>
                <w:sz w:val="18"/>
              </w:rPr>
              <w:t>Metric</w:t>
            </w:r>
          </w:p>
        </w:tc>
        <w:tc>
          <w:tcPr>
            <w:tcW w:type="dxa" w:w="2340"/>
            <w:vAlign w:val="center"/>
            <w:shd w:fill="F2F4F7"/>
          </w:tcPr>
          <w:p>
            <w:pPr>
              <w:spacing w:after="40"/>
            </w:pPr>
            <w:r>
              <w:rPr>
                <w:b/>
                <w:sz w:val="18"/>
              </w:rPr>
            </w:r>
            <w:r>
              <w:rPr>
                <w:b/>
                <w:sz w:val="18"/>
              </w:rPr>
              <w:t>Baseline</w:t>
            </w:r>
          </w:p>
        </w:tc>
        <w:tc>
          <w:tcPr>
            <w:tcW w:type="dxa" w:w="2340"/>
            <w:vAlign w:val="center"/>
            <w:shd w:fill="F2F4F7"/>
          </w:tcPr>
          <w:p>
            <w:pPr>
              <w:spacing w:after="40"/>
            </w:pPr>
            <w:r>
              <w:rPr>
                <w:b/>
                <w:sz w:val="18"/>
              </w:rPr>
            </w:r>
            <w:r>
              <w:rPr>
                <w:b/>
                <w:sz w:val="18"/>
              </w:rPr>
              <w:t>QDSV raw</w:t>
            </w:r>
          </w:p>
        </w:tc>
        <w:tc>
          <w:tcPr>
            <w:tcW w:type="dxa" w:w="2340"/>
            <w:vAlign w:val="center"/>
            <w:shd w:fill="F2F4F7"/>
          </w:tcPr>
          <w:p>
            <w:pPr>
              <w:spacing w:after="40"/>
            </w:pPr>
            <w:r>
              <w:rPr>
                <w:b/>
                <w:sz w:val="18"/>
              </w:rPr>
            </w:r>
            <w:r>
              <w:rPr>
                <w:b/>
                <w:sz w:val="18"/>
              </w:rPr>
              <w:t>QDSV guarded</w:t>
            </w:r>
          </w:p>
        </w:tc>
      </w:tr>
      <w:tr>
        <w:tc>
          <w:tcPr>
            <w:tcW w:type="dxa" w:w="2340"/>
            <w:vAlign w:val="center"/>
          </w:tcPr>
          <w:p>
            <w:pPr>
              <w:spacing w:after="40"/>
            </w:pPr>
            <w:r>
              <w:rPr>
                <w:sz w:val="18"/>
              </w:rPr>
            </w:r>
            <w:r>
              <w:rPr>
                <w:sz w:val="18"/>
              </w:rPr>
              <w:t>Observed syndrome match rate</w:t>
            </w:r>
          </w:p>
        </w:tc>
        <w:tc>
          <w:tcPr>
            <w:tcW w:type="dxa" w:w="2340"/>
            <w:vAlign w:val="center"/>
          </w:tcPr>
          <w:p>
            <w:pPr>
              <w:spacing w:after="40"/>
            </w:pPr>
            <w:r>
              <w:rPr>
                <w:sz w:val="18"/>
              </w:rPr>
            </w:r>
            <w:r>
              <w:rPr>
                <w:sz w:val="18"/>
              </w:rPr>
              <w:t>1.0000</w:t>
            </w:r>
          </w:p>
        </w:tc>
        <w:tc>
          <w:tcPr>
            <w:tcW w:type="dxa" w:w="2340"/>
            <w:vAlign w:val="center"/>
          </w:tcPr>
          <w:p>
            <w:pPr>
              <w:spacing w:after="40"/>
            </w:pPr>
            <w:r>
              <w:rPr>
                <w:sz w:val="18"/>
              </w:rPr>
            </w:r>
            <w:r>
              <w:rPr>
                <w:sz w:val="18"/>
              </w:rPr>
              <w:t>1.0000</w:t>
            </w:r>
          </w:p>
        </w:tc>
        <w:tc>
          <w:tcPr>
            <w:tcW w:type="dxa" w:w="2340"/>
            <w:vAlign w:val="center"/>
          </w:tcPr>
          <w:p>
            <w:pPr>
              <w:spacing w:after="40"/>
            </w:pPr>
            <w:r>
              <w:rPr>
                <w:sz w:val="18"/>
              </w:rPr>
            </w:r>
            <w:r>
              <w:rPr>
                <w:sz w:val="18"/>
              </w:rPr>
              <w:t>1.0000</w:t>
            </w:r>
          </w:p>
        </w:tc>
      </w:tr>
      <w:tr>
        <w:tc>
          <w:tcPr>
            <w:tcW w:type="dxa" w:w="2340"/>
            <w:vAlign w:val="center"/>
          </w:tcPr>
          <w:p>
            <w:pPr>
              <w:spacing w:after="40"/>
            </w:pPr>
            <w:r>
              <w:rPr>
                <w:sz w:val="18"/>
              </w:rPr>
            </w:r>
            <w:r>
              <w:rPr>
                <w:sz w:val="18"/>
              </w:rPr>
              <w:t>Average expected-syndrome probability</w:t>
            </w:r>
          </w:p>
        </w:tc>
        <w:tc>
          <w:tcPr>
            <w:tcW w:type="dxa" w:w="2340"/>
            <w:vAlign w:val="center"/>
          </w:tcPr>
          <w:p>
            <w:pPr>
              <w:spacing w:after="40"/>
            </w:pPr>
            <w:r>
              <w:rPr>
                <w:sz w:val="18"/>
              </w:rPr>
            </w:r>
            <w:r>
              <w:rPr>
                <w:sz w:val="18"/>
              </w:rPr>
              <w:t>0.9573</w:t>
            </w:r>
          </w:p>
        </w:tc>
        <w:tc>
          <w:tcPr>
            <w:tcW w:type="dxa" w:w="2340"/>
            <w:vAlign w:val="center"/>
          </w:tcPr>
          <w:p>
            <w:pPr>
              <w:spacing w:after="40"/>
            </w:pPr>
            <w:r>
              <w:rPr>
                <w:sz w:val="18"/>
              </w:rPr>
            </w:r>
            <w:r>
              <w:rPr>
                <w:sz w:val="18"/>
              </w:rPr>
              <w:t>0.9573</w:t>
            </w:r>
          </w:p>
        </w:tc>
        <w:tc>
          <w:tcPr>
            <w:tcW w:type="dxa" w:w="2340"/>
            <w:vAlign w:val="center"/>
          </w:tcPr>
          <w:p>
            <w:pPr>
              <w:spacing w:after="40"/>
            </w:pPr>
            <w:r>
              <w:rPr>
                <w:sz w:val="18"/>
              </w:rPr>
            </w:r>
            <w:r>
              <w:rPr>
                <w:sz w:val="18"/>
              </w:rPr>
              <w:t>0.9573</w:t>
            </w:r>
          </w:p>
        </w:tc>
      </w:tr>
      <w:tr>
        <w:tc>
          <w:tcPr>
            <w:tcW w:type="dxa" w:w="2340"/>
            <w:vAlign w:val="center"/>
          </w:tcPr>
          <w:p>
            <w:pPr>
              <w:spacing w:after="40"/>
            </w:pPr>
            <w:r>
              <w:rPr>
                <w:sz w:val="18"/>
              </w:rPr>
            </w:r>
            <w:r>
              <w:rPr>
                <w:sz w:val="18"/>
              </w:rPr>
              <w:t>Average off-expected probability</w:t>
            </w:r>
          </w:p>
        </w:tc>
        <w:tc>
          <w:tcPr>
            <w:tcW w:type="dxa" w:w="2340"/>
            <w:vAlign w:val="center"/>
          </w:tcPr>
          <w:p>
            <w:pPr>
              <w:spacing w:after="40"/>
            </w:pPr>
            <w:r>
              <w:rPr>
                <w:sz w:val="18"/>
              </w:rPr>
            </w:r>
            <w:r>
              <w:rPr>
                <w:sz w:val="18"/>
              </w:rPr>
              <w:t>0.0427</w:t>
            </w:r>
          </w:p>
        </w:tc>
        <w:tc>
          <w:tcPr>
            <w:tcW w:type="dxa" w:w="2340"/>
            <w:vAlign w:val="center"/>
          </w:tcPr>
          <w:p>
            <w:pPr>
              <w:spacing w:after="40"/>
            </w:pPr>
            <w:r>
              <w:rPr>
                <w:sz w:val="18"/>
              </w:rPr>
            </w:r>
            <w:r>
              <w:rPr>
                <w:sz w:val="18"/>
              </w:rPr>
              <w:t>0.0427</w:t>
            </w:r>
          </w:p>
        </w:tc>
        <w:tc>
          <w:tcPr>
            <w:tcW w:type="dxa" w:w="2340"/>
            <w:vAlign w:val="center"/>
          </w:tcPr>
          <w:p>
            <w:pPr>
              <w:spacing w:after="40"/>
            </w:pPr>
            <w:r>
              <w:rPr>
                <w:sz w:val="18"/>
              </w:rPr>
            </w:r>
            <w:r>
              <w:rPr>
                <w:sz w:val="18"/>
              </w:rPr>
              <w:t>0.0427</w:t>
            </w:r>
          </w:p>
        </w:tc>
      </w:tr>
      <w:tr>
        <w:tc>
          <w:tcPr>
            <w:tcW w:type="dxa" w:w="2340"/>
            <w:vAlign w:val="center"/>
          </w:tcPr>
          <w:p>
            <w:pPr>
              <w:spacing w:after="40"/>
            </w:pPr>
            <w:r>
              <w:rPr>
                <w:sz w:val="18"/>
              </w:rPr>
            </w:r>
            <w:r>
              <w:rPr>
                <w:sz w:val="18"/>
              </w:rPr>
              <w:t>Exact rate</w:t>
            </w:r>
          </w:p>
        </w:tc>
        <w:tc>
          <w:tcPr>
            <w:tcW w:type="dxa" w:w="2340"/>
            <w:vAlign w:val="center"/>
          </w:tcPr>
          <w:p>
            <w:pPr>
              <w:spacing w:after="40"/>
            </w:pPr>
            <w:r>
              <w:rPr>
                <w:sz w:val="18"/>
              </w:rPr>
            </w:r>
            <w:r>
              <w:rPr>
                <w:sz w:val="18"/>
              </w:rPr>
              <w:t>1.0000</w:t>
            </w:r>
          </w:p>
        </w:tc>
        <w:tc>
          <w:tcPr>
            <w:tcW w:type="dxa" w:w="2340"/>
            <w:vAlign w:val="center"/>
          </w:tcPr>
          <w:p>
            <w:pPr>
              <w:spacing w:after="40"/>
            </w:pPr>
            <w:r>
              <w:rPr>
                <w:sz w:val="18"/>
              </w:rPr>
            </w:r>
            <w:r>
              <w:rPr>
                <w:sz w:val="18"/>
              </w:rPr>
              <w:t>0.7500</w:t>
            </w:r>
          </w:p>
        </w:tc>
        <w:tc>
          <w:tcPr>
            <w:tcW w:type="dxa" w:w="2340"/>
            <w:vAlign w:val="center"/>
          </w:tcPr>
          <w:p>
            <w:pPr>
              <w:spacing w:after="40"/>
            </w:pPr>
            <w:r>
              <w:rPr>
                <w:sz w:val="18"/>
              </w:rPr>
            </w:r>
            <w:r>
              <w:rPr>
                <w:sz w:val="18"/>
              </w:rPr>
              <w:t>1.0000</w:t>
            </w:r>
          </w:p>
        </w:tc>
      </w:tr>
      <w:tr>
        <w:tc>
          <w:tcPr>
            <w:tcW w:type="dxa" w:w="2340"/>
            <w:vAlign w:val="center"/>
          </w:tcPr>
          <w:p>
            <w:pPr>
              <w:spacing w:after="40"/>
            </w:pPr>
            <w:r>
              <w:rPr>
                <w:sz w:val="18"/>
              </w:rPr>
            </w:r>
            <w:r>
              <w:rPr>
                <w:sz w:val="18"/>
              </w:rPr>
              <w:t>Failure-proxy rate</w:t>
            </w:r>
          </w:p>
        </w:tc>
        <w:tc>
          <w:tcPr>
            <w:tcW w:type="dxa" w:w="2340"/>
            <w:vAlign w:val="center"/>
          </w:tcPr>
          <w:p>
            <w:pPr>
              <w:spacing w:after="40"/>
            </w:pPr>
            <w:r>
              <w:rPr>
                <w:sz w:val="18"/>
              </w:rPr>
            </w:r>
            <w:r>
              <w:rPr>
                <w:sz w:val="18"/>
              </w:rPr>
              <w:t>0.0000</w:t>
            </w:r>
          </w:p>
        </w:tc>
        <w:tc>
          <w:tcPr>
            <w:tcW w:type="dxa" w:w="2340"/>
            <w:vAlign w:val="center"/>
          </w:tcPr>
          <w:p>
            <w:pPr>
              <w:spacing w:after="40"/>
            </w:pPr>
            <w:r>
              <w:rPr>
                <w:sz w:val="18"/>
              </w:rPr>
            </w:r>
            <w:r>
              <w:rPr>
                <w:sz w:val="18"/>
              </w:rPr>
              <w:t>0.0000</w:t>
            </w:r>
          </w:p>
        </w:tc>
        <w:tc>
          <w:tcPr>
            <w:tcW w:type="dxa" w:w="2340"/>
            <w:vAlign w:val="center"/>
          </w:tcPr>
          <w:p>
            <w:pPr>
              <w:spacing w:after="40"/>
            </w:pPr>
            <w:r>
              <w:rPr>
                <w:sz w:val="18"/>
              </w:rPr>
            </w:r>
            <w:r>
              <w:rPr>
                <w:sz w:val="18"/>
              </w:rPr>
              <w:t>0.0000</w:t>
            </w:r>
          </w:p>
        </w:tc>
      </w:tr>
      <w:tr>
        <w:tc>
          <w:tcPr>
            <w:tcW w:type="dxa" w:w="2340"/>
            <w:vAlign w:val="center"/>
          </w:tcPr>
          <w:p>
            <w:pPr>
              <w:spacing w:after="40"/>
            </w:pPr>
            <w:r>
              <w:rPr>
                <w:sz w:val="18"/>
              </w:rPr>
            </w:r>
            <w:r>
              <w:rPr>
                <w:sz w:val="18"/>
              </w:rPr>
              <w:t>Average logical risk</w:t>
            </w:r>
          </w:p>
        </w:tc>
        <w:tc>
          <w:tcPr>
            <w:tcW w:type="dxa" w:w="2340"/>
            <w:vAlign w:val="center"/>
          </w:tcPr>
          <w:p>
            <w:pPr>
              <w:spacing w:after="40"/>
            </w:pPr>
            <w:r>
              <w:rPr>
                <w:sz w:val="18"/>
              </w:rPr>
            </w:r>
            <w:r>
              <w:rPr>
                <w:sz w:val="18"/>
              </w:rPr>
              <w:t>123.75</w:t>
            </w:r>
          </w:p>
        </w:tc>
        <w:tc>
          <w:tcPr>
            <w:tcW w:type="dxa" w:w="2340"/>
            <w:vAlign w:val="center"/>
          </w:tcPr>
          <w:p>
            <w:pPr>
              <w:spacing w:after="40"/>
            </w:pPr>
            <w:r>
              <w:rPr>
                <w:sz w:val="18"/>
              </w:rPr>
            </w:r>
            <w:r>
              <w:rPr>
                <w:sz w:val="18"/>
              </w:rPr>
              <w:t>70.00</w:t>
            </w:r>
          </w:p>
        </w:tc>
        <w:tc>
          <w:tcPr>
            <w:tcW w:type="dxa" w:w="2340"/>
            <w:vAlign w:val="center"/>
          </w:tcPr>
          <w:p>
            <w:pPr>
              <w:spacing w:after="40"/>
            </w:pPr>
            <w:r>
              <w:rPr>
                <w:sz w:val="18"/>
              </w:rPr>
            </w:r>
            <w:r>
              <w:rPr>
                <w:sz w:val="18"/>
              </w:rPr>
              <w:t>123.75</w:t>
            </w:r>
          </w:p>
        </w:tc>
      </w:tr>
      <w:tr>
        <w:tc>
          <w:tcPr>
            <w:tcW w:type="dxa" w:w="2340"/>
            <w:vAlign w:val="center"/>
          </w:tcPr>
          <w:p>
            <w:pPr>
              <w:spacing w:after="40"/>
            </w:pPr>
            <w:r>
              <w:rPr>
                <w:sz w:val="18"/>
              </w:rPr>
            </w:r>
            <w:r>
              <w:rPr>
                <w:sz w:val="18"/>
              </w:rPr>
              <w:t>Average risk delta</w:t>
            </w:r>
          </w:p>
        </w:tc>
        <w:tc>
          <w:tcPr>
            <w:tcW w:type="dxa" w:w="2340"/>
            <w:vAlign w:val="center"/>
          </w:tcPr>
          <w:p>
            <w:pPr>
              <w:spacing w:after="40"/>
            </w:pPr>
            <w:r>
              <w:rPr>
                <w:sz w:val="18"/>
              </w:rPr>
            </w:r>
            <w:r>
              <w:rPr>
                <w:sz w:val="18"/>
              </w:rPr>
              <w:t>-</w:t>
            </w:r>
          </w:p>
        </w:tc>
        <w:tc>
          <w:tcPr>
            <w:tcW w:type="dxa" w:w="2340"/>
            <w:vAlign w:val="center"/>
          </w:tcPr>
          <w:p>
            <w:pPr>
              <w:spacing w:after="40"/>
            </w:pPr>
            <w:r>
              <w:rPr>
                <w:sz w:val="18"/>
              </w:rPr>
            </w:r>
            <w:r>
              <w:rPr>
                <w:sz w:val="18"/>
              </w:rPr>
              <w:t>53.75</w:t>
            </w:r>
          </w:p>
        </w:tc>
        <w:tc>
          <w:tcPr>
            <w:tcW w:type="dxa" w:w="2340"/>
            <w:vAlign w:val="center"/>
          </w:tcPr>
          <w:p>
            <w:pPr>
              <w:spacing w:after="40"/>
            </w:pPr>
            <w:r>
              <w:rPr>
                <w:sz w:val="18"/>
              </w:rPr>
            </w:r>
            <w:r>
              <w:rPr>
                <w:sz w:val="18"/>
              </w:rPr>
              <w:t>0.00</w:t>
            </w:r>
          </w:p>
        </w:tc>
      </w:tr>
      <w:tr>
        <w:tc>
          <w:tcPr>
            <w:tcW w:type="dxa" w:w="2340"/>
            <w:vAlign w:val="center"/>
          </w:tcPr>
          <w:p>
            <w:pPr>
              <w:spacing w:after="40"/>
            </w:pPr>
            <w:r>
              <w:rPr>
                <w:sz w:val="18"/>
              </w:rPr>
            </w:r>
            <w:r>
              <w:rPr>
                <w:sz w:val="18"/>
              </w:rPr>
              <w:t>Override rate</w:t>
            </w:r>
          </w:p>
        </w:tc>
        <w:tc>
          <w:tcPr>
            <w:tcW w:type="dxa" w:w="2340"/>
            <w:vAlign w:val="center"/>
          </w:tcPr>
          <w:p>
            <w:pPr>
              <w:spacing w:after="40"/>
            </w:pPr>
            <w:r>
              <w:rPr>
                <w:sz w:val="18"/>
              </w:rPr>
            </w:r>
            <w:r>
              <w:rPr>
                <w:sz w:val="18"/>
              </w:rPr>
              <w:t>-</w:t>
            </w:r>
          </w:p>
        </w:tc>
        <w:tc>
          <w:tcPr>
            <w:tcW w:type="dxa" w:w="2340"/>
            <w:vAlign w:val="center"/>
          </w:tcPr>
          <w:p>
            <w:pPr>
              <w:spacing w:after="40"/>
            </w:pPr>
            <w:r>
              <w:rPr>
                <w:sz w:val="18"/>
              </w:rPr>
            </w:r>
            <w:r>
              <w:rPr>
                <w:sz w:val="18"/>
              </w:rPr>
              <w:t>0.2500</w:t>
            </w:r>
          </w:p>
        </w:tc>
        <w:tc>
          <w:tcPr>
            <w:tcW w:type="dxa" w:w="2340"/>
            <w:vAlign w:val="center"/>
          </w:tcPr>
          <w:p>
            <w:pPr>
              <w:spacing w:after="40"/>
            </w:pPr>
            <w:r>
              <w:rPr>
                <w:sz w:val="18"/>
              </w:rPr>
            </w:r>
            <w:r>
              <w:rPr>
                <w:sz w:val="18"/>
              </w:rPr>
              <w:t>0.0000 accepted</w:t>
            </w:r>
          </w:p>
        </w:tc>
      </w:tr>
      <w:tr>
        <w:tc>
          <w:tcPr>
            <w:tcW w:type="dxa" w:w="2340"/>
            <w:vAlign w:val="center"/>
          </w:tcPr>
          <w:p>
            <w:pPr>
              <w:spacing w:after="40"/>
            </w:pPr>
            <w:r>
              <w:rPr>
                <w:sz w:val="18"/>
              </w:rPr>
            </w:r>
            <w:r>
              <w:rPr>
                <w:sz w:val="18"/>
              </w:rPr>
              <w:t>Bad override rate</w:t>
            </w:r>
          </w:p>
        </w:tc>
        <w:tc>
          <w:tcPr>
            <w:tcW w:type="dxa" w:w="2340"/>
            <w:vAlign w:val="center"/>
          </w:tcPr>
          <w:p>
            <w:pPr>
              <w:spacing w:after="40"/>
            </w:pPr>
            <w:r>
              <w:rPr>
                <w:sz w:val="18"/>
              </w:rPr>
            </w:r>
            <w:r>
              <w:rPr>
                <w:sz w:val="18"/>
              </w:rPr>
              <w:t>-</w:t>
            </w:r>
          </w:p>
        </w:tc>
        <w:tc>
          <w:tcPr>
            <w:tcW w:type="dxa" w:w="2340"/>
            <w:vAlign w:val="center"/>
          </w:tcPr>
          <w:p>
            <w:pPr>
              <w:spacing w:after="40"/>
            </w:pPr>
            <w:r>
              <w:rPr>
                <w:sz w:val="18"/>
              </w:rPr>
            </w:r>
            <w:r>
              <w:rPr>
                <w:sz w:val="18"/>
              </w:rPr>
              <w:t>0.2500</w:t>
            </w:r>
          </w:p>
        </w:tc>
        <w:tc>
          <w:tcPr>
            <w:tcW w:type="dxa" w:w="2340"/>
            <w:vAlign w:val="center"/>
          </w:tcPr>
          <w:p>
            <w:pPr>
              <w:spacing w:after="40"/>
            </w:pPr>
            <w:r>
              <w:rPr>
                <w:sz w:val="18"/>
              </w:rPr>
            </w:r>
            <w:r>
              <w:rPr>
                <w:sz w:val="18"/>
              </w:rPr>
              <w:t>0.0000</w:t>
            </w:r>
          </w:p>
        </w:tc>
      </w:tr>
    </w:tbl>
    <w:p/>
    <w:p>
      <w:r>
        <w:t>The hardware run produced the expected dominant syndrome in all four scenarios. The average expected-syndrome probability was 95.73%, with an average off-expected probability of 4.27%, reflecting real hardware noise/readout dispersion in the measured syndrome counts.</w:t>
      </w:r>
    </w:p>
    <w:p>
      <w:r>
        <w:t xml:space="preserve">Raw QDSV/QIntent reduced average logical-risk proxy from 123.75 to 70.00. However, in the </w:t>
      </w:r>
      <w:r>
        <w:rPr>
          <w:rFonts w:ascii="Consolas" w:hAnsi="Consolas"/>
          <w:sz w:val="20"/>
        </w:rPr>
        <w:t>x1</w:t>
      </w:r>
      <w:r>
        <w:t xml:space="preserve"> scenario, raw QDSV selected the lower-risk candidate </w:t>
      </w:r>
      <w:r>
        <w:rPr>
          <w:rFonts w:ascii="Consolas" w:hAnsi="Consolas"/>
          <w:sz w:val="20"/>
        </w:rPr>
        <w:t>0 2</w:t>
      </w:r>
      <w:r>
        <w:t xml:space="preserve"> instead of the exact singleton </w:t>
      </w:r>
      <w:r>
        <w:rPr>
          <w:rFonts w:ascii="Consolas" w:hAnsi="Consolas"/>
          <w:sz w:val="20"/>
        </w:rPr>
        <w:t>1</w:t>
      </w:r>
      <w:r>
        <w:t>. The guarded policy rejected that override and preserved the baseline exact correction. This is an important result: it shows the central risk/exactness tradeoff and demonstrates why guarded governance is needed for high-confidence baseline cases.</w:t>
      </w:r>
    </w:p>
    <w:p>
      <w:r>
        <w:t>Interpretation: the IBM run validates the hardware-evidence handoff and improves the hardware/readout gap. It does not yet validate production qLDPC decoding or full logical-operator preservation.</w:t>
      </w:r>
    </w:p>
    <w:p>
      <w:pPr>
        <w:pStyle w:val="Heading2"/>
      </w:pPr>
      <w:r>
        <w:t>6.6 Known 5-Qubit Stabilizer-Code Logical Validation</w:t>
      </w:r>
    </w:p>
    <w:p>
      <w:r>
        <w:t>Configuration:</w:t>
      </w:r>
    </w:p>
    <w:p>
      <w:pPr>
        <w:pStyle w:val="QDSVCode"/>
      </w:pPr>
      <w:r>
        <w:t>Code: 5-qubit perfect stabilizer code</w:t>
      </w:r>
    </w:p>
    <w:p>
      <w:pPr>
        <w:pStyle w:val="QDSVCode"/>
      </w:pPr>
      <w:r>
        <w:t>Stabilizer generators: XZZXI, IXZZX, XIXZZ, ZXIXZ</w:t>
      </w:r>
    </w:p>
    <w:p>
      <w:pPr>
        <w:pStyle w:val="QDSVCode"/>
      </w:pPr>
      <w:r>
        <w:t>Seeds: 8</w:t>
      </w:r>
    </w:p>
    <w:p>
      <w:pPr>
        <w:pStyle w:val="QDSVCode"/>
      </w:pPr>
      <w:r>
        <w:t>Samples per seed: 40</w:t>
      </w:r>
    </w:p>
    <w:p>
      <w:pPr>
        <w:pStyle w:val="QDSVCode"/>
      </w:pPr>
      <w:r>
        <w:t>Total scenarios: 320</w:t>
      </w:r>
    </w:p>
    <w:p>
      <w:pPr>
        <w:pStyle w:val="QDSVCode"/>
      </w:pPr>
      <w:r>
        <w:t>Error model: correctable single-qubit Pauli errors</w:t>
      </w:r>
    </w:p>
    <w:p>
      <w:pPr>
        <w:pStyle w:val="QDSVCode"/>
      </w:pPr>
      <w:r>
        <w:t>Formal residual: R = C E</w:t>
      </w:r>
    </w:p>
    <w:tbl>
      <w:tblPr>
        <w:tblStyle w:val="TableGrid"/>
        <w:tblW w:type="dxa" w:w="9360"/>
        <w:jc w:val="center"/>
        <w:tblLook w:firstColumn="1" w:firstRow="1" w:lastColumn="0" w:lastRow="0" w:noHBand="0" w:noVBand="1" w:val="04A0"/>
        <w:tblCellMar>
          <w:top w:w="80" w:type="dxa"/>
          <w:start w:w="120" w:type="dxa"/>
          <w:bottom w:w="80" w:type="dxa"/>
          <w:end w:w="120" w:type="dxa"/>
        </w:tblCellMar>
      </w:tblPr>
      <w:tblGrid>
        <w:gridCol w:w="1872"/>
        <w:gridCol w:w="1872"/>
        <w:gridCol w:w="1872"/>
        <w:gridCol w:w="1872"/>
        <w:gridCol w:w="1872"/>
      </w:tblGrid>
      <w:tr>
        <w:tc>
          <w:tcPr>
            <w:tcW w:type="dxa" w:w="1872"/>
            <w:vAlign w:val="center"/>
            <w:shd w:fill="F2F4F7"/>
          </w:tcPr>
          <w:p>
            <w:pPr>
              <w:spacing w:after="40"/>
            </w:pPr>
            <w:r>
              <w:rPr>
                <w:b/>
                <w:sz w:val="18"/>
              </w:rPr>
            </w:r>
            <w:r>
              <w:rPr>
                <w:b/>
                <w:sz w:val="18"/>
              </w:rPr>
              <w:t>Metric</w:t>
            </w:r>
          </w:p>
        </w:tc>
        <w:tc>
          <w:tcPr>
            <w:tcW w:type="dxa" w:w="1872"/>
            <w:vAlign w:val="center"/>
            <w:shd w:fill="F2F4F7"/>
          </w:tcPr>
          <w:p>
            <w:pPr>
              <w:spacing w:after="40"/>
            </w:pPr>
            <w:r>
              <w:rPr>
                <w:b/>
                <w:sz w:val="18"/>
              </w:rPr>
            </w:r>
            <w:r>
              <w:rPr>
                <w:b/>
                <w:sz w:val="18"/>
              </w:rPr>
              <w:t>Confidence baseline</w:t>
            </w:r>
          </w:p>
        </w:tc>
        <w:tc>
          <w:tcPr>
            <w:tcW w:type="dxa" w:w="1872"/>
            <w:vAlign w:val="center"/>
            <w:shd w:fill="F2F4F7"/>
          </w:tcPr>
          <w:p>
            <w:pPr>
              <w:spacing w:after="40"/>
            </w:pPr>
            <w:r>
              <w:rPr>
                <w:b/>
                <w:sz w:val="18"/>
              </w:rPr>
            </w:r>
            <w:r>
              <w:rPr>
                <w:b/>
                <w:sz w:val="18"/>
              </w:rPr>
              <w:t>Oracle best</w:t>
            </w:r>
          </w:p>
        </w:tc>
        <w:tc>
          <w:tcPr>
            <w:tcW w:type="dxa" w:w="1872"/>
            <w:vAlign w:val="center"/>
            <w:shd w:fill="F2F4F7"/>
          </w:tcPr>
          <w:p>
            <w:pPr>
              <w:spacing w:after="40"/>
            </w:pPr>
            <w:r>
              <w:rPr>
                <w:b/>
                <w:sz w:val="18"/>
              </w:rPr>
            </w:r>
            <w:r>
              <w:rPr>
                <w:b/>
                <w:sz w:val="18"/>
              </w:rPr>
              <w:t>QDSV raw</w:t>
            </w:r>
          </w:p>
        </w:tc>
        <w:tc>
          <w:tcPr>
            <w:tcW w:type="dxa" w:w="1872"/>
            <w:vAlign w:val="center"/>
            <w:shd w:fill="F2F4F7"/>
          </w:tcPr>
          <w:p>
            <w:pPr>
              <w:spacing w:after="40"/>
            </w:pPr>
            <w:r>
              <w:rPr>
                <w:b/>
                <w:sz w:val="18"/>
              </w:rPr>
            </w:r>
            <w:r>
              <w:rPr>
                <w:b/>
                <w:sz w:val="18"/>
              </w:rPr>
              <w:t>QDSV guarded</w:t>
            </w:r>
          </w:p>
        </w:tc>
      </w:tr>
      <w:tr>
        <w:tc>
          <w:tcPr>
            <w:tcW w:type="dxa" w:w="1872"/>
            <w:vAlign w:val="center"/>
          </w:tcPr>
          <w:p>
            <w:pPr>
              <w:spacing w:after="40"/>
            </w:pPr>
            <w:r>
              <w:rPr>
                <w:sz w:val="18"/>
              </w:rPr>
            </w:r>
            <w:r>
              <w:rPr>
                <w:sz w:val="18"/>
              </w:rPr>
              <w:t>Formal logical-failure rate, mean</w:t>
            </w:r>
          </w:p>
        </w:tc>
        <w:tc>
          <w:tcPr>
            <w:tcW w:type="dxa" w:w="1872"/>
            <w:vAlign w:val="center"/>
          </w:tcPr>
          <w:p>
            <w:pPr>
              <w:spacing w:after="40"/>
            </w:pPr>
            <w:r>
              <w:rPr>
                <w:sz w:val="18"/>
              </w:rPr>
            </w:r>
            <w:r>
              <w:rPr>
                <w:sz w:val="18"/>
              </w:rPr>
              <w:t>0.08125</w:t>
            </w:r>
          </w:p>
        </w:tc>
        <w:tc>
          <w:tcPr>
            <w:tcW w:type="dxa" w:w="1872"/>
            <w:vAlign w:val="center"/>
          </w:tcPr>
          <w:p>
            <w:pPr>
              <w:spacing w:after="40"/>
            </w:pPr>
            <w:r>
              <w:rPr>
                <w:sz w:val="18"/>
              </w:rPr>
            </w:r>
            <w:r>
              <w:rPr>
                <w:sz w:val="18"/>
              </w:rPr>
              <w:t>0.00000</w:t>
            </w:r>
          </w:p>
        </w:tc>
        <w:tc>
          <w:tcPr>
            <w:tcW w:type="dxa" w:w="1872"/>
            <w:vAlign w:val="center"/>
          </w:tcPr>
          <w:p>
            <w:pPr>
              <w:spacing w:after="40"/>
            </w:pPr>
            <w:r>
              <w:rPr>
                <w:sz w:val="18"/>
              </w:rPr>
            </w:r>
            <w:r>
              <w:rPr>
                <w:sz w:val="18"/>
              </w:rPr>
              <w:t>0.00000</w:t>
            </w:r>
          </w:p>
        </w:tc>
        <w:tc>
          <w:tcPr>
            <w:tcW w:type="dxa" w:w="1872"/>
            <w:vAlign w:val="center"/>
          </w:tcPr>
          <w:p>
            <w:pPr>
              <w:spacing w:after="40"/>
            </w:pPr>
            <w:r>
              <w:rPr>
                <w:sz w:val="18"/>
              </w:rPr>
            </w:r>
            <w:r>
              <w:rPr>
                <w:sz w:val="18"/>
              </w:rPr>
              <w:t>0.00000</w:t>
            </w:r>
          </w:p>
        </w:tc>
      </w:tr>
      <w:tr>
        <w:tc>
          <w:tcPr>
            <w:tcW w:type="dxa" w:w="1872"/>
            <w:vAlign w:val="center"/>
          </w:tcPr>
          <w:p>
            <w:pPr>
              <w:spacing w:after="40"/>
            </w:pPr>
            <w:r>
              <w:rPr>
                <w:sz w:val="18"/>
              </w:rPr>
            </w:r>
            <w:r>
              <w:rPr>
                <w:sz w:val="18"/>
              </w:rPr>
              <w:t>Formal logical-failure rate, std</w:t>
            </w:r>
          </w:p>
        </w:tc>
        <w:tc>
          <w:tcPr>
            <w:tcW w:type="dxa" w:w="1872"/>
            <w:vAlign w:val="center"/>
          </w:tcPr>
          <w:p>
            <w:pPr>
              <w:spacing w:after="40"/>
            </w:pPr>
            <w:r>
              <w:rPr>
                <w:sz w:val="18"/>
              </w:rPr>
            </w:r>
            <w:r>
              <w:rPr>
                <w:sz w:val="18"/>
              </w:rPr>
              <w:t>0.02997</w:t>
            </w:r>
          </w:p>
        </w:tc>
        <w:tc>
          <w:tcPr>
            <w:tcW w:type="dxa" w:w="1872"/>
            <w:vAlign w:val="center"/>
          </w:tcPr>
          <w:p>
            <w:pPr>
              <w:spacing w:after="40"/>
            </w:pPr>
            <w:r>
              <w:rPr>
                <w:sz w:val="18"/>
              </w:rPr>
            </w:r>
            <w:r>
              <w:rPr>
                <w:sz w:val="18"/>
              </w:rPr>
              <w:t>0.00000</w:t>
            </w:r>
          </w:p>
        </w:tc>
        <w:tc>
          <w:tcPr>
            <w:tcW w:type="dxa" w:w="1872"/>
            <w:vAlign w:val="center"/>
          </w:tcPr>
          <w:p>
            <w:pPr>
              <w:spacing w:after="40"/>
            </w:pPr>
            <w:r>
              <w:rPr>
                <w:sz w:val="18"/>
              </w:rPr>
            </w:r>
            <w:r>
              <w:rPr>
                <w:sz w:val="18"/>
              </w:rPr>
              <w:t>0.00000</w:t>
            </w:r>
          </w:p>
        </w:tc>
        <w:tc>
          <w:tcPr>
            <w:tcW w:type="dxa" w:w="1872"/>
            <w:vAlign w:val="center"/>
          </w:tcPr>
          <w:p>
            <w:pPr>
              <w:spacing w:after="40"/>
            </w:pPr>
            <w:r>
              <w:rPr>
                <w:sz w:val="18"/>
              </w:rPr>
            </w:r>
            <w:r>
              <w:rPr>
                <w:sz w:val="18"/>
              </w:rPr>
              <w:t>0.00000</w:t>
            </w:r>
          </w:p>
        </w:tc>
      </w:tr>
      <w:tr>
        <w:tc>
          <w:tcPr>
            <w:tcW w:type="dxa" w:w="1872"/>
            <w:vAlign w:val="center"/>
          </w:tcPr>
          <w:p>
            <w:pPr>
              <w:spacing w:after="40"/>
            </w:pPr>
            <w:r>
              <w:rPr>
                <w:sz w:val="18"/>
              </w:rPr>
            </w:r>
            <w:r>
              <w:rPr>
                <w:sz w:val="18"/>
              </w:rPr>
              <w:t>Formal logical-success rate, mean</w:t>
            </w:r>
          </w:p>
        </w:tc>
        <w:tc>
          <w:tcPr>
            <w:tcW w:type="dxa" w:w="1872"/>
            <w:vAlign w:val="center"/>
          </w:tcPr>
          <w:p>
            <w:pPr>
              <w:spacing w:after="40"/>
            </w:pPr>
            <w:r>
              <w:rPr>
                <w:sz w:val="18"/>
              </w:rPr>
            </w:r>
            <w:r>
              <w:rPr>
                <w:sz w:val="18"/>
              </w:rPr>
              <w:t>0.91875</w:t>
            </w:r>
          </w:p>
        </w:tc>
        <w:tc>
          <w:tcPr>
            <w:tcW w:type="dxa" w:w="1872"/>
            <w:vAlign w:val="center"/>
          </w:tcPr>
          <w:p>
            <w:pPr>
              <w:spacing w:after="40"/>
            </w:pPr>
            <w:r>
              <w:rPr>
                <w:sz w:val="18"/>
              </w:rPr>
            </w:r>
            <w:r>
              <w:rPr>
                <w:sz w:val="18"/>
              </w:rPr>
              <w:t>1.00000</w:t>
            </w:r>
          </w:p>
        </w:tc>
        <w:tc>
          <w:tcPr>
            <w:tcW w:type="dxa" w:w="1872"/>
            <w:vAlign w:val="center"/>
          </w:tcPr>
          <w:p>
            <w:pPr>
              <w:spacing w:after="40"/>
            </w:pPr>
            <w:r>
              <w:rPr>
                <w:sz w:val="18"/>
              </w:rPr>
            </w:r>
            <w:r>
              <w:rPr>
                <w:sz w:val="18"/>
              </w:rPr>
              <w:t>1.00000</w:t>
            </w:r>
          </w:p>
        </w:tc>
        <w:tc>
          <w:tcPr>
            <w:tcW w:type="dxa" w:w="1872"/>
            <w:vAlign w:val="center"/>
          </w:tcPr>
          <w:p>
            <w:pPr>
              <w:spacing w:after="40"/>
            </w:pPr>
            <w:r>
              <w:rPr>
                <w:sz w:val="18"/>
              </w:rPr>
            </w:r>
            <w:r>
              <w:rPr>
                <w:sz w:val="18"/>
              </w:rPr>
              <w:t>1.00000</w:t>
            </w:r>
          </w:p>
        </w:tc>
      </w:tr>
      <w:tr>
        <w:tc>
          <w:tcPr>
            <w:tcW w:type="dxa" w:w="1872"/>
            <w:vAlign w:val="center"/>
          </w:tcPr>
          <w:p>
            <w:pPr>
              <w:spacing w:after="40"/>
            </w:pPr>
            <w:r>
              <w:rPr>
                <w:sz w:val="18"/>
              </w:rPr>
            </w:r>
            <w:r>
              <w:rPr>
                <w:sz w:val="18"/>
              </w:rPr>
              <w:t>Average logical risk, mean</w:t>
            </w:r>
          </w:p>
        </w:tc>
        <w:tc>
          <w:tcPr>
            <w:tcW w:type="dxa" w:w="1872"/>
            <w:vAlign w:val="center"/>
          </w:tcPr>
          <w:p>
            <w:pPr>
              <w:spacing w:after="40"/>
            </w:pPr>
            <w:r>
              <w:rPr>
                <w:sz w:val="18"/>
              </w:rPr>
            </w:r>
            <w:r>
              <w:rPr>
                <w:sz w:val="18"/>
              </w:rPr>
              <w:t>66.47</w:t>
            </w:r>
          </w:p>
        </w:tc>
        <w:tc>
          <w:tcPr>
            <w:tcW w:type="dxa" w:w="1872"/>
            <w:vAlign w:val="center"/>
          </w:tcPr>
          <w:p>
            <w:pPr>
              <w:spacing w:after="40"/>
            </w:pPr>
            <w:r>
              <w:rPr>
                <w:sz w:val="18"/>
              </w:rPr>
            </w:r>
            <w:r>
              <w:rPr>
                <w:sz w:val="18"/>
              </w:rPr>
              <w:t>50.00</w:t>
            </w:r>
          </w:p>
        </w:tc>
        <w:tc>
          <w:tcPr>
            <w:tcW w:type="dxa" w:w="1872"/>
            <w:vAlign w:val="center"/>
          </w:tcPr>
          <w:p>
            <w:pPr>
              <w:spacing w:after="40"/>
            </w:pPr>
            <w:r>
              <w:rPr>
                <w:sz w:val="18"/>
              </w:rPr>
            </w:r>
            <w:r>
              <w:rPr>
                <w:sz w:val="18"/>
              </w:rPr>
              <w:t>50.00</w:t>
            </w:r>
          </w:p>
        </w:tc>
        <w:tc>
          <w:tcPr>
            <w:tcW w:type="dxa" w:w="1872"/>
            <w:vAlign w:val="center"/>
          </w:tcPr>
          <w:p>
            <w:pPr>
              <w:spacing w:after="40"/>
            </w:pPr>
            <w:r>
              <w:rPr>
                <w:sz w:val="18"/>
              </w:rPr>
            </w:r>
            <w:r>
              <w:rPr>
                <w:sz w:val="18"/>
              </w:rPr>
              <w:t>50.00</w:t>
            </w:r>
          </w:p>
        </w:tc>
      </w:tr>
      <w:tr>
        <w:tc>
          <w:tcPr>
            <w:tcW w:type="dxa" w:w="1872"/>
            <w:vAlign w:val="center"/>
          </w:tcPr>
          <w:p>
            <w:pPr>
              <w:spacing w:after="40"/>
            </w:pPr>
            <w:r>
              <w:rPr>
                <w:sz w:val="18"/>
              </w:rPr>
            </w:r>
            <w:r>
              <w:rPr>
                <w:sz w:val="18"/>
              </w:rPr>
              <w:t>Average risk delta vs baseline</w:t>
            </w:r>
          </w:p>
        </w:tc>
        <w:tc>
          <w:tcPr>
            <w:tcW w:type="dxa" w:w="1872"/>
            <w:vAlign w:val="center"/>
          </w:tcPr>
          <w:p>
            <w:pPr>
              <w:spacing w:after="40"/>
            </w:pPr>
            <w:r>
              <w:rPr>
                <w:sz w:val="18"/>
              </w:rPr>
            </w:r>
            <w:r>
              <w:rPr>
                <w:sz w:val="18"/>
              </w:rPr>
              <w:t>-</w:t>
            </w:r>
          </w:p>
        </w:tc>
        <w:tc>
          <w:tcPr>
            <w:tcW w:type="dxa" w:w="1872"/>
            <w:vAlign w:val="center"/>
          </w:tcPr>
          <w:p>
            <w:pPr>
              <w:spacing w:after="40"/>
            </w:pPr>
            <w:r>
              <w:rPr>
                <w:sz w:val="18"/>
              </w:rPr>
            </w:r>
            <w:r>
              <w:rPr>
                <w:sz w:val="18"/>
              </w:rPr>
              <w:t>16.47</w:t>
            </w:r>
          </w:p>
        </w:tc>
        <w:tc>
          <w:tcPr>
            <w:tcW w:type="dxa" w:w="1872"/>
            <w:vAlign w:val="center"/>
          </w:tcPr>
          <w:p>
            <w:pPr>
              <w:spacing w:after="40"/>
            </w:pPr>
            <w:r>
              <w:rPr>
                <w:sz w:val="18"/>
              </w:rPr>
            </w:r>
            <w:r>
              <w:rPr>
                <w:sz w:val="18"/>
              </w:rPr>
              <w:t>16.47</w:t>
            </w:r>
          </w:p>
        </w:tc>
        <w:tc>
          <w:tcPr>
            <w:tcW w:type="dxa" w:w="1872"/>
            <w:vAlign w:val="center"/>
          </w:tcPr>
          <w:p>
            <w:pPr>
              <w:spacing w:after="40"/>
            </w:pPr>
            <w:r>
              <w:rPr>
                <w:sz w:val="18"/>
              </w:rPr>
            </w:r>
            <w:r>
              <w:rPr>
                <w:sz w:val="18"/>
              </w:rPr>
              <w:t>16.47</w:t>
            </w:r>
          </w:p>
        </w:tc>
      </w:tr>
      <w:tr>
        <w:tc>
          <w:tcPr>
            <w:tcW w:type="dxa" w:w="1872"/>
            <w:vAlign w:val="center"/>
          </w:tcPr>
          <w:p>
            <w:pPr>
              <w:spacing w:after="40"/>
            </w:pPr>
            <w:r>
              <w:rPr>
                <w:sz w:val="18"/>
              </w:rPr>
            </w:r>
            <w:r>
              <w:rPr>
                <w:sz w:val="18"/>
              </w:rPr>
              <w:t>Override rate, mean</w:t>
            </w:r>
          </w:p>
        </w:tc>
        <w:tc>
          <w:tcPr>
            <w:tcW w:type="dxa" w:w="1872"/>
            <w:vAlign w:val="center"/>
          </w:tcPr>
          <w:p>
            <w:pPr>
              <w:spacing w:after="40"/>
            </w:pPr>
            <w:r>
              <w:rPr>
                <w:sz w:val="18"/>
              </w:rPr>
            </w:r>
            <w:r>
              <w:rPr>
                <w:sz w:val="18"/>
              </w:rPr>
              <w:t>-</w:t>
            </w:r>
          </w:p>
        </w:tc>
        <w:tc>
          <w:tcPr>
            <w:tcW w:type="dxa" w:w="1872"/>
            <w:vAlign w:val="center"/>
          </w:tcPr>
          <w:p>
            <w:pPr>
              <w:spacing w:after="40"/>
            </w:pPr>
            <w:r>
              <w:rPr>
                <w:sz w:val="18"/>
              </w:rPr>
            </w:r>
            <w:r>
              <w:rPr>
                <w:sz w:val="18"/>
              </w:rPr>
              <w:t>-</w:t>
            </w:r>
          </w:p>
        </w:tc>
        <w:tc>
          <w:tcPr>
            <w:tcW w:type="dxa" w:w="1872"/>
            <w:vAlign w:val="center"/>
          </w:tcPr>
          <w:p>
            <w:pPr>
              <w:spacing w:after="40"/>
            </w:pPr>
            <w:r>
              <w:rPr>
                <w:sz w:val="18"/>
              </w:rPr>
            </w:r>
            <w:r>
              <w:rPr>
                <w:sz w:val="18"/>
              </w:rPr>
              <w:t>0.08125</w:t>
            </w:r>
          </w:p>
        </w:tc>
        <w:tc>
          <w:tcPr>
            <w:tcW w:type="dxa" w:w="1872"/>
            <w:vAlign w:val="center"/>
          </w:tcPr>
          <w:p>
            <w:pPr>
              <w:spacing w:after="40"/>
            </w:pPr>
            <w:r>
              <w:rPr>
                <w:sz w:val="18"/>
              </w:rPr>
            </w:r>
            <w:r>
              <w:rPr>
                <w:sz w:val="18"/>
              </w:rPr>
              <w:t>0.08125 accepted</w:t>
            </w:r>
          </w:p>
        </w:tc>
      </w:tr>
      <w:tr>
        <w:tc>
          <w:tcPr>
            <w:tcW w:type="dxa" w:w="1872"/>
            <w:vAlign w:val="center"/>
          </w:tcPr>
          <w:p>
            <w:pPr>
              <w:spacing w:after="40"/>
            </w:pPr>
            <w:r>
              <w:rPr>
                <w:sz w:val="18"/>
              </w:rPr>
            </w:r>
            <w:r>
              <w:rPr>
                <w:sz w:val="18"/>
              </w:rPr>
              <w:t>Bad override rate, mean</w:t>
            </w:r>
          </w:p>
        </w:tc>
        <w:tc>
          <w:tcPr>
            <w:tcW w:type="dxa" w:w="1872"/>
            <w:vAlign w:val="center"/>
          </w:tcPr>
          <w:p>
            <w:pPr>
              <w:spacing w:after="40"/>
            </w:pPr>
            <w:r>
              <w:rPr>
                <w:sz w:val="18"/>
              </w:rPr>
            </w:r>
            <w:r>
              <w:rPr>
                <w:sz w:val="18"/>
              </w:rPr>
              <w:t>-</w:t>
            </w:r>
          </w:p>
        </w:tc>
        <w:tc>
          <w:tcPr>
            <w:tcW w:type="dxa" w:w="1872"/>
            <w:vAlign w:val="center"/>
          </w:tcPr>
          <w:p>
            <w:pPr>
              <w:spacing w:after="40"/>
            </w:pPr>
            <w:r>
              <w:rPr>
                <w:sz w:val="18"/>
              </w:rPr>
            </w:r>
            <w:r>
              <w:rPr>
                <w:sz w:val="18"/>
              </w:rPr>
              <w:t>-</w:t>
            </w:r>
          </w:p>
        </w:tc>
        <w:tc>
          <w:tcPr>
            <w:tcW w:type="dxa" w:w="1872"/>
            <w:vAlign w:val="center"/>
          </w:tcPr>
          <w:p>
            <w:pPr>
              <w:spacing w:after="40"/>
            </w:pPr>
            <w:r>
              <w:rPr>
                <w:sz w:val="18"/>
              </w:rPr>
            </w:r>
            <w:r>
              <w:rPr>
                <w:sz w:val="18"/>
              </w:rPr>
              <w:t>0.00000</w:t>
            </w:r>
          </w:p>
        </w:tc>
        <w:tc>
          <w:tcPr>
            <w:tcW w:type="dxa" w:w="1872"/>
            <w:vAlign w:val="center"/>
          </w:tcPr>
          <w:p>
            <w:pPr>
              <w:spacing w:after="40"/>
            </w:pPr>
            <w:r>
              <w:rPr>
                <w:sz w:val="18"/>
              </w:rPr>
            </w:r>
            <w:r>
              <w:rPr>
                <w:sz w:val="18"/>
              </w:rPr>
              <w:t>0.00000</w:t>
            </w:r>
          </w:p>
        </w:tc>
      </w:tr>
      <w:tr>
        <w:tc>
          <w:tcPr>
            <w:tcW w:type="dxa" w:w="1872"/>
            <w:vAlign w:val="center"/>
          </w:tcPr>
          <w:p>
            <w:pPr>
              <w:spacing w:after="40"/>
            </w:pPr>
            <w:r>
              <w:rPr>
                <w:sz w:val="18"/>
              </w:rPr>
            </w:r>
            <w:r>
              <w:rPr>
                <w:sz w:val="18"/>
              </w:rPr>
              <w:t>Successful override rate, mean</w:t>
            </w:r>
          </w:p>
        </w:tc>
        <w:tc>
          <w:tcPr>
            <w:tcW w:type="dxa" w:w="1872"/>
            <w:vAlign w:val="center"/>
          </w:tcPr>
          <w:p>
            <w:pPr>
              <w:spacing w:after="40"/>
            </w:pPr>
            <w:r>
              <w:rPr>
                <w:sz w:val="18"/>
              </w:rPr>
            </w:r>
            <w:r>
              <w:rPr>
                <w:sz w:val="18"/>
              </w:rPr>
              <w:t>-</w:t>
            </w:r>
          </w:p>
        </w:tc>
        <w:tc>
          <w:tcPr>
            <w:tcW w:type="dxa" w:w="1872"/>
            <w:vAlign w:val="center"/>
          </w:tcPr>
          <w:p>
            <w:pPr>
              <w:spacing w:after="40"/>
            </w:pPr>
            <w:r>
              <w:rPr>
                <w:sz w:val="18"/>
              </w:rPr>
            </w:r>
            <w:r>
              <w:rPr>
                <w:sz w:val="18"/>
              </w:rPr>
              <w:t>-</w:t>
            </w:r>
          </w:p>
        </w:tc>
        <w:tc>
          <w:tcPr>
            <w:tcW w:type="dxa" w:w="1872"/>
            <w:vAlign w:val="center"/>
          </w:tcPr>
          <w:p>
            <w:pPr>
              <w:spacing w:after="40"/>
            </w:pPr>
            <w:r>
              <w:rPr>
                <w:sz w:val="18"/>
              </w:rPr>
            </w:r>
            <w:r>
              <w:rPr>
                <w:sz w:val="18"/>
              </w:rPr>
              <w:t>0.08125</w:t>
            </w:r>
          </w:p>
        </w:tc>
        <w:tc>
          <w:tcPr>
            <w:tcW w:type="dxa" w:w="1872"/>
            <w:vAlign w:val="center"/>
          </w:tcPr>
          <w:p>
            <w:pPr>
              <w:spacing w:after="40"/>
            </w:pPr>
            <w:r>
              <w:rPr>
                <w:sz w:val="18"/>
              </w:rPr>
            </w:r>
            <w:r>
              <w:rPr>
                <w:sz w:val="18"/>
              </w:rPr>
              <w:t>0.08125</w:t>
            </w:r>
          </w:p>
        </w:tc>
      </w:tr>
      <w:tr>
        <w:tc>
          <w:tcPr>
            <w:tcW w:type="dxa" w:w="1872"/>
            <w:vAlign w:val="center"/>
          </w:tcPr>
          <w:p>
            <w:pPr>
              <w:spacing w:after="40"/>
            </w:pPr>
            <w:r>
              <w:rPr>
                <w:sz w:val="18"/>
              </w:rPr>
            </w:r>
            <w:r>
              <w:rPr>
                <w:sz w:val="18"/>
              </w:rPr>
              <w:t>Recovery over baseline logical failures</w:t>
            </w:r>
          </w:p>
        </w:tc>
        <w:tc>
          <w:tcPr>
            <w:tcW w:type="dxa" w:w="1872"/>
            <w:vAlign w:val="center"/>
          </w:tcPr>
          <w:p>
            <w:pPr>
              <w:spacing w:after="40"/>
            </w:pPr>
            <w:r>
              <w:rPr>
                <w:sz w:val="18"/>
              </w:rPr>
            </w:r>
            <w:r>
              <w:rPr>
                <w:sz w:val="18"/>
              </w:rPr>
              <w:t>-</w:t>
            </w:r>
          </w:p>
        </w:tc>
        <w:tc>
          <w:tcPr>
            <w:tcW w:type="dxa" w:w="1872"/>
            <w:vAlign w:val="center"/>
          </w:tcPr>
          <w:p>
            <w:pPr>
              <w:spacing w:after="40"/>
            </w:pPr>
            <w:r>
              <w:rPr>
                <w:sz w:val="18"/>
              </w:rPr>
            </w:r>
            <w:r>
              <w:rPr>
                <w:sz w:val="18"/>
              </w:rPr>
              <w:t>1.00000</w:t>
            </w:r>
          </w:p>
        </w:tc>
        <w:tc>
          <w:tcPr>
            <w:tcW w:type="dxa" w:w="1872"/>
            <w:vAlign w:val="center"/>
          </w:tcPr>
          <w:p>
            <w:pPr>
              <w:spacing w:after="40"/>
            </w:pPr>
            <w:r>
              <w:rPr>
                <w:sz w:val="18"/>
              </w:rPr>
            </w:r>
            <w:r>
              <w:rPr>
                <w:sz w:val="18"/>
              </w:rPr>
              <w:t>1.00000</w:t>
            </w:r>
          </w:p>
        </w:tc>
        <w:tc>
          <w:tcPr>
            <w:tcW w:type="dxa" w:w="1872"/>
            <w:vAlign w:val="center"/>
          </w:tcPr>
          <w:p>
            <w:pPr>
              <w:spacing w:after="40"/>
            </w:pPr>
            <w:r>
              <w:rPr>
                <w:sz w:val="18"/>
              </w:rPr>
            </w:r>
            <w:r>
              <w:rPr>
                <w:sz w:val="18"/>
              </w:rPr>
              <w:t>1.00000</w:t>
            </w:r>
          </w:p>
        </w:tc>
      </w:tr>
      <w:tr>
        <w:tc>
          <w:tcPr>
            <w:tcW w:type="dxa" w:w="1872"/>
            <w:vAlign w:val="center"/>
          </w:tcPr>
          <w:p>
            <w:pPr>
              <w:spacing w:after="40"/>
            </w:pPr>
            <w:r>
              <w:rPr>
                <w:sz w:val="18"/>
              </w:rPr>
            </w:r>
            <w:r>
              <w:rPr>
                <w:sz w:val="18"/>
              </w:rPr>
              <w:t>QDSV decision time, mean</w:t>
            </w:r>
          </w:p>
        </w:tc>
        <w:tc>
          <w:tcPr>
            <w:tcW w:type="dxa" w:w="1872"/>
            <w:vAlign w:val="center"/>
          </w:tcPr>
          <w:p>
            <w:pPr>
              <w:spacing w:after="40"/>
            </w:pPr>
            <w:r>
              <w:rPr>
                <w:sz w:val="18"/>
              </w:rPr>
            </w:r>
            <w:r>
              <w:rPr>
                <w:sz w:val="18"/>
              </w:rPr>
              <w:t>-</w:t>
            </w:r>
          </w:p>
        </w:tc>
        <w:tc>
          <w:tcPr>
            <w:tcW w:type="dxa" w:w="1872"/>
            <w:vAlign w:val="center"/>
          </w:tcPr>
          <w:p>
            <w:pPr>
              <w:spacing w:after="40"/>
            </w:pPr>
            <w:r>
              <w:rPr>
                <w:sz w:val="18"/>
              </w:rPr>
            </w:r>
            <w:r>
              <w:rPr>
                <w:sz w:val="18"/>
              </w:rPr>
              <w:t>-</w:t>
            </w:r>
          </w:p>
        </w:tc>
        <w:tc>
          <w:tcPr>
            <w:tcW w:type="dxa" w:w="1872"/>
            <w:vAlign w:val="center"/>
          </w:tcPr>
          <w:p>
            <w:pPr>
              <w:spacing w:after="40"/>
            </w:pPr>
            <w:r>
              <w:rPr>
                <w:sz w:val="18"/>
              </w:rPr>
            </w:r>
            <w:r>
              <w:rPr>
                <w:sz w:val="18"/>
              </w:rPr>
              <w:t>7.16 ms</w:t>
            </w:r>
          </w:p>
        </w:tc>
        <w:tc>
          <w:tcPr>
            <w:tcW w:type="dxa" w:w="1872"/>
            <w:vAlign w:val="center"/>
          </w:tcPr>
          <w:p>
            <w:pPr>
              <w:spacing w:after="40"/>
            </w:pPr>
            <w:r>
              <w:rPr>
                <w:sz w:val="18"/>
              </w:rPr>
            </w:r>
            <w:r>
              <w:rPr>
                <w:sz w:val="18"/>
              </w:rPr>
              <w:t>7.16 ms</w:t>
            </w:r>
          </w:p>
        </w:tc>
      </w:tr>
      <w:tr>
        <w:tc>
          <w:tcPr>
            <w:tcW w:type="dxa" w:w="1872"/>
            <w:vAlign w:val="center"/>
          </w:tcPr>
          <w:p>
            <w:pPr>
              <w:spacing w:after="40"/>
            </w:pPr>
            <w:r>
              <w:rPr>
                <w:sz w:val="18"/>
              </w:rPr>
            </w:r>
            <w:r>
              <w:rPr>
                <w:sz w:val="18"/>
              </w:rPr>
              <w:t>Total local policy time, mean</w:t>
            </w:r>
          </w:p>
        </w:tc>
        <w:tc>
          <w:tcPr>
            <w:tcW w:type="dxa" w:w="1872"/>
            <w:vAlign w:val="center"/>
          </w:tcPr>
          <w:p>
            <w:pPr>
              <w:spacing w:after="40"/>
            </w:pPr>
            <w:r>
              <w:rPr>
                <w:sz w:val="18"/>
              </w:rPr>
            </w:r>
            <w:r>
              <w:rPr>
                <w:sz w:val="18"/>
              </w:rPr>
              <w:t>-</w:t>
            </w:r>
          </w:p>
        </w:tc>
        <w:tc>
          <w:tcPr>
            <w:tcW w:type="dxa" w:w="1872"/>
            <w:vAlign w:val="center"/>
          </w:tcPr>
          <w:p>
            <w:pPr>
              <w:spacing w:after="40"/>
            </w:pPr>
            <w:r>
              <w:rPr>
                <w:sz w:val="18"/>
              </w:rPr>
            </w:r>
            <w:r>
              <w:rPr>
                <w:sz w:val="18"/>
              </w:rPr>
              <w:t>-</w:t>
            </w:r>
          </w:p>
        </w:tc>
        <w:tc>
          <w:tcPr>
            <w:tcW w:type="dxa" w:w="1872"/>
            <w:vAlign w:val="center"/>
          </w:tcPr>
          <w:p>
            <w:pPr>
              <w:spacing w:after="40"/>
            </w:pPr>
            <w:r>
              <w:rPr>
                <w:sz w:val="18"/>
              </w:rPr>
            </w:r>
            <w:r>
              <w:rPr>
                <w:sz w:val="18"/>
              </w:rPr>
              <w:t>19.45 ms</w:t>
            </w:r>
          </w:p>
        </w:tc>
        <w:tc>
          <w:tcPr>
            <w:tcW w:type="dxa" w:w="1872"/>
            <w:vAlign w:val="center"/>
          </w:tcPr>
          <w:p>
            <w:pPr>
              <w:spacing w:after="40"/>
            </w:pPr>
            <w:r>
              <w:rPr>
                <w:sz w:val="18"/>
              </w:rPr>
            </w:r>
            <w:r>
              <w:rPr>
                <w:sz w:val="18"/>
              </w:rPr>
              <w:t>19.45 ms</w:t>
            </w:r>
          </w:p>
        </w:tc>
      </w:tr>
    </w:tbl>
    <w:p/>
    <w:p>
      <w:r>
        <w:t>Interpretation: this experiment closes the main causal gap left by proxy-only logical-risk tests. In a known stabilizer-code setting, the selected correction can be evaluated by residual membership in the stabilizer group or normalizer. Under the correctable single-error benchmark, the confidence baseline occasionally selected a high-confidence but formally harmful correction. Raw and guarded QDSV/QIntent selected candidates whose residual was in the stabilizer group and matched the oracle-best candidate set over the available hypotheses.</w:t>
      </w:r>
    </w:p>
    <w:p>
      <w:r>
        <w:t>This result should be interpreted narrowly. It does not prove production qLDPC decoder superiority, and it uses a small correctable-code setting. Its contribution is to demonstrate that QDSV/QIntent decision governance can be evaluated against formal logical-success and logical-failure conditions, not only heuristic risk proxies.</w:t>
      </w:r>
    </w:p>
    <w:p>
      <w:pPr>
        <w:pStyle w:val="Heading2"/>
      </w:pPr>
      <w:r>
        <w:t>6.7 Steane [[7,1,3]] CSS Logical Validation</w:t>
      </w:r>
    </w:p>
    <w:p>
      <w:r>
        <w:t>Configuration:</w:t>
      </w:r>
    </w:p>
    <w:p>
      <w:pPr>
        <w:pStyle w:val="QDSVCode"/>
      </w:pPr>
      <w:r>
        <w:t>Code: Steane [[7,1,3]] CSS stabilizer code</w:t>
      </w:r>
    </w:p>
    <w:p>
      <w:pPr>
        <w:pStyle w:val="QDSVCode"/>
      </w:pPr>
      <w:r>
        <w:t>Stabilizer generators: IIIXXXX, IXXIIXX, XIXIXIX, IIIZZZZ, IZZIIZZ, ZIZIZIZ</w:t>
      </w:r>
    </w:p>
    <w:p>
      <w:pPr>
        <w:pStyle w:val="QDSVCode"/>
      </w:pPr>
      <w:r>
        <w:t>Seeds: 8</w:t>
      </w:r>
    </w:p>
    <w:p>
      <w:pPr>
        <w:pStyle w:val="QDSVCode"/>
      </w:pPr>
      <w:r>
        <w:t>Samples per seed: 40</w:t>
      </w:r>
    </w:p>
    <w:p>
      <w:pPr>
        <w:pStyle w:val="QDSVCode"/>
      </w:pPr>
      <w:r>
        <w:t>Total scenarios: 320</w:t>
      </w:r>
    </w:p>
    <w:p>
      <w:pPr>
        <w:pStyle w:val="QDSVCode"/>
      </w:pPr>
      <w:r>
        <w:t>Error model: correctable single-qubit Pauli errors</w:t>
      </w:r>
    </w:p>
    <w:p>
      <w:pPr>
        <w:pStyle w:val="QDSVCode"/>
      </w:pPr>
      <w:r>
        <w:t>Formal residual: R = C E</w:t>
      </w:r>
    </w:p>
    <w:tbl>
      <w:tblPr>
        <w:tblStyle w:val="TableGrid"/>
        <w:tblW w:type="dxa" w:w="9360"/>
        <w:jc w:val="center"/>
        <w:tblLook w:firstColumn="1" w:firstRow="1" w:lastColumn="0" w:lastRow="0" w:noHBand="0" w:noVBand="1" w:val="04A0"/>
        <w:tblCellMar>
          <w:top w:w="80" w:type="dxa"/>
          <w:start w:w="120" w:type="dxa"/>
          <w:bottom w:w="80" w:type="dxa"/>
          <w:end w:w="120" w:type="dxa"/>
        </w:tblCellMar>
      </w:tblPr>
      <w:tblGrid>
        <w:gridCol w:w="1872"/>
        <w:gridCol w:w="1872"/>
        <w:gridCol w:w="1872"/>
        <w:gridCol w:w="1872"/>
        <w:gridCol w:w="1872"/>
      </w:tblGrid>
      <w:tr>
        <w:tc>
          <w:tcPr>
            <w:tcW w:type="dxa" w:w="1872"/>
            <w:vAlign w:val="center"/>
            <w:shd w:fill="F2F4F7"/>
          </w:tcPr>
          <w:p>
            <w:pPr>
              <w:spacing w:after="40"/>
            </w:pPr>
            <w:r>
              <w:rPr>
                <w:b/>
                <w:sz w:val="18"/>
              </w:rPr>
            </w:r>
            <w:r>
              <w:rPr>
                <w:b/>
                <w:sz w:val="18"/>
              </w:rPr>
              <w:t>Metric</w:t>
            </w:r>
          </w:p>
        </w:tc>
        <w:tc>
          <w:tcPr>
            <w:tcW w:type="dxa" w:w="1872"/>
            <w:vAlign w:val="center"/>
            <w:shd w:fill="F2F4F7"/>
          </w:tcPr>
          <w:p>
            <w:pPr>
              <w:spacing w:after="40"/>
            </w:pPr>
            <w:r>
              <w:rPr>
                <w:b/>
                <w:sz w:val="18"/>
              </w:rPr>
            </w:r>
            <w:r>
              <w:rPr>
                <w:b/>
                <w:sz w:val="18"/>
              </w:rPr>
              <w:t>Confidence baseline</w:t>
            </w:r>
          </w:p>
        </w:tc>
        <w:tc>
          <w:tcPr>
            <w:tcW w:type="dxa" w:w="1872"/>
            <w:vAlign w:val="center"/>
            <w:shd w:fill="F2F4F7"/>
          </w:tcPr>
          <w:p>
            <w:pPr>
              <w:spacing w:after="40"/>
            </w:pPr>
            <w:r>
              <w:rPr>
                <w:b/>
                <w:sz w:val="18"/>
              </w:rPr>
            </w:r>
            <w:r>
              <w:rPr>
                <w:b/>
                <w:sz w:val="18"/>
              </w:rPr>
              <w:t>Oracle best</w:t>
            </w:r>
          </w:p>
        </w:tc>
        <w:tc>
          <w:tcPr>
            <w:tcW w:type="dxa" w:w="1872"/>
            <w:vAlign w:val="center"/>
            <w:shd w:fill="F2F4F7"/>
          </w:tcPr>
          <w:p>
            <w:pPr>
              <w:spacing w:after="40"/>
            </w:pPr>
            <w:r>
              <w:rPr>
                <w:b/>
                <w:sz w:val="18"/>
              </w:rPr>
            </w:r>
            <w:r>
              <w:rPr>
                <w:b/>
                <w:sz w:val="18"/>
              </w:rPr>
              <w:t>QDSV raw</w:t>
            </w:r>
          </w:p>
        </w:tc>
        <w:tc>
          <w:tcPr>
            <w:tcW w:type="dxa" w:w="1872"/>
            <w:vAlign w:val="center"/>
            <w:shd w:fill="F2F4F7"/>
          </w:tcPr>
          <w:p>
            <w:pPr>
              <w:spacing w:after="40"/>
            </w:pPr>
            <w:r>
              <w:rPr>
                <w:b/>
                <w:sz w:val="18"/>
              </w:rPr>
            </w:r>
            <w:r>
              <w:rPr>
                <w:b/>
                <w:sz w:val="18"/>
              </w:rPr>
              <w:t>QDSV guarded</w:t>
            </w:r>
          </w:p>
        </w:tc>
      </w:tr>
      <w:tr>
        <w:tc>
          <w:tcPr>
            <w:tcW w:type="dxa" w:w="1872"/>
            <w:vAlign w:val="center"/>
          </w:tcPr>
          <w:p>
            <w:pPr>
              <w:spacing w:after="40"/>
            </w:pPr>
            <w:r>
              <w:rPr>
                <w:sz w:val="18"/>
              </w:rPr>
            </w:r>
            <w:r>
              <w:rPr>
                <w:sz w:val="18"/>
              </w:rPr>
              <w:t>Formal logical-failure rate, mean</w:t>
            </w:r>
          </w:p>
        </w:tc>
        <w:tc>
          <w:tcPr>
            <w:tcW w:type="dxa" w:w="1872"/>
            <w:vAlign w:val="center"/>
          </w:tcPr>
          <w:p>
            <w:pPr>
              <w:spacing w:after="40"/>
            </w:pPr>
            <w:r>
              <w:rPr>
                <w:sz w:val="18"/>
              </w:rPr>
            </w:r>
            <w:r>
              <w:rPr>
                <w:sz w:val="18"/>
              </w:rPr>
              <w:t>0.121875</w:t>
            </w:r>
          </w:p>
        </w:tc>
        <w:tc>
          <w:tcPr>
            <w:tcW w:type="dxa" w:w="1872"/>
            <w:vAlign w:val="center"/>
          </w:tcPr>
          <w:p>
            <w:pPr>
              <w:spacing w:after="40"/>
            </w:pPr>
            <w:r>
              <w:rPr>
                <w:sz w:val="18"/>
              </w:rPr>
            </w:r>
            <w:r>
              <w:rPr>
                <w:sz w:val="18"/>
              </w:rPr>
              <w:t>0.00000</w:t>
            </w:r>
          </w:p>
        </w:tc>
        <w:tc>
          <w:tcPr>
            <w:tcW w:type="dxa" w:w="1872"/>
            <w:vAlign w:val="center"/>
          </w:tcPr>
          <w:p>
            <w:pPr>
              <w:spacing w:after="40"/>
            </w:pPr>
            <w:r>
              <w:rPr>
                <w:sz w:val="18"/>
              </w:rPr>
            </w:r>
            <w:r>
              <w:rPr>
                <w:sz w:val="18"/>
              </w:rPr>
              <w:t>0.00000</w:t>
            </w:r>
          </w:p>
        </w:tc>
        <w:tc>
          <w:tcPr>
            <w:tcW w:type="dxa" w:w="1872"/>
            <w:vAlign w:val="center"/>
          </w:tcPr>
          <w:p>
            <w:pPr>
              <w:spacing w:after="40"/>
            </w:pPr>
            <w:r>
              <w:rPr>
                <w:sz w:val="18"/>
              </w:rPr>
            </w:r>
            <w:r>
              <w:rPr>
                <w:sz w:val="18"/>
              </w:rPr>
              <w:t>0.00000</w:t>
            </w:r>
          </w:p>
        </w:tc>
      </w:tr>
      <w:tr>
        <w:tc>
          <w:tcPr>
            <w:tcW w:type="dxa" w:w="1872"/>
            <w:vAlign w:val="center"/>
          </w:tcPr>
          <w:p>
            <w:pPr>
              <w:spacing w:after="40"/>
            </w:pPr>
            <w:r>
              <w:rPr>
                <w:sz w:val="18"/>
              </w:rPr>
            </w:r>
            <w:r>
              <w:rPr>
                <w:sz w:val="18"/>
              </w:rPr>
              <w:t>Formal logical-failure rate, std</w:t>
            </w:r>
          </w:p>
        </w:tc>
        <w:tc>
          <w:tcPr>
            <w:tcW w:type="dxa" w:w="1872"/>
            <w:vAlign w:val="center"/>
          </w:tcPr>
          <w:p>
            <w:pPr>
              <w:spacing w:after="40"/>
            </w:pPr>
            <w:r>
              <w:rPr>
                <w:sz w:val="18"/>
              </w:rPr>
            </w:r>
            <w:r>
              <w:rPr>
                <w:sz w:val="18"/>
              </w:rPr>
              <w:t>0.04750</w:t>
            </w:r>
          </w:p>
        </w:tc>
        <w:tc>
          <w:tcPr>
            <w:tcW w:type="dxa" w:w="1872"/>
            <w:vAlign w:val="center"/>
          </w:tcPr>
          <w:p>
            <w:pPr>
              <w:spacing w:after="40"/>
            </w:pPr>
            <w:r>
              <w:rPr>
                <w:sz w:val="18"/>
              </w:rPr>
            </w:r>
            <w:r>
              <w:rPr>
                <w:sz w:val="18"/>
              </w:rPr>
              <w:t>0.00000</w:t>
            </w:r>
          </w:p>
        </w:tc>
        <w:tc>
          <w:tcPr>
            <w:tcW w:type="dxa" w:w="1872"/>
            <w:vAlign w:val="center"/>
          </w:tcPr>
          <w:p>
            <w:pPr>
              <w:spacing w:after="40"/>
            </w:pPr>
            <w:r>
              <w:rPr>
                <w:sz w:val="18"/>
              </w:rPr>
            </w:r>
            <w:r>
              <w:rPr>
                <w:sz w:val="18"/>
              </w:rPr>
              <w:t>0.00000</w:t>
            </w:r>
          </w:p>
        </w:tc>
        <w:tc>
          <w:tcPr>
            <w:tcW w:type="dxa" w:w="1872"/>
            <w:vAlign w:val="center"/>
          </w:tcPr>
          <w:p>
            <w:pPr>
              <w:spacing w:after="40"/>
            </w:pPr>
            <w:r>
              <w:rPr>
                <w:sz w:val="18"/>
              </w:rPr>
            </w:r>
            <w:r>
              <w:rPr>
                <w:sz w:val="18"/>
              </w:rPr>
              <w:t>0.00000</w:t>
            </w:r>
          </w:p>
        </w:tc>
      </w:tr>
      <w:tr>
        <w:tc>
          <w:tcPr>
            <w:tcW w:type="dxa" w:w="1872"/>
            <w:vAlign w:val="center"/>
          </w:tcPr>
          <w:p>
            <w:pPr>
              <w:spacing w:after="40"/>
            </w:pPr>
            <w:r>
              <w:rPr>
                <w:sz w:val="18"/>
              </w:rPr>
            </w:r>
            <w:r>
              <w:rPr>
                <w:sz w:val="18"/>
              </w:rPr>
              <w:t>Formal logical-success rate, mean</w:t>
            </w:r>
          </w:p>
        </w:tc>
        <w:tc>
          <w:tcPr>
            <w:tcW w:type="dxa" w:w="1872"/>
            <w:vAlign w:val="center"/>
          </w:tcPr>
          <w:p>
            <w:pPr>
              <w:spacing w:after="40"/>
            </w:pPr>
            <w:r>
              <w:rPr>
                <w:sz w:val="18"/>
              </w:rPr>
            </w:r>
            <w:r>
              <w:rPr>
                <w:sz w:val="18"/>
              </w:rPr>
              <w:t>0.878125</w:t>
            </w:r>
          </w:p>
        </w:tc>
        <w:tc>
          <w:tcPr>
            <w:tcW w:type="dxa" w:w="1872"/>
            <w:vAlign w:val="center"/>
          </w:tcPr>
          <w:p>
            <w:pPr>
              <w:spacing w:after="40"/>
            </w:pPr>
            <w:r>
              <w:rPr>
                <w:sz w:val="18"/>
              </w:rPr>
            </w:r>
            <w:r>
              <w:rPr>
                <w:sz w:val="18"/>
              </w:rPr>
              <w:t>1.00000</w:t>
            </w:r>
          </w:p>
        </w:tc>
        <w:tc>
          <w:tcPr>
            <w:tcW w:type="dxa" w:w="1872"/>
            <w:vAlign w:val="center"/>
          </w:tcPr>
          <w:p>
            <w:pPr>
              <w:spacing w:after="40"/>
            </w:pPr>
            <w:r>
              <w:rPr>
                <w:sz w:val="18"/>
              </w:rPr>
            </w:r>
            <w:r>
              <w:rPr>
                <w:sz w:val="18"/>
              </w:rPr>
              <w:t>1.00000</w:t>
            </w:r>
          </w:p>
        </w:tc>
        <w:tc>
          <w:tcPr>
            <w:tcW w:type="dxa" w:w="1872"/>
            <w:vAlign w:val="center"/>
          </w:tcPr>
          <w:p>
            <w:pPr>
              <w:spacing w:after="40"/>
            </w:pPr>
            <w:r>
              <w:rPr>
                <w:sz w:val="18"/>
              </w:rPr>
            </w:r>
            <w:r>
              <w:rPr>
                <w:sz w:val="18"/>
              </w:rPr>
              <w:t>1.00000</w:t>
            </w:r>
          </w:p>
        </w:tc>
      </w:tr>
      <w:tr>
        <w:tc>
          <w:tcPr>
            <w:tcW w:type="dxa" w:w="1872"/>
            <w:vAlign w:val="center"/>
          </w:tcPr>
          <w:p>
            <w:pPr>
              <w:spacing w:after="40"/>
            </w:pPr>
            <w:r>
              <w:rPr>
                <w:sz w:val="18"/>
              </w:rPr>
            </w:r>
            <w:r>
              <w:rPr>
                <w:sz w:val="18"/>
              </w:rPr>
              <w:t>Average logical risk, mean</w:t>
            </w:r>
          </w:p>
        </w:tc>
        <w:tc>
          <w:tcPr>
            <w:tcW w:type="dxa" w:w="1872"/>
            <w:vAlign w:val="center"/>
          </w:tcPr>
          <w:p>
            <w:pPr>
              <w:spacing w:after="40"/>
            </w:pPr>
            <w:r>
              <w:rPr>
                <w:sz w:val="18"/>
              </w:rPr>
            </w:r>
            <w:r>
              <w:rPr>
                <w:sz w:val="18"/>
              </w:rPr>
              <w:t>99.71</w:t>
            </w:r>
          </w:p>
        </w:tc>
        <w:tc>
          <w:tcPr>
            <w:tcW w:type="dxa" w:w="1872"/>
            <w:vAlign w:val="center"/>
          </w:tcPr>
          <w:p>
            <w:pPr>
              <w:spacing w:after="40"/>
            </w:pPr>
            <w:r>
              <w:rPr>
                <w:sz w:val="18"/>
              </w:rPr>
            </w:r>
            <w:r>
              <w:rPr>
                <w:sz w:val="18"/>
              </w:rPr>
              <w:t>70.91</w:t>
            </w:r>
          </w:p>
        </w:tc>
        <w:tc>
          <w:tcPr>
            <w:tcW w:type="dxa" w:w="1872"/>
            <w:vAlign w:val="center"/>
          </w:tcPr>
          <w:p>
            <w:pPr>
              <w:spacing w:after="40"/>
            </w:pPr>
            <w:r>
              <w:rPr>
                <w:sz w:val="18"/>
              </w:rPr>
            </w:r>
            <w:r>
              <w:rPr>
                <w:sz w:val="18"/>
              </w:rPr>
              <w:t>70.91</w:t>
            </w:r>
          </w:p>
        </w:tc>
        <w:tc>
          <w:tcPr>
            <w:tcW w:type="dxa" w:w="1872"/>
            <w:vAlign w:val="center"/>
          </w:tcPr>
          <w:p>
            <w:pPr>
              <w:spacing w:after="40"/>
            </w:pPr>
            <w:r>
              <w:rPr>
                <w:sz w:val="18"/>
              </w:rPr>
            </w:r>
            <w:r>
              <w:rPr>
                <w:sz w:val="18"/>
              </w:rPr>
              <w:t>70.91</w:t>
            </w:r>
          </w:p>
        </w:tc>
      </w:tr>
      <w:tr>
        <w:tc>
          <w:tcPr>
            <w:tcW w:type="dxa" w:w="1872"/>
            <w:vAlign w:val="center"/>
          </w:tcPr>
          <w:p>
            <w:pPr>
              <w:spacing w:after="40"/>
            </w:pPr>
            <w:r>
              <w:rPr>
                <w:sz w:val="18"/>
              </w:rPr>
            </w:r>
            <w:r>
              <w:rPr>
                <w:sz w:val="18"/>
              </w:rPr>
              <w:t>Average risk delta vs baseline</w:t>
            </w:r>
          </w:p>
        </w:tc>
        <w:tc>
          <w:tcPr>
            <w:tcW w:type="dxa" w:w="1872"/>
            <w:vAlign w:val="center"/>
          </w:tcPr>
          <w:p>
            <w:pPr>
              <w:spacing w:after="40"/>
            </w:pPr>
            <w:r>
              <w:rPr>
                <w:sz w:val="18"/>
              </w:rPr>
            </w:r>
            <w:r>
              <w:rPr>
                <w:sz w:val="18"/>
              </w:rPr>
              <w:t>-</w:t>
            </w:r>
          </w:p>
        </w:tc>
        <w:tc>
          <w:tcPr>
            <w:tcW w:type="dxa" w:w="1872"/>
            <w:vAlign w:val="center"/>
          </w:tcPr>
          <w:p>
            <w:pPr>
              <w:spacing w:after="40"/>
            </w:pPr>
            <w:r>
              <w:rPr>
                <w:sz w:val="18"/>
              </w:rPr>
            </w:r>
            <w:r>
              <w:rPr>
                <w:sz w:val="18"/>
              </w:rPr>
              <w:t>28.81</w:t>
            </w:r>
          </w:p>
        </w:tc>
        <w:tc>
          <w:tcPr>
            <w:tcW w:type="dxa" w:w="1872"/>
            <w:vAlign w:val="center"/>
          </w:tcPr>
          <w:p>
            <w:pPr>
              <w:spacing w:after="40"/>
            </w:pPr>
            <w:r>
              <w:rPr>
                <w:sz w:val="18"/>
              </w:rPr>
            </w:r>
            <w:r>
              <w:rPr>
                <w:sz w:val="18"/>
              </w:rPr>
              <w:t>28.81</w:t>
            </w:r>
          </w:p>
        </w:tc>
        <w:tc>
          <w:tcPr>
            <w:tcW w:type="dxa" w:w="1872"/>
            <w:vAlign w:val="center"/>
          </w:tcPr>
          <w:p>
            <w:pPr>
              <w:spacing w:after="40"/>
            </w:pPr>
            <w:r>
              <w:rPr>
                <w:sz w:val="18"/>
              </w:rPr>
            </w:r>
            <w:r>
              <w:rPr>
                <w:sz w:val="18"/>
              </w:rPr>
              <w:t>28.81</w:t>
            </w:r>
          </w:p>
        </w:tc>
      </w:tr>
      <w:tr>
        <w:tc>
          <w:tcPr>
            <w:tcW w:type="dxa" w:w="1872"/>
            <w:vAlign w:val="center"/>
          </w:tcPr>
          <w:p>
            <w:pPr>
              <w:spacing w:after="40"/>
            </w:pPr>
            <w:r>
              <w:rPr>
                <w:sz w:val="18"/>
              </w:rPr>
            </w:r>
            <w:r>
              <w:rPr>
                <w:sz w:val="18"/>
              </w:rPr>
              <w:t>Override rate, mean</w:t>
            </w:r>
          </w:p>
        </w:tc>
        <w:tc>
          <w:tcPr>
            <w:tcW w:type="dxa" w:w="1872"/>
            <w:vAlign w:val="center"/>
          </w:tcPr>
          <w:p>
            <w:pPr>
              <w:spacing w:after="40"/>
            </w:pPr>
            <w:r>
              <w:rPr>
                <w:sz w:val="18"/>
              </w:rPr>
            </w:r>
            <w:r>
              <w:rPr>
                <w:sz w:val="18"/>
              </w:rPr>
              <w:t>-</w:t>
            </w:r>
          </w:p>
        </w:tc>
        <w:tc>
          <w:tcPr>
            <w:tcW w:type="dxa" w:w="1872"/>
            <w:vAlign w:val="center"/>
          </w:tcPr>
          <w:p>
            <w:pPr>
              <w:spacing w:after="40"/>
            </w:pPr>
            <w:r>
              <w:rPr>
                <w:sz w:val="18"/>
              </w:rPr>
            </w:r>
            <w:r>
              <w:rPr>
                <w:sz w:val="18"/>
              </w:rPr>
              <w:t>-</w:t>
            </w:r>
          </w:p>
        </w:tc>
        <w:tc>
          <w:tcPr>
            <w:tcW w:type="dxa" w:w="1872"/>
            <w:vAlign w:val="center"/>
          </w:tcPr>
          <w:p>
            <w:pPr>
              <w:spacing w:after="40"/>
            </w:pPr>
            <w:r>
              <w:rPr>
                <w:sz w:val="18"/>
              </w:rPr>
            </w:r>
            <w:r>
              <w:rPr>
                <w:sz w:val="18"/>
              </w:rPr>
              <w:t>0.121875</w:t>
            </w:r>
          </w:p>
        </w:tc>
        <w:tc>
          <w:tcPr>
            <w:tcW w:type="dxa" w:w="1872"/>
            <w:vAlign w:val="center"/>
          </w:tcPr>
          <w:p>
            <w:pPr>
              <w:spacing w:after="40"/>
            </w:pPr>
            <w:r>
              <w:rPr>
                <w:sz w:val="18"/>
              </w:rPr>
            </w:r>
            <w:r>
              <w:rPr>
                <w:sz w:val="18"/>
              </w:rPr>
              <w:t>0.121875 accepted</w:t>
            </w:r>
          </w:p>
        </w:tc>
      </w:tr>
      <w:tr>
        <w:tc>
          <w:tcPr>
            <w:tcW w:type="dxa" w:w="1872"/>
            <w:vAlign w:val="center"/>
          </w:tcPr>
          <w:p>
            <w:pPr>
              <w:spacing w:after="40"/>
            </w:pPr>
            <w:r>
              <w:rPr>
                <w:sz w:val="18"/>
              </w:rPr>
            </w:r>
            <w:r>
              <w:rPr>
                <w:sz w:val="18"/>
              </w:rPr>
              <w:t>Bad override rate, mean</w:t>
            </w:r>
          </w:p>
        </w:tc>
        <w:tc>
          <w:tcPr>
            <w:tcW w:type="dxa" w:w="1872"/>
            <w:vAlign w:val="center"/>
          </w:tcPr>
          <w:p>
            <w:pPr>
              <w:spacing w:after="40"/>
            </w:pPr>
            <w:r>
              <w:rPr>
                <w:sz w:val="18"/>
              </w:rPr>
            </w:r>
            <w:r>
              <w:rPr>
                <w:sz w:val="18"/>
              </w:rPr>
              <w:t>-</w:t>
            </w:r>
          </w:p>
        </w:tc>
        <w:tc>
          <w:tcPr>
            <w:tcW w:type="dxa" w:w="1872"/>
            <w:vAlign w:val="center"/>
          </w:tcPr>
          <w:p>
            <w:pPr>
              <w:spacing w:after="40"/>
            </w:pPr>
            <w:r>
              <w:rPr>
                <w:sz w:val="18"/>
              </w:rPr>
            </w:r>
            <w:r>
              <w:rPr>
                <w:sz w:val="18"/>
              </w:rPr>
              <w:t>-</w:t>
            </w:r>
          </w:p>
        </w:tc>
        <w:tc>
          <w:tcPr>
            <w:tcW w:type="dxa" w:w="1872"/>
            <w:vAlign w:val="center"/>
          </w:tcPr>
          <w:p>
            <w:pPr>
              <w:spacing w:after="40"/>
            </w:pPr>
            <w:r>
              <w:rPr>
                <w:sz w:val="18"/>
              </w:rPr>
            </w:r>
            <w:r>
              <w:rPr>
                <w:sz w:val="18"/>
              </w:rPr>
              <w:t>0.00000</w:t>
            </w:r>
          </w:p>
        </w:tc>
        <w:tc>
          <w:tcPr>
            <w:tcW w:type="dxa" w:w="1872"/>
            <w:vAlign w:val="center"/>
          </w:tcPr>
          <w:p>
            <w:pPr>
              <w:spacing w:after="40"/>
            </w:pPr>
            <w:r>
              <w:rPr>
                <w:sz w:val="18"/>
              </w:rPr>
            </w:r>
            <w:r>
              <w:rPr>
                <w:sz w:val="18"/>
              </w:rPr>
              <w:t>0.00000</w:t>
            </w:r>
          </w:p>
        </w:tc>
      </w:tr>
      <w:tr>
        <w:tc>
          <w:tcPr>
            <w:tcW w:type="dxa" w:w="1872"/>
            <w:vAlign w:val="center"/>
          </w:tcPr>
          <w:p>
            <w:pPr>
              <w:spacing w:after="40"/>
            </w:pPr>
            <w:r>
              <w:rPr>
                <w:sz w:val="18"/>
              </w:rPr>
            </w:r>
            <w:r>
              <w:rPr>
                <w:sz w:val="18"/>
              </w:rPr>
              <w:t>Successful override rate, mean</w:t>
            </w:r>
          </w:p>
        </w:tc>
        <w:tc>
          <w:tcPr>
            <w:tcW w:type="dxa" w:w="1872"/>
            <w:vAlign w:val="center"/>
          </w:tcPr>
          <w:p>
            <w:pPr>
              <w:spacing w:after="40"/>
            </w:pPr>
            <w:r>
              <w:rPr>
                <w:sz w:val="18"/>
              </w:rPr>
            </w:r>
            <w:r>
              <w:rPr>
                <w:sz w:val="18"/>
              </w:rPr>
              <w:t>-</w:t>
            </w:r>
          </w:p>
        </w:tc>
        <w:tc>
          <w:tcPr>
            <w:tcW w:type="dxa" w:w="1872"/>
            <w:vAlign w:val="center"/>
          </w:tcPr>
          <w:p>
            <w:pPr>
              <w:spacing w:after="40"/>
            </w:pPr>
            <w:r>
              <w:rPr>
                <w:sz w:val="18"/>
              </w:rPr>
            </w:r>
            <w:r>
              <w:rPr>
                <w:sz w:val="18"/>
              </w:rPr>
              <w:t>-</w:t>
            </w:r>
          </w:p>
        </w:tc>
        <w:tc>
          <w:tcPr>
            <w:tcW w:type="dxa" w:w="1872"/>
            <w:vAlign w:val="center"/>
          </w:tcPr>
          <w:p>
            <w:pPr>
              <w:spacing w:after="40"/>
            </w:pPr>
            <w:r>
              <w:rPr>
                <w:sz w:val="18"/>
              </w:rPr>
            </w:r>
            <w:r>
              <w:rPr>
                <w:sz w:val="18"/>
              </w:rPr>
              <w:t>0.121875</w:t>
            </w:r>
          </w:p>
        </w:tc>
        <w:tc>
          <w:tcPr>
            <w:tcW w:type="dxa" w:w="1872"/>
            <w:vAlign w:val="center"/>
          </w:tcPr>
          <w:p>
            <w:pPr>
              <w:spacing w:after="40"/>
            </w:pPr>
            <w:r>
              <w:rPr>
                <w:sz w:val="18"/>
              </w:rPr>
            </w:r>
            <w:r>
              <w:rPr>
                <w:sz w:val="18"/>
              </w:rPr>
              <w:t>0.121875</w:t>
            </w:r>
          </w:p>
        </w:tc>
      </w:tr>
      <w:tr>
        <w:tc>
          <w:tcPr>
            <w:tcW w:type="dxa" w:w="1872"/>
            <w:vAlign w:val="center"/>
          </w:tcPr>
          <w:p>
            <w:pPr>
              <w:spacing w:after="40"/>
            </w:pPr>
            <w:r>
              <w:rPr>
                <w:sz w:val="18"/>
              </w:rPr>
            </w:r>
            <w:r>
              <w:rPr>
                <w:sz w:val="18"/>
              </w:rPr>
              <w:t>Recovery over baseline logical failures</w:t>
            </w:r>
          </w:p>
        </w:tc>
        <w:tc>
          <w:tcPr>
            <w:tcW w:type="dxa" w:w="1872"/>
            <w:vAlign w:val="center"/>
          </w:tcPr>
          <w:p>
            <w:pPr>
              <w:spacing w:after="40"/>
            </w:pPr>
            <w:r>
              <w:rPr>
                <w:sz w:val="18"/>
              </w:rPr>
            </w:r>
            <w:r>
              <w:rPr>
                <w:sz w:val="18"/>
              </w:rPr>
              <w:t>-</w:t>
            </w:r>
          </w:p>
        </w:tc>
        <w:tc>
          <w:tcPr>
            <w:tcW w:type="dxa" w:w="1872"/>
            <w:vAlign w:val="center"/>
          </w:tcPr>
          <w:p>
            <w:pPr>
              <w:spacing w:after="40"/>
            </w:pPr>
            <w:r>
              <w:rPr>
                <w:sz w:val="18"/>
              </w:rPr>
            </w:r>
            <w:r>
              <w:rPr>
                <w:sz w:val="18"/>
              </w:rPr>
              <w:t>1.00000</w:t>
            </w:r>
          </w:p>
        </w:tc>
        <w:tc>
          <w:tcPr>
            <w:tcW w:type="dxa" w:w="1872"/>
            <w:vAlign w:val="center"/>
          </w:tcPr>
          <w:p>
            <w:pPr>
              <w:spacing w:after="40"/>
            </w:pPr>
            <w:r>
              <w:rPr>
                <w:sz w:val="18"/>
              </w:rPr>
            </w:r>
            <w:r>
              <w:rPr>
                <w:sz w:val="18"/>
              </w:rPr>
              <w:t>1.00000</w:t>
            </w:r>
          </w:p>
        </w:tc>
        <w:tc>
          <w:tcPr>
            <w:tcW w:type="dxa" w:w="1872"/>
            <w:vAlign w:val="center"/>
          </w:tcPr>
          <w:p>
            <w:pPr>
              <w:spacing w:after="40"/>
            </w:pPr>
            <w:r>
              <w:rPr>
                <w:sz w:val="18"/>
              </w:rPr>
            </w:r>
            <w:r>
              <w:rPr>
                <w:sz w:val="18"/>
              </w:rPr>
              <w:t>1.00000</w:t>
            </w:r>
          </w:p>
        </w:tc>
      </w:tr>
      <w:tr>
        <w:tc>
          <w:tcPr>
            <w:tcW w:type="dxa" w:w="1872"/>
            <w:vAlign w:val="center"/>
          </w:tcPr>
          <w:p>
            <w:pPr>
              <w:spacing w:after="40"/>
            </w:pPr>
            <w:r>
              <w:rPr>
                <w:sz w:val="18"/>
              </w:rPr>
            </w:r>
            <w:r>
              <w:rPr>
                <w:sz w:val="18"/>
              </w:rPr>
              <w:t>QDSV decision time, mean</w:t>
            </w:r>
          </w:p>
        </w:tc>
        <w:tc>
          <w:tcPr>
            <w:tcW w:type="dxa" w:w="1872"/>
            <w:vAlign w:val="center"/>
          </w:tcPr>
          <w:p>
            <w:pPr>
              <w:spacing w:after="40"/>
            </w:pPr>
            <w:r>
              <w:rPr>
                <w:sz w:val="18"/>
              </w:rPr>
            </w:r>
            <w:r>
              <w:rPr>
                <w:sz w:val="18"/>
              </w:rPr>
              <w:t>-</w:t>
            </w:r>
          </w:p>
        </w:tc>
        <w:tc>
          <w:tcPr>
            <w:tcW w:type="dxa" w:w="1872"/>
            <w:vAlign w:val="center"/>
          </w:tcPr>
          <w:p>
            <w:pPr>
              <w:spacing w:after="40"/>
            </w:pPr>
            <w:r>
              <w:rPr>
                <w:sz w:val="18"/>
              </w:rPr>
            </w:r>
            <w:r>
              <w:rPr>
                <w:sz w:val="18"/>
              </w:rPr>
              <w:t>-</w:t>
            </w:r>
          </w:p>
        </w:tc>
        <w:tc>
          <w:tcPr>
            <w:tcW w:type="dxa" w:w="1872"/>
            <w:vAlign w:val="center"/>
          </w:tcPr>
          <w:p>
            <w:pPr>
              <w:spacing w:after="40"/>
            </w:pPr>
            <w:r>
              <w:rPr>
                <w:sz w:val="18"/>
              </w:rPr>
            </w:r>
            <w:r>
              <w:rPr>
                <w:sz w:val="18"/>
              </w:rPr>
              <w:t>2.79 ms</w:t>
            </w:r>
          </w:p>
        </w:tc>
        <w:tc>
          <w:tcPr>
            <w:tcW w:type="dxa" w:w="1872"/>
            <w:vAlign w:val="center"/>
          </w:tcPr>
          <w:p>
            <w:pPr>
              <w:spacing w:after="40"/>
            </w:pPr>
            <w:r>
              <w:rPr>
                <w:sz w:val="18"/>
              </w:rPr>
            </w:r>
            <w:r>
              <w:rPr>
                <w:sz w:val="18"/>
              </w:rPr>
              <w:t>2.79 ms</w:t>
            </w:r>
          </w:p>
        </w:tc>
      </w:tr>
      <w:tr>
        <w:tc>
          <w:tcPr>
            <w:tcW w:type="dxa" w:w="1872"/>
            <w:vAlign w:val="center"/>
          </w:tcPr>
          <w:p>
            <w:pPr>
              <w:spacing w:after="40"/>
            </w:pPr>
            <w:r>
              <w:rPr>
                <w:sz w:val="18"/>
              </w:rPr>
            </w:r>
            <w:r>
              <w:rPr>
                <w:sz w:val="18"/>
              </w:rPr>
              <w:t>Total local policy time, mean</w:t>
            </w:r>
          </w:p>
        </w:tc>
        <w:tc>
          <w:tcPr>
            <w:tcW w:type="dxa" w:w="1872"/>
            <w:vAlign w:val="center"/>
          </w:tcPr>
          <w:p>
            <w:pPr>
              <w:spacing w:after="40"/>
            </w:pPr>
            <w:r>
              <w:rPr>
                <w:sz w:val="18"/>
              </w:rPr>
            </w:r>
            <w:r>
              <w:rPr>
                <w:sz w:val="18"/>
              </w:rPr>
              <w:t>-</w:t>
            </w:r>
          </w:p>
        </w:tc>
        <w:tc>
          <w:tcPr>
            <w:tcW w:type="dxa" w:w="1872"/>
            <w:vAlign w:val="center"/>
          </w:tcPr>
          <w:p>
            <w:pPr>
              <w:spacing w:after="40"/>
            </w:pPr>
            <w:r>
              <w:rPr>
                <w:sz w:val="18"/>
              </w:rPr>
            </w:r>
            <w:r>
              <w:rPr>
                <w:sz w:val="18"/>
              </w:rPr>
              <w:t>-</w:t>
            </w:r>
          </w:p>
        </w:tc>
        <w:tc>
          <w:tcPr>
            <w:tcW w:type="dxa" w:w="1872"/>
            <w:vAlign w:val="center"/>
          </w:tcPr>
          <w:p>
            <w:pPr>
              <w:spacing w:after="40"/>
            </w:pPr>
            <w:r>
              <w:rPr>
                <w:sz w:val="18"/>
              </w:rPr>
            </w:r>
            <w:r>
              <w:rPr>
                <w:sz w:val="18"/>
              </w:rPr>
              <w:t>12.28 ms</w:t>
            </w:r>
          </w:p>
        </w:tc>
        <w:tc>
          <w:tcPr>
            <w:tcW w:type="dxa" w:w="1872"/>
            <w:vAlign w:val="center"/>
          </w:tcPr>
          <w:p>
            <w:pPr>
              <w:spacing w:after="40"/>
            </w:pPr>
            <w:r>
              <w:rPr>
                <w:sz w:val="18"/>
              </w:rPr>
            </w:r>
            <w:r>
              <w:rPr>
                <w:sz w:val="18"/>
              </w:rPr>
              <w:t>12.28 ms</w:t>
            </w:r>
          </w:p>
        </w:tc>
      </w:tr>
    </w:tbl>
    <w:p/>
    <w:p>
      <w:r>
        <w:t>Interpretation: the Steane experiment reproduces the formal logical-preservation pattern in a CSS stabilizer code. The confidence baseline occasionally selected high-confidence multi-Pauli candidates whose residual was a non-trivial logical operator. Raw and guarded QDSV/QIntent selected candidates whose residual belonged to the stabilizer group and matched the oracle-best candidate set over the available hypotheses.</w:t>
      </w:r>
    </w:p>
    <w:p>
      <w:r>
        <w:t>The scientific value is not that QDSV is perfect in this small setting. The value is cross-code consistency: the same decision-governance pattern that worked in the 5-qubit stabilizer code also worked in a CSS code with explicit X/Z stabilizer structure. This reduces the risk that the formal logical-preservation result is an artifact of a single code.</w:t>
      </w:r>
    </w:p>
    <w:p>
      <w:pPr>
        <w:pStyle w:val="Heading1"/>
      </w:pPr>
      <w:r>
        <w:t>7. Discussion</w:t>
      </w:r>
    </w:p>
    <w:p>
      <w:r>
        <w:t>The strongest contribution of QDSV/QIntent in these experiments is not replacing a decoder. The contribution is guarded semantic governance over decoder outputs.</w:t>
      </w:r>
    </w:p>
    <w:p>
      <w:r>
        <w:t>The experiments show six important behaviors:</w:t>
      </w:r>
    </w:p>
    <w:p>
      <w:pPr>
        <w:pStyle w:val="ListNumber"/>
      </w:pPr>
      <w:r>
        <w:t>Raw QDSV/QIntent can use logical-risk and safety signals to override unsafe confidence-only selections.</w:t>
      </w:r>
    </w:p>
    <w:p>
      <w:pPr>
        <w:pStyle w:val="ListNumber"/>
      </w:pPr>
      <w:r>
        <w:t>Guarded QDSV/QIntent can reduce bad overrides and preserve reliable baseline decisions.</w:t>
      </w:r>
    </w:p>
    <w:p>
      <w:pPr>
        <w:pStyle w:val="ListNumber"/>
      </w:pPr>
      <w:r>
        <w:t>When evidence is insufficient, ambiguity audits reveal where more decoder information is required.</w:t>
      </w:r>
    </w:p>
    <w:p>
      <w:pPr>
        <w:pStyle w:val="ListNumber"/>
      </w:pPr>
      <w:r>
        <w:t>With real external LDPC decoder outputs, QDSV/QIntent can recover from BP failures by selecting across BP, BP+OSD, BP+LSD and compatible alternatives.</w:t>
      </w:r>
    </w:p>
    <w:p>
      <w:pPr>
        <w:pStyle w:val="ListNumber"/>
      </w:pPr>
      <w:r>
        <w:t>In known stabilizer-code settings, QDSV/QIntent decisions can be evaluated against formal residual membership conditions rather than only proxy risk metrics.</w:t>
      </w:r>
    </w:p>
    <w:p>
      <w:pPr>
        <w:pStyle w:val="ListNumber"/>
      </w:pPr>
      <w:r>
        <w:t>The formal logical-preservation behavior was reproduced across two small code families: a 5-qubit perfect stabilizer code and the Steane CSS code.</w:t>
      </w:r>
    </w:p>
    <w:p>
      <w:r>
        <w:t>The results suggest that QDSV/QIntent is most useful as a policy and audit layer in the post-decoding workflow:</w:t>
      </w:r>
    </w:p>
    <w:p>
      <w:pPr>
        <w:pStyle w:val="QDSVCode"/>
      </w:pPr>
      <w:r>
        <w:t>decoder candidate generation</w:t>
      </w:r>
    </w:p>
    <w:p>
      <w:pPr>
        <w:pStyle w:val="QDSVCode"/>
      </w:pPr>
      <w:r>
        <w:t>-&gt; semantic evidence organization</w:t>
      </w:r>
    </w:p>
    <w:p>
      <w:pPr>
        <w:pStyle w:val="QDSVCode"/>
      </w:pPr>
      <w:r>
        <w:t>-&gt; raw risk-aware candidate selection</w:t>
      </w:r>
    </w:p>
    <w:p>
      <w:pPr>
        <w:pStyle w:val="QDSVCode"/>
      </w:pPr>
      <w:r>
        <w:t>-&gt; guarded override / rejection policy</w:t>
      </w:r>
    </w:p>
    <w:p>
      <w:pPr>
        <w:pStyle w:val="QDSVCode"/>
      </w:pPr>
      <w:r>
        <w:t>-&gt; reproducible decision trace</w:t>
      </w:r>
    </w:p>
    <w:p>
      <w:pPr>
        <w:pStyle w:val="Heading1"/>
      </w:pPr>
      <w:r>
        <w:t>8. Limitations</w:t>
      </w:r>
    </w:p>
    <w:p>
      <w:r>
        <w:t>This work remains preliminary.</w:t>
      </w:r>
    </w:p>
    <w:p>
      <w:r>
        <w:t>Limitations:</w:t>
      </w:r>
    </w:p>
    <w:p>
      <w:pPr>
        <w:pStyle w:val="ListBullet"/>
      </w:pPr>
      <w:r>
        <w:t>The LDPC/qLDPC-style check matrices are sparse synthetic structures; they are useful for controlled decision-governance tests but are not production qLDPC code families.</w:t>
      </w:r>
    </w:p>
    <w:p>
      <w:pPr>
        <w:pStyle w:val="ListBullet"/>
      </w:pPr>
      <w:r>
        <w:t>Formal residual classification has so far been demonstrated only on small correctable single-error settings: the 5-qubit perfect stabilizer code and the Steane [[7,1,3]] CSS code.</w:t>
      </w:r>
    </w:p>
    <w:p>
      <w:pPr>
        <w:pStyle w:val="ListBullet"/>
      </w:pPr>
      <w:r>
        <w:t>The experiments do not demonstrate scalability to large qLDPC codes, repeated syndrome extraction cycles or full fault-tolerant operation.</w:t>
      </w:r>
    </w:p>
    <w:p>
      <w:pPr>
        <w:pStyle w:val="ListBullet"/>
      </w:pPr>
      <w:r>
        <w:t>The experiments are offline and do not establish real-time decoding suitability, even though local QDSV decision timing is instrumented.</w:t>
      </w:r>
    </w:p>
    <w:p>
      <w:pPr>
        <w:pStyle w:val="ListBullet"/>
      </w:pPr>
      <w:r>
        <w:t xml:space="preserve">The external </w:t>
      </w:r>
      <w:r>
        <w:rPr>
          <w:rFonts w:ascii="Consolas" w:hAnsi="Consolas"/>
          <w:sz w:val="20"/>
        </w:rPr>
        <w:t>ldpc</w:t>
      </w:r>
      <w:r>
        <w:t xml:space="preserve"> experiment focuses on BP-failure recovery and does not claim superiority over BP+OSD or BP+LSD as standalone decoders.</w:t>
      </w:r>
    </w:p>
    <w:p>
      <w:pPr>
        <w:pStyle w:val="ListBullet"/>
      </w:pPr>
      <w:r>
        <w:t>Raw QDSV can still produce harmful overrides in some settings; guarded QDSV reduces but does not mathematically eliminate all bad override risk.</w:t>
      </w:r>
    </w:p>
    <w:p>
      <w:pPr>
        <w:pStyle w:val="ListBullet"/>
      </w:pPr>
      <w:r>
        <w:t>The IBM hardware-oriented run is intentionally small and validates handoff from hardware syndrome counts, not hardware fault tolerance or production qLDPC decoding.</w:t>
      </w:r>
    </w:p>
    <w:p>
      <w:pPr>
        <w:pStyle w:val="ListBullet"/>
      </w:pPr>
      <w:r>
        <w:t xml:space="preserve">The </w:t>
      </w:r>
      <w:r>
        <w:rPr>
          <w:rFonts w:ascii="Consolas" w:hAnsi="Consolas"/>
          <w:sz w:val="20"/>
        </w:rPr>
        <w:t>oracle_best</w:t>
      </w:r>
      <w:r>
        <w:t xml:space="preserve"> rows are upper-bound references over available candidate sets. They are not deployable baselines and are not part of the proposed method.</w:t>
      </w:r>
    </w:p>
    <w:p>
      <w:pPr>
        <w:pStyle w:val="Heading1"/>
      </w:pPr>
      <w:r>
        <w:t>9. Future Work</w:t>
      </w:r>
    </w:p>
    <w:p>
      <w:r>
        <w:t>Before submission to a stronger venue, the most important next steps are:</w:t>
      </w:r>
    </w:p>
    <w:p>
      <w:pPr>
        <w:pStyle w:val="ListNumber"/>
      </w:pPr>
      <w:r>
        <w:t>Extend formal logical analysis from the 5-qubit and Steane stabilizer benchmarks to surface-code and qLDPC-style code families.</w:t>
      </w:r>
    </w:p>
    <w:p>
      <w:pPr>
        <w:pStyle w:val="ListNumber"/>
      </w:pPr>
      <w:r>
        <w:t>Test known LDPC/qLDPC code constructions rather than only synthetic sparse matrices.</w:t>
      </w:r>
    </w:p>
    <w:p>
      <w:pPr>
        <w:pStyle w:val="ListNumber"/>
      </w:pPr>
      <w:r>
        <w:t>Tune guarded decision policies against larger decoder ensembles and policy-ablation baselines.</w:t>
      </w:r>
    </w:p>
    <w:p>
      <w:pPr>
        <w:pStyle w:val="ListNumber"/>
      </w:pPr>
      <w:r>
        <w:t>Measure latency and identify which parts could run in real-time versus offline audit.</w:t>
      </w:r>
    </w:p>
    <w:p>
      <w:pPr>
        <w:pStyle w:val="ListNumber"/>
      </w:pPr>
      <w:r>
        <w:t xml:space="preserve">Evaluate noisy syndrome/readout conditions using </w:t>
      </w:r>
      <w:r>
        <w:rPr>
          <w:rFonts w:ascii="Consolas" w:hAnsi="Consolas"/>
          <w:sz w:val="20"/>
        </w:rPr>
        <w:t>SoftInfoBpDecoder</w:t>
      </w:r>
      <w:r>
        <w:t xml:space="preserve"> or related workflows.</w:t>
      </w:r>
    </w:p>
    <w:p>
      <w:pPr>
        <w:pStyle w:val="ListNumber"/>
      </w:pPr>
      <w:r>
        <w:t>Compare against BP+OSD/BP+LSD as baselines, while keeping the claim focused on post-decoding policy rather than decoder replacement.</w:t>
      </w:r>
    </w:p>
    <w:p>
      <w:pPr>
        <w:pStyle w:val="Heading2"/>
      </w:pPr>
      <w:r>
        <w:t>9.1 Hardware-Oriented Validation Status</w:t>
      </w:r>
    </w:p>
    <w:p>
      <w:r>
        <w:t>The first IBM hardware-oriented syndrome experiment has been executed. The goal was not to claim production qLDPC decoding, but to validate the handoff:</w:t>
      </w:r>
    </w:p>
    <w:p>
      <w:pPr>
        <w:pStyle w:val="QDSVCode"/>
      </w:pPr>
      <w:r>
        <w:t>IBM hardware counts</w:t>
      </w:r>
    </w:p>
    <w:p>
      <w:pPr>
        <w:pStyle w:val="QDSVCode"/>
      </w:pPr>
      <w:r>
        <w:t>-&gt; syndrome evidence</w:t>
      </w:r>
    </w:p>
    <w:p>
      <w:pPr>
        <w:pStyle w:val="QDSVCode"/>
      </w:pPr>
      <w:r>
        <w:t>-&gt; candidate correction hypotheses</w:t>
      </w:r>
    </w:p>
    <w:p>
      <w:pPr>
        <w:pStyle w:val="QDSVCode"/>
      </w:pPr>
      <w:r>
        <w:t>-&gt; QDSV/QIntent post-decoding ranking</w:t>
      </w:r>
    </w:p>
    <w:p>
      <w:pPr>
        <w:pStyle w:val="QDSVCode"/>
      </w:pPr>
      <w:r>
        <w:t>-&gt; reproducible audit evidence</w:t>
      </w:r>
    </w:p>
    <w:p>
      <w:r>
        <w:t>A Colab-ready notebook remains available to repeat this step:</w:t>
      </w:r>
    </w:p>
    <w:p>
      <w:pPr>
        <w:pStyle w:val="QDSVCode"/>
      </w:pPr>
      <w:r>
        <w:t>notebooks/qldpc_ibm_hardware_syndrome_validation_colab.ipynb</w:t>
      </w:r>
    </w:p>
    <w:p>
      <w:r>
        <w:t>The notebook runs first on Aer, then optionally on IBM Quantum hardware using a user-supplied IBM token. The QDSV/QIntent side does not require a QDSV API key for this public workflow.</w:t>
      </w:r>
    </w:p>
    <w:p>
      <w:r>
        <w:t xml:space="preserve">The executed </w:t>
      </w:r>
      <w:r>
        <w:rPr>
          <w:rFonts w:ascii="Consolas" w:hAnsi="Consolas"/>
          <w:sz w:val="20"/>
        </w:rPr>
        <w:t>ibm_fez</w:t>
      </w:r>
      <w:r>
        <w:t xml:space="preserve"> job supports a cautious paper statement: QDSV/QIntent can consume hardware-derived syndrome-count evidence and produce the same kind of auditable post-decoding candidate ranking already demonstrated in local and external-decoder benchmarks. The next hardware step is repetition across more scenarios or another backend.</w:t>
      </w:r>
    </w:p>
    <w:p>
      <w:pPr>
        <w:pStyle w:val="Heading1"/>
      </w:pPr>
      <w:r>
        <w:t>10. Reproducibility</w:t>
      </w:r>
    </w:p>
    <w:p>
      <w:r>
        <w:t>Evidence and scripts are archived in the QIntent repository.</w:t>
      </w:r>
    </w:p>
    <w:p>
      <w:r>
        <w:t>Scripts:</w:t>
      </w:r>
    </w:p>
    <w:p>
      <w:pPr>
        <w:pStyle w:val="QDSVCode"/>
      </w:pPr>
      <w:r>
        <w:t>docs/research/scripts/qldpc_bp_soft_multiseed.py</w:t>
      </w:r>
    </w:p>
    <w:p>
      <w:pPr>
        <w:pStyle w:val="QDSVCode"/>
      </w:pPr>
      <w:r>
        <w:t>docs/research/scripts/qldpc_ldpc_ensemble_recovery.py</w:t>
      </w:r>
    </w:p>
    <w:p>
      <w:pPr>
        <w:pStyle w:val="QDSVCode"/>
      </w:pPr>
      <w:r>
        <w:t>docs/research/scripts/qldpc_ibm_guarded_reprocess.py</w:t>
      </w:r>
    </w:p>
    <w:p>
      <w:pPr>
        <w:pStyle w:val="QDSVCode"/>
      </w:pPr>
      <w:r>
        <w:t>docs/research/scripts/qldpc_stabilizer_logical_validation.py</w:t>
      </w:r>
    </w:p>
    <w:p>
      <w:pPr>
        <w:pStyle w:val="QDSVCode"/>
      </w:pPr>
      <w:r>
        <w:t>docs/research/scripts/qldpc_steane_css_logical_validation.py</w:t>
      </w:r>
    </w:p>
    <w:p>
      <w:r>
        <w:t>Hardware-oriented validation plan:</w:t>
      </w:r>
    </w:p>
    <w:p>
      <w:pPr>
        <w:pStyle w:val="QDSVCode"/>
      </w:pPr>
      <w:r>
        <w:t>docs/research/papers/qldpc_post_decoding_qdsv/ibm_hardware_validation_plan.md</w:t>
      </w:r>
    </w:p>
    <w:p>
      <w:pPr>
        <w:pStyle w:val="QDSVCode"/>
      </w:pPr>
      <w:r>
        <w:t>notebooks/qldpc_ibm_hardware_syndrome_validation_colab.ipynb</w:t>
      </w:r>
    </w:p>
    <w:p>
      <w:r>
        <w:t>Evidence:</w:t>
      </w:r>
    </w:p>
    <w:p>
      <w:pPr>
        <w:pStyle w:val="QDSVCode"/>
      </w:pPr>
      <w:r>
        <w:t>docs/research/evidence/qdsv_qldpc_formal_benchmark_evidence.json</w:t>
      </w:r>
    </w:p>
    <w:p>
      <w:pPr>
        <w:pStyle w:val="QDSVCode"/>
      </w:pPr>
      <w:r>
        <w:t>docs/research/evidence/qdsv_qldpc_formal_benchmark_summary.csv</w:t>
      </w:r>
    </w:p>
    <w:p>
      <w:pPr>
        <w:pStyle w:val="QDSVCode"/>
      </w:pPr>
      <w:r>
        <w:t>docs/research/evidence/qdsv_qldpc_bp_soft_decoder_evidence.json</w:t>
      </w:r>
    </w:p>
    <w:p>
      <w:pPr>
        <w:pStyle w:val="QDSVCode"/>
      </w:pPr>
      <w:r>
        <w:t>docs/research/evidence/qdsv_qldpc_bp_soft_decoder_summary.csv</w:t>
      </w:r>
    </w:p>
    <w:p>
      <w:pPr>
        <w:pStyle w:val="QDSVCode"/>
      </w:pPr>
      <w:r>
        <w:t>docs/research/evidence/qdsv_qldpc_bp_soft_multiseed_evidence.json</w:t>
      </w:r>
    </w:p>
    <w:p>
      <w:pPr>
        <w:pStyle w:val="QDSVCode"/>
      </w:pPr>
      <w:r>
        <w:t>docs/research/evidence/qdsv_qldpc_bp_soft_multiseed_summary.csv</w:t>
      </w:r>
    </w:p>
    <w:p>
      <w:pPr>
        <w:pStyle w:val="QDSVCode"/>
      </w:pPr>
      <w:r>
        <w:t>docs/research/evidence/qdsv_qldpc_bp_soft_multiseed_metrics.csv</w:t>
      </w:r>
    </w:p>
    <w:p>
      <w:pPr>
        <w:pStyle w:val="QDSVCode"/>
      </w:pPr>
      <w:r>
        <w:t>docs/research/evidence/qdsv_qldpc_real_ldpc_ensemble_recovery_evidence.json</w:t>
      </w:r>
    </w:p>
    <w:p>
      <w:pPr>
        <w:pStyle w:val="QDSVCode"/>
      </w:pPr>
      <w:r>
        <w:t>docs/research/evidence/qdsv_qldpc_real_ldpc_ensemble_recovery_summary.csv</w:t>
      </w:r>
    </w:p>
    <w:p>
      <w:pPr>
        <w:pStyle w:val="QDSVCode"/>
      </w:pPr>
      <w:r>
        <w:t>docs/research/evidence/qdsv_qldpc_real_ldpc_ensemble_recovery_metrics.csv</w:t>
      </w:r>
    </w:p>
    <w:p>
      <w:pPr>
        <w:pStyle w:val="QDSVCode"/>
      </w:pPr>
      <w:r>
        <w:t>docs/research/evidence/qdsv_qldpc_ibm_hardware_syndrome_evidence.json</w:t>
      </w:r>
    </w:p>
    <w:p>
      <w:pPr>
        <w:pStyle w:val="QDSVCode"/>
      </w:pPr>
      <w:r>
        <w:t>docs/research/evidence/qdsv_qldpc_ibm_hardware_syndrome_summary.csv</w:t>
      </w:r>
    </w:p>
    <w:p>
      <w:pPr>
        <w:pStyle w:val="QDSVCode"/>
      </w:pPr>
      <w:r>
        <w:t>docs/research/evidence/qdsv_qldpc_ibm_hardware_syndrome_counts.csv</w:t>
      </w:r>
    </w:p>
    <w:p>
      <w:pPr>
        <w:pStyle w:val="QDSVCode"/>
      </w:pPr>
      <w:r>
        <w:t>docs/research/evidence/qdsv_qldpc_ibm_hardware_syndrome_metrics.json</w:t>
      </w:r>
    </w:p>
    <w:p>
      <w:pPr>
        <w:pStyle w:val="QDSVCode"/>
      </w:pPr>
      <w:r>
        <w:t>docs/research/evidence/qdsv_qldpc_five_qubit_stabilizer_logical_evidence.json</w:t>
      </w:r>
    </w:p>
    <w:p>
      <w:pPr>
        <w:pStyle w:val="QDSVCode"/>
      </w:pPr>
      <w:r>
        <w:t>docs/research/evidence/qdsv_qldpc_five_qubit_stabilizer_logical_summary.csv</w:t>
      </w:r>
    </w:p>
    <w:p>
      <w:pPr>
        <w:pStyle w:val="QDSVCode"/>
      </w:pPr>
      <w:r>
        <w:t>docs/research/evidence/qdsv_qldpc_five_qubit_stabilizer_logical_metrics.csv</w:t>
      </w:r>
    </w:p>
    <w:p>
      <w:pPr>
        <w:pStyle w:val="QDSVCode"/>
      </w:pPr>
      <w:r>
        <w:t>docs/research/evidence/qdsv_qldpc_steane_css_logical_evidence.json</w:t>
      </w:r>
    </w:p>
    <w:p>
      <w:pPr>
        <w:pStyle w:val="QDSVCode"/>
      </w:pPr>
      <w:r>
        <w:t>docs/research/evidence/qdsv_qldpc_steane_css_logical_summary.csv</w:t>
      </w:r>
    </w:p>
    <w:p>
      <w:pPr>
        <w:pStyle w:val="QDSVCode"/>
      </w:pPr>
      <w:r>
        <w:t>docs/research/evidence/qdsv_qldpc_steane_css_logical_metrics.csv</w:t>
      </w:r>
    </w:p>
    <w:p>
      <w:pPr>
        <w:pStyle w:val="Heading1"/>
      </w:pPr>
      <w:r>
        <w:t>11. Conclusion</w:t>
      </w:r>
    </w:p>
    <w:p>
      <w:r>
        <w:t>This paper evaluates QDSV/QIntent as a risk-aware post-decoding semantic decision layer for LDPC/qLDPC-style quantum error correction workflows.</w:t>
      </w:r>
    </w:p>
    <w:p>
      <w:r>
        <w:t>The results support a focused conclusion: QDSV/QIntent can organize decoder-generated correction candidates into structured evidence blocks and apply guarded decision logic that governs correction-hypothesis selection under uncertainty.</w:t>
      </w:r>
    </w:p>
    <w:p>
      <w:r>
        <w:t xml:space="preserve">The strongest decoder-ensemble result is the external </w:t>
      </w:r>
      <w:r>
        <w:rPr>
          <w:rFonts w:ascii="Consolas" w:hAnsi="Consolas"/>
          <w:sz w:val="20"/>
        </w:rPr>
        <w:t>ldpc</w:t>
      </w:r>
      <w:r>
        <w:t xml:space="preserve"> recovery benchmark: in 168 BP-failure scenarios, raw QDSV/QIntent recovered exact corrections in 53.1% of cases and reduced the logical-failure proxy from 48.7% to 24.2%. Guarded QDSV/QIntent accepted fewer overrides, but reduced bad overrides from 16.18% to 0.69% and eliminated worse-risk selections in this benchmark.</w:t>
      </w:r>
    </w:p>
    <w:p>
      <w:r>
        <w:t xml:space="preserve">The strongest logical-preservation result is now cross-code consistency across two stabilizer families. In the 5-qubit stabilizer-code benchmark, over 320 correctable single-error scenarios, the confidence baseline produced an 8.125% mean formal logical-failure rate, while raw and guarded QDSV/QIntent selected corrections with 0% formal logical-failure rate. In the Steane [[7,1,3]] CSS benchmark, the confidence baseline produced a 12.1875% mean formal logical-failure rate, while raw and guarded QDSV/QIntent again selected corrections with 0% formal logical-failure rate. In both cases, QDSV matched the oracle-best candidate set under residual classification </w:t>
      </w:r>
      <w:r>
        <w:rPr>
          <w:rFonts w:ascii="Consolas" w:hAnsi="Consolas"/>
          <w:sz w:val="20"/>
        </w:rPr>
        <w:t>R = C E</w:t>
      </w:r>
      <w:r>
        <w:t>.</w:t>
      </w:r>
    </w:p>
    <w:p>
      <w:r>
        <w:t>The work does not claim a new qLDPC decoder, production readiness or quantum advantage. It contributes evidence for a complementary semantic decision-governance layer that can sit after existing decoders and support risk-aware, auditable and conservative correction-hypothesis selection.</w:t>
      </w:r>
    </w:p>
    <w:p>
      <w:pPr>
        <w:pStyle w:val="Heading1"/>
      </w:pPr>
      <w:r>
        <w:t>12. References</w:t>
      </w:r>
    </w:p>
    <w:p>
      <w:r>
        <w:t>[1] J. Roffe, D. R. White, S. Burton, and E. Campbell, "Decoding Across the Quantum LDPC Code Landscape", arXiv:2005.07016. https://arxiv.org/abs/2005.07016</w:t>
      </w:r>
    </w:p>
    <w:p>
      <w:r>
        <w:t>[2] T. Hillmann, L. Berent, A. O. Quintavalle, J. Eisert, R. Wille, and J. Roffe, "Localized statistics decoding: A parallel decoding algorithm for quantum low-density parity-check codes", arXiv:2406.18655. https://arxiv.org/abs/2406.18655</w:t>
      </w:r>
    </w:p>
    <w:p>
      <w:r>
        <w:t>[3] G. Yan, S. Li, and Y. Du, "Rethink the Role of Neural Decoders in Quantum Error Correction", arXiv:2605.12046. https://arxiv.org/abs/2605.12046</w:t>
      </w:r>
    </w:p>
    <w:p>
      <w:r>
        <w:t>[4] J. Majaniemi and E. S. Matekole, "Reducing quantum error correction overhead using soft information", arXiv:2504.03504. https://arxiv.org/abs/2504.03504</w:t>
      </w:r>
    </w:p>
    <w:p>
      <w:r>
        <w:t>[5] J. A. Jimenez Lozano, "QDSV: A Problem-First Semantic Representation Model for Quantum-Oriented Computation", arXiv:2606.15027. https://arxiv.org/abs/2606.15027</w:t>
      </w:r>
    </w:p>
    <w:p>
      <w:r>
        <w:t>[6] J. A. Jimenez Lozano, "QDSV Implementation and Validation Framework", arXiv:2606.19312. https://arxiv.org/abs/2606.19312</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QDSV/QIntent qLDPC decision-governance draft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QDSVCode">
    <w:name w:val="QDSV Code"/>
    <w:pPr>
      <w:spacing w:before="60" w:after="60"/>
      <w:ind w:left="259"/>
    </w:pPr>
    <w:rPr>
      <w:rFonts w:ascii="Consolas" w:hAnsi="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