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89D542F">
      <w:pPr>
        <w:spacing w:line="240" w:lineRule="auto"/>
        <w:ind w:firstLine="0" w:firstLineChars="0"/>
        <w:jc w:val="both"/>
        <w:rPr>
          <w:rFonts w:ascii="Times New Roman" w:hAnsi="Times New Roman"/>
          <w:kern w:val="0"/>
        </w:rPr>
      </w:pPr>
    </w:p>
    <w:p w14:paraId="76B38323">
      <w:pPr>
        <w:spacing w:line="240" w:lineRule="auto"/>
        <w:ind w:firstLine="0" w:firstLineChars="0"/>
        <w:jc w:val="left"/>
        <w:rPr>
          <w:rFonts w:ascii="Times New Roman" w:hAnsi="Times New Roman"/>
          <w:kern w:val="0"/>
        </w:rPr>
      </w:pPr>
    </w:p>
    <w:p w14:paraId="5FBABD6A">
      <w:pPr>
        <w:tabs>
          <w:tab w:val="left" w:pos="7200"/>
        </w:tabs>
        <w:spacing w:line="240" w:lineRule="auto"/>
        <w:ind w:firstLine="0" w:firstLineChars="0"/>
        <w:jc w:val="center"/>
        <w:rPr>
          <w:rFonts w:ascii="Times New Roman" w:hAnsi="Times New Roman"/>
          <w:b/>
          <w:kern w:val="0"/>
          <w:sz w:val="44"/>
          <w:szCs w:val="44"/>
        </w:rPr>
      </w:pPr>
      <w:r>
        <w:rPr>
          <w:rFonts w:hint="eastAsia" w:ascii="Times New Roman" w:hAnsi="Times New Roman"/>
          <w:b/>
          <w:kern w:val="0"/>
          <w:sz w:val="44"/>
          <w:szCs w:val="44"/>
        </w:rPr>
        <w:t>郑州轻工业大学</w:t>
      </w:r>
    </w:p>
    <w:p w14:paraId="1A017456">
      <w:pPr>
        <w:tabs>
          <w:tab w:val="center" w:pos="4819"/>
          <w:tab w:val="right" w:pos="9638"/>
        </w:tabs>
        <w:spacing w:line="240" w:lineRule="auto"/>
        <w:ind w:firstLine="0" w:firstLineChars="0"/>
        <w:jc w:val="center"/>
        <w:rPr>
          <w:rFonts w:ascii="Times New Roman" w:hAnsi="Times New Roman" w:eastAsia="华文新魏"/>
          <w:kern w:val="0"/>
          <w:sz w:val="72"/>
          <w:szCs w:val="72"/>
        </w:rPr>
      </w:pPr>
      <w:r>
        <w:rPr>
          <w:rFonts w:hint="eastAsia" w:ascii="Times New Roman" w:hAnsi="Times New Roman" w:eastAsia="华文新魏"/>
          <w:kern w:val="0"/>
          <w:sz w:val="72"/>
          <w:szCs w:val="72"/>
        </w:rPr>
        <w:t>本科毕业设计（论文）</w:t>
      </w:r>
    </w:p>
    <w:p w14:paraId="44D8BF24">
      <w:pPr>
        <w:spacing w:line="240" w:lineRule="auto"/>
        <w:ind w:firstLine="0" w:firstLineChars="0"/>
        <w:rPr>
          <w:rFonts w:ascii="Times New Roman" w:hAnsi="Times New Roman"/>
          <w:kern w:val="0"/>
        </w:rPr>
      </w:pPr>
    </w:p>
    <w:p w14:paraId="4A298EE3">
      <w:pPr>
        <w:spacing w:line="240" w:lineRule="auto"/>
        <w:ind w:firstLine="0" w:firstLineChars="0"/>
        <w:jc w:val="center"/>
        <w:rPr>
          <w:rFonts w:ascii="Times New Roman" w:hAnsi="Times New Roman"/>
          <w:kern w:val="0"/>
        </w:rPr>
      </w:pPr>
    </w:p>
    <w:p w14:paraId="375B66E4">
      <w:pPr>
        <w:spacing w:line="240" w:lineRule="auto"/>
        <w:ind w:firstLine="0" w:firstLineChars="0"/>
        <w:jc w:val="center"/>
        <w:rPr>
          <w:rFonts w:ascii="Times New Roman" w:hAnsi="Times New Roman"/>
          <w:kern w:val="0"/>
        </w:rPr>
      </w:pPr>
    </w:p>
    <w:p w14:paraId="48871D28">
      <w:pPr>
        <w:spacing w:line="240" w:lineRule="auto"/>
        <w:ind w:firstLine="0" w:firstLineChars="0"/>
        <w:jc w:val="center"/>
        <w:rPr>
          <w:rFonts w:ascii="Times New Roman" w:hAnsi="Times New Roman"/>
          <w:kern w:val="0"/>
        </w:rPr>
      </w:pPr>
    </w:p>
    <w:p w14:paraId="027669B1">
      <w:pPr>
        <w:spacing w:line="240" w:lineRule="auto"/>
        <w:ind w:firstLine="0" w:firstLineChars="0"/>
        <w:jc w:val="center"/>
        <w:rPr>
          <w:rFonts w:ascii="Times New Roman" w:hAnsi="Times New Roman"/>
          <w:kern w:val="0"/>
        </w:rPr>
      </w:pPr>
    </w:p>
    <w:p w14:paraId="13C15CD5">
      <w:pPr>
        <w:spacing w:line="240" w:lineRule="auto"/>
        <w:ind w:firstLine="0" w:firstLineChars="0"/>
        <w:jc w:val="center"/>
        <w:rPr>
          <w:rFonts w:ascii="Times New Roman" w:hAnsi="Times New Roman"/>
          <w:kern w:val="0"/>
        </w:rPr>
      </w:pPr>
    </w:p>
    <w:p w14:paraId="7C130D54">
      <w:pPr>
        <w:spacing w:line="240" w:lineRule="auto"/>
        <w:ind w:firstLine="0" w:firstLineChars="0"/>
        <w:jc w:val="center"/>
        <w:rPr>
          <w:rFonts w:ascii="Times New Roman" w:hAnsi="Times New Roman"/>
          <w:kern w:val="0"/>
        </w:rPr>
      </w:pPr>
    </w:p>
    <w:p w14:paraId="01F337F8">
      <w:pPr>
        <w:spacing w:line="240" w:lineRule="auto"/>
        <w:ind w:firstLine="0" w:firstLineChars="0"/>
        <w:jc w:val="center"/>
        <w:rPr>
          <w:rFonts w:ascii="Times New Roman" w:hAnsi="Times New Roman"/>
          <w:kern w:val="0"/>
        </w:rPr>
      </w:pPr>
    </w:p>
    <w:p w14:paraId="6AB6E0A9">
      <w:pPr>
        <w:spacing w:line="240" w:lineRule="auto"/>
        <w:ind w:firstLine="0" w:firstLineChars="0"/>
        <w:jc w:val="center"/>
        <w:rPr>
          <w:rFonts w:ascii="Times New Roman" w:hAnsi="Times New Roman"/>
          <w:kern w:val="0"/>
        </w:rPr>
      </w:pPr>
    </w:p>
    <w:p w14:paraId="04D59CC0">
      <w:pPr>
        <w:spacing w:line="240" w:lineRule="auto"/>
        <w:ind w:firstLine="0" w:firstLineChars="0"/>
        <w:jc w:val="center"/>
        <w:rPr>
          <w:rFonts w:ascii="Times New Roman" w:hAnsi="Times New Roman" w:eastAsia="黑体"/>
          <w:kern w:val="0"/>
        </w:rPr>
      </w:pPr>
    </w:p>
    <w:p w14:paraId="11EB24B4">
      <w:pPr>
        <w:spacing w:line="240" w:lineRule="auto"/>
        <w:ind w:firstLine="0" w:firstLineChars="0"/>
        <w:jc w:val="both"/>
        <w:rPr>
          <w:rFonts w:ascii="Times New Roman" w:hAnsi="Times New Roman"/>
          <w:kern w:val="0"/>
        </w:rPr>
      </w:pPr>
    </w:p>
    <w:p w14:paraId="04EBD4A7">
      <w:pPr>
        <w:keepNext w:val="0"/>
        <w:keepLines w:val="0"/>
        <w:pageBreakBefore w:val="0"/>
        <w:widowControl w:val="0"/>
        <w:tabs>
          <w:tab w:val="left" w:leader="underscore" w:pos="6300"/>
        </w:tabs>
        <w:kinsoku/>
        <w:wordWrap/>
        <w:overflowPunct/>
        <w:topLinePunct w:val="0"/>
        <w:autoSpaceDE/>
        <w:autoSpaceDN/>
        <w:bidi w:val="0"/>
        <w:adjustRightInd/>
        <w:snapToGrid/>
        <w:spacing w:line="240" w:lineRule="auto"/>
        <w:ind w:firstLine="0" w:firstLineChars="0"/>
        <w:jc w:val="both"/>
        <w:textAlignment w:val="auto"/>
        <w:rPr>
          <w:rFonts w:ascii="Times New Roman" w:hAnsi="Times New Roman"/>
          <w:kern w:val="0"/>
        </w:rPr>
      </w:pPr>
    </w:p>
    <w:p w14:paraId="23A57F56">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left="2557" w:leftChars="532" w:right="2690" w:rightChars="1121" w:hanging="1280" w:hangingChars="400"/>
        <w:jc w:val="both"/>
        <w:textAlignment w:val="auto"/>
        <w:rPr>
          <w:rFonts w:hint="default" w:ascii="Times New Roman" w:hAnsi="Times New Roman" w:eastAsia="宋体"/>
          <w:kern w:val="0"/>
          <w:sz w:val="32"/>
          <w:szCs w:val="32"/>
          <w:u w:val="single"/>
          <w:lang w:val="en-US" w:eastAsia="zh-CN"/>
        </w:rPr>
      </w:pPr>
      <w:r>
        <w:rPr>
          <w:rFonts w:hint="eastAsia" w:ascii="Times New Roman" w:hAnsi="Times New Roman"/>
          <w:kern w:val="0"/>
          <w:sz w:val="32"/>
          <w:szCs w:val="32"/>
        </w:rPr>
        <w:t>题    目</w:t>
      </w:r>
      <w:r>
        <w:rPr>
          <w:rFonts w:hint="eastAsia" w:ascii="Times New Roman" w:hAnsi="Times New Roman"/>
          <w:kern w:val="0"/>
          <w:sz w:val="32"/>
          <w:szCs w:val="32"/>
          <w:u w:val="single"/>
          <w:lang w:val="en-US" w:eastAsia="zh-CN"/>
        </w:rPr>
        <w:t xml:space="preserve"> </w:t>
      </w:r>
      <w:r>
        <w:rPr>
          <w:rFonts w:hint="eastAsia" w:ascii="黑体" w:hAnsi="黑体" w:eastAsia="黑体" w:cs="黑体"/>
          <w:b w:val="0"/>
          <w:bCs w:val="0"/>
          <w:kern w:val="0"/>
          <w:sz w:val="32"/>
          <w:szCs w:val="32"/>
          <w:u w:val="single"/>
          <w:lang w:val="en-US" w:eastAsia="zh-CN"/>
        </w:rPr>
        <w:t xml:space="preserve">基于自监督学习的低剂量CT投影域去噪与高质量重  建研究                 </w:t>
      </w:r>
      <w:r>
        <w:rPr>
          <w:rFonts w:hint="eastAsia" w:ascii="Times New Roman" w:hAnsi="Times New Roman"/>
          <w:b w:val="0"/>
          <w:bCs w:val="0"/>
          <w:kern w:val="0"/>
          <w:sz w:val="32"/>
          <w:szCs w:val="32"/>
          <w:u w:val="single"/>
          <w:lang w:val="en-US" w:eastAsia="zh-CN"/>
        </w:rPr>
        <w:tab/>
      </w:r>
      <w:r>
        <w:rPr>
          <w:rFonts w:hint="eastAsia" w:ascii="Times New Roman" w:hAnsi="Times New Roman"/>
          <w:b w:val="0"/>
          <w:bCs w:val="0"/>
          <w:kern w:val="0"/>
          <w:sz w:val="32"/>
          <w:szCs w:val="32"/>
          <w:lang w:val="en-US" w:eastAsia="zh-CN"/>
        </w:rPr>
        <w:t xml:space="preserve"> </w:t>
      </w:r>
    </w:p>
    <w:p w14:paraId="7E9743BD">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right="2549" w:rightChars="1062" w:firstLine="1276" w:firstLineChars="0"/>
        <w:jc w:val="left"/>
        <w:textAlignment w:val="auto"/>
        <w:rPr>
          <w:rFonts w:hint="default" w:ascii="Times New Roman" w:hAnsi="Times New Roman" w:eastAsia="宋体"/>
          <w:kern w:val="0"/>
          <w:sz w:val="36"/>
          <w:u w:val="single"/>
          <w:lang w:val="en-US" w:eastAsia="zh-CN"/>
        </w:rPr>
      </w:pPr>
      <w:r>
        <w:rPr>
          <w:rFonts w:hint="eastAsia" w:ascii="Times New Roman" w:hAnsi="Times New Roman"/>
          <w:kern w:val="0"/>
          <w:sz w:val="32"/>
          <w:szCs w:val="32"/>
        </w:rPr>
        <w:t>学生姓名</w:t>
      </w:r>
      <w:r>
        <w:rPr>
          <w:rFonts w:hint="eastAsia" w:ascii="Times New Roman" w:hAnsi="Times New Roman"/>
          <w:kern w:val="0"/>
          <w:sz w:val="32"/>
          <w:szCs w:val="32"/>
          <w:u w:val="single"/>
          <w:lang w:val="en-US" w:eastAsia="zh-CN"/>
        </w:rPr>
        <w:t xml:space="preserve">         </w:t>
      </w:r>
      <w:r>
        <w:rPr>
          <w:rFonts w:hint="eastAsia" w:ascii="黑体" w:hAnsi="黑体" w:eastAsia="黑体" w:cs="黑体"/>
          <w:kern w:val="0"/>
          <w:sz w:val="32"/>
          <w:szCs w:val="32"/>
          <w:u w:val="single"/>
          <w:lang w:val="en-US" w:eastAsia="zh-CN"/>
        </w:rPr>
        <w:t xml:space="preserve"> 邬浩   </w:t>
      </w:r>
      <w:r>
        <w:rPr>
          <w:rFonts w:hint="eastAsia" w:ascii="Times New Roman" w:hAnsi="Times New Roman"/>
          <w:kern w:val="0"/>
          <w:sz w:val="32"/>
          <w:szCs w:val="32"/>
          <w:u w:val="single"/>
          <w:lang w:val="en-US" w:eastAsia="zh-CN"/>
        </w:rPr>
        <w:t xml:space="preserve">      </w:t>
      </w:r>
      <w:r>
        <w:rPr>
          <w:rFonts w:hint="eastAsia" w:ascii="Times New Roman" w:hAnsi="Times New Roman"/>
          <w:kern w:val="0"/>
          <w:sz w:val="32"/>
          <w:szCs w:val="32"/>
          <w:u w:val="single"/>
          <w:lang w:val="en-US" w:eastAsia="zh-CN"/>
        </w:rPr>
        <w:tab/>
      </w:r>
    </w:p>
    <w:p w14:paraId="5DC6B36E">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right="2690" w:rightChars="1121" w:firstLine="1276" w:firstLineChars="0"/>
        <w:jc w:val="left"/>
        <w:textAlignment w:val="auto"/>
        <w:rPr>
          <w:rFonts w:hint="default" w:ascii="Times New Roman" w:hAnsi="Times New Roman" w:eastAsia="宋体"/>
          <w:kern w:val="0"/>
          <w:sz w:val="32"/>
          <w:szCs w:val="32"/>
          <w:u w:val="single"/>
          <w:lang w:val="en-US" w:eastAsia="zh-CN"/>
        </w:rPr>
      </w:pPr>
      <w:r>
        <w:rPr>
          <w:rFonts w:hint="eastAsia" w:ascii="Times New Roman" w:hAnsi="Times New Roman"/>
          <w:kern w:val="0"/>
          <w:sz w:val="32"/>
          <w:szCs w:val="32"/>
        </w:rPr>
        <w:t>专业班级</w:t>
      </w:r>
      <w:r>
        <w:rPr>
          <w:rFonts w:hint="eastAsia" w:ascii="Times New Roman" w:hAnsi="Times New Roman"/>
          <w:kern w:val="0"/>
          <w:sz w:val="32"/>
          <w:szCs w:val="32"/>
          <w:u w:val="single"/>
          <w:lang w:val="en-US" w:eastAsia="zh-CN"/>
        </w:rPr>
        <w:t xml:space="preserve">     </w:t>
      </w:r>
      <w:r>
        <w:rPr>
          <w:rFonts w:hint="eastAsia" w:ascii="黑体" w:hAnsi="黑体" w:eastAsia="黑体" w:cs="黑体"/>
          <w:kern w:val="0"/>
          <w:sz w:val="32"/>
          <w:szCs w:val="32"/>
          <w:u w:val="single"/>
          <w:lang w:val="en-US" w:eastAsia="zh-CN"/>
        </w:rPr>
        <w:t>人工智能2202</w:t>
      </w:r>
      <w:r>
        <w:rPr>
          <w:rFonts w:hint="eastAsia" w:ascii="Times New Roman" w:hAnsi="Times New Roman"/>
          <w:kern w:val="0"/>
          <w:sz w:val="32"/>
          <w:szCs w:val="32"/>
          <w:u w:val="single"/>
          <w:lang w:val="en-US" w:eastAsia="zh-CN"/>
        </w:rPr>
        <w:t xml:space="preserve">     </w:t>
      </w:r>
      <w:r>
        <w:rPr>
          <w:rFonts w:hint="eastAsia" w:ascii="Times New Roman" w:hAnsi="Times New Roman"/>
          <w:kern w:val="0"/>
          <w:sz w:val="32"/>
          <w:szCs w:val="32"/>
          <w:u w:val="single"/>
          <w:lang w:val="en-US" w:eastAsia="zh-CN"/>
        </w:rPr>
        <w:tab/>
      </w:r>
      <w:r>
        <w:rPr>
          <w:rFonts w:hint="eastAsia" w:ascii="Times New Roman" w:hAnsi="Times New Roman"/>
          <w:kern w:val="0"/>
          <w:sz w:val="32"/>
          <w:szCs w:val="32"/>
          <w:u w:val="single"/>
          <w:lang w:val="en-US" w:eastAsia="zh-CN"/>
        </w:rPr>
        <w:t xml:space="preserve">          </w:t>
      </w:r>
      <w:r>
        <w:rPr>
          <w:rFonts w:hint="eastAsia" w:ascii="黑体" w:hAnsi="黑体" w:eastAsia="黑体" w:cs="黑体"/>
          <w:kern w:val="0"/>
          <w:sz w:val="32"/>
          <w:szCs w:val="32"/>
          <w:u w:val="single"/>
          <w:lang w:val="en-US" w:eastAsia="zh-CN"/>
        </w:rPr>
        <w:t xml:space="preserve">   </w:t>
      </w:r>
      <w:r>
        <w:rPr>
          <w:rFonts w:hint="eastAsia" w:ascii="Times New Roman" w:hAnsi="Times New Roman"/>
          <w:kern w:val="0"/>
          <w:sz w:val="32"/>
          <w:szCs w:val="32"/>
          <w:u w:val="single"/>
          <w:lang w:val="en-US" w:eastAsia="zh-CN"/>
        </w:rPr>
        <w:t xml:space="preserve">    </w:t>
      </w:r>
    </w:p>
    <w:p w14:paraId="4A88F51D">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right="2690" w:rightChars="1121" w:firstLine="1276" w:firstLineChars="0"/>
        <w:jc w:val="left"/>
        <w:textAlignment w:val="auto"/>
        <w:rPr>
          <w:rFonts w:hint="default" w:ascii="Times New Roman" w:hAnsi="Times New Roman" w:eastAsia="宋体"/>
          <w:kern w:val="0"/>
          <w:sz w:val="32"/>
          <w:szCs w:val="32"/>
          <w:u w:val="single"/>
          <w:lang w:val="en-US" w:eastAsia="zh-CN"/>
        </w:rPr>
      </w:pPr>
      <w:r>
        <w:rPr>
          <w:rFonts w:hint="eastAsia" w:ascii="Times New Roman" w:hAnsi="Times New Roman"/>
          <w:kern w:val="0"/>
          <w:sz w:val="32"/>
          <w:szCs w:val="32"/>
        </w:rPr>
        <w:t>学    号</w:t>
      </w:r>
      <w:r>
        <w:rPr>
          <w:rFonts w:hint="eastAsia" w:ascii="Times New Roman" w:hAnsi="Times New Roman"/>
          <w:kern w:val="0"/>
          <w:sz w:val="32"/>
          <w:szCs w:val="32"/>
          <w:u w:val="single"/>
          <w:lang w:val="en-US" w:eastAsia="zh-CN"/>
        </w:rPr>
        <w:t xml:space="preserve">      </w:t>
      </w:r>
      <w:r>
        <w:rPr>
          <w:rFonts w:hint="eastAsia" w:ascii="黑体" w:hAnsi="黑体" w:eastAsia="黑体" w:cs="黑体"/>
          <w:kern w:val="0"/>
          <w:sz w:val="32"/>
          <w:szCs w:val="32"/>
          <w:u w:val="single"/>
          <w:lang w:val="en-US" w:eastAsia="zh-CN"/>
        </w:rPr>
        <w:t>542207250220</w:t>
      </w:r>
      <w:r>
        <w:rPr>
          <w:rFonts w:hint="eastAsia" w:ascii="Times New Roman" w:hAnsi="Times New Roman"/>
          <w:kern w:val="0"/>
          <w:sz w:val="32"/>
          <w:szCs w:val="32"/>
          <w:u w:val="single"/>
          <w:lang w:val="en-US" w:eastAsia="zh-CN"/>
        </w:rPr>
        <w:t xml:space="preserve">     </w:t>
      </w:r>
      <w:r>
        <w:rPr>
          <w:rFonts w:hint="eastAsia" w:ascii="Times New Roman" w:hAnsi="Times New Roman"/>
          <w:kern w:val="0"/>
          <w:sz w:val="32"/>
          <w:szCs w:val="32"/>
          <w:u w:val="single"/>
          <w:lang w:val="en-US" w:eastAsia="zh-CN"/>
        </w:rPr>
        <w:tab/>
      </w:r>
    </w:p>
    <w:p w14:paraId="48337932">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right="2690" w:rightChars="1121" w:firstLine="1276" w:firstLineChars="0"/>
        <w:jc w:val="left"/>
        <w:textAlignment w:val="auto"/>
        <w:rPr>
          <w:rFonts w:hint="default" w:ascii="Times New Roman" w:hAnsi="Times New Roman" w:eastAsia="宋体"/>
          <w:kern w:val="0"/>
          <w:sz w:val="32"/>
          <w:szCs w:val="32"/>
          <w:u w:val="single"/>
          <w:lang w:val="en-US" w:eastAsia="zh-CN"/>
        </w:rPr>
      </w:pPr>
      <w:r>
        <w:rPr>
          <w:rFonts w:hint="eastAsia" w:ascii="Times New Roman" w:hAnsi="Times New Roman"/>
          <w:kern w:val="0"/>
          <w:sz w:val="32"/>
          <w:szCs w:val="32"/>
        </w:rPr>
        <w:t>学    院</w:t>
      </w:r>
      <w:r>
        <w:rPr>
          <w:rFonts w:hint="eastAsia" w:ascii="Times New Roman" w:hAnsi="Times New Roman"/>
          <w:kern w:val="0"/>
          <w:sz w:val="32"/>
          <w:szCs w:val="32"/>
          <w:u w:val="single"/>
          <w:lang w:val="en-US" w:eastAsia="zh-CN"/>
        </w:rPr>
        <w:t xml:space="preserve">     </w:t>
      </w:r>
      <w:r>
        <w:rPr>
          <w:rFonts w:hint="eastAsia" w:ascii="黑体" w:hAnsi="黑体" w:eastAsia="黑体" w:cs="黑体"/>
          <w:kern w:val="0"/>
          <w:sz w:val="32"/>
          <w:szCs w:val="32"/>
          <w:u w:val="single"/>
          <w:lang w:val="en-US" w:eastAsia="zh-CN"/>
        </w:rPr>
        <w:t xml:space="preserve">计算机科学与技术 </w:t>
      </w:r>
      <w:r>
        <w:rPr>
          <w:rFonts w:hint="eastAsia" w:ascii="Times New Roman" w:hAnsi="Times New Roman"/>
          <w:kern w:val="0"/>
          <w:sz w:val="32"/>
          <w:szCs w:val="32"/>
          <w:u w:val="single"/>
          <w:lang w:val="en-US" w:eastAsia="zh-CN"/>
        </w:rPr>
        <w:t xml:space="preserve"> </w:t>
      </w:r>
      <w:r>
        <w:rPr>
          <w:rFonts w:hint="eastAsia" w:ascii="Times New Roman" w:hAnsi="Times New Roman"/>
          <w:kern w:val="0"/>
          <w:sz w:val="32"/>
          <w:szCs w:val="32"/>
          <w:u w:val="single"/>
          <w:lang w:val="en-US" w:eastAsia="zh-CN"/>
        </w:rPr>
        <w:tab/>
      </w:r>
    </w:p>
    <w:p w14:paraId="3850B7C5">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right="2690" w:rightChars="1121" w:firstLine="1276" w:firstLineChars="0"/>
        <w:jc w:val="left"/>
        <w:textAlignment w:val="auto"/>
        <w:rPr>
          <w:rFonts w:hint="default" w:ascii="Times New Roman" w:hAnsi="Times New Roman" w:eastAsia="宋体"/>
          <w:kern w:val="0"/>
          <w:sz w:val="32"/>
          <w:szCs w:val="32"/>
          <w:u w:val="single"/>
          <w:lang w:val="en-US" w:eastAsia="zh-CN"/>
        </w:rPr>
      </w:pPr>
      <w:r>
        <w:rPr>
          <w:rFonts w:hint="eastAsia" w:ascii="Times New Roman" w:hAnsi="Times New Roman"/>
          <w:kern w:val="0"/>
          <w:sz w:val="32"/>
          <w:szCs w:val="32"/>
        </w:rPr>
        <w:t>指导教师(职称)</w:t>
      </w:r>
      <w:r>
        <w:rPr>
          <w:rFonts w:hint="eastAsia" w:ascii="Times New Roman" w:hAnsi="Times New Roman"/>
          <w:kern w:val="0"/>
          <w:sz w:val="32"/>
          <w:szCs w:val="32"/>
          <w:u w:val="single"/>
          <w:lang w:val="en-US" w:eastAsia="zh-CN"/>
        </w:rPr>
        <w:t xml:space="preserve">  </w:t>
      </w:r>
      <w:r>
        <w:rPr>
          <w:rFonts w:hint="eastAsia" w:ascii="黑体" w:hAnsi="黑体" w:eastAsia="黑体" w:cs="黑体"/>
          <w:kern w:val="0"/>
          <w:sz w:val="32"/>
          <w:szCs w:val="32"/>
          <w:u w:val="single"/>
          <w:lang w:val="en-US" w:eastAsia="zh-CN"/>
        </w:rPr>
        <w:t>霍林林（讲师）</w:t>
      </w:r>
      <w:r>
        <w:rPr>
          <w:rFonts w:hint="eastAsia" w:ascii="Times New Roman" w:hAnsi="Times New Roman"/>
          <w:kern w:val="0"/>
          <w:sz w:val="32"/>
          <w:szCs w:val="32"/>
          <w:u w:val="single"/>
          <w:lang w:val="en-US" w:eastAsia="zh-CN"/>
        </w:rPr>
        <w:t xml:space="preserve">  </w:t>
      </w:r>
      <w:bookmarkStart w:id="833" w:name="_GoBack"/>
      <w:bookmarkEnd w:id="833"/>
      <w:r>
        <w:rPr>
          <w:rFonts w:hint="eastAsia" w:ascii="Times New Roman" w:hAnsi="Times New Roman"/>
          <w:kern w:val="0"/>
          <w:sz w:val="32"/>
          <w:szCs w:val="32"/>
          <w:u w:val="single"/>
          <w:lang w:val="en-US" w:eastAsia="zh-CN"/>
        </w:rPr>
        <w:tab/>
      </w:r>
    </w:p>
    <w:p w14:paraId="0D87BA92">
      <w:pPr>
        <w:keepNext w:val="0"/>
        <w:keepLines w:val="0"/>
        <w:pageBreakBefore w:val="0"/>
        <w:widowControl w:val="0"/>
        <w:tabs>
          <w:tab w:val="left" w:leader="underscore" w:pos="6300"/>
          <w:tab w:val="left" w:leader="underscore" w:pos="6840"/>
          <w:tab w:val="left" w:leader="underscore" w:pos="8400"/>
        </w:tabs>
        <w:kinsoku/>
        <w:wordWrap/>
        <w:overflowPunct/>
        <w:topLinePunct w:val="0"/>
        <w:autoSpaceDE/>
        <w:autoSpaceDN/>
        <w:bidi w:val="0"/>
        <w:adjustRightInd/>
        <w:snapToGrid/>
        <w:spacing w:line="240" w:lineRule="auto"/>
        <w:ind w:right="2549" w:rightChars="1062" w:firstLine="1276" w:firstLineChars="0"/>
        <w:jc w:val="left"/>
        <w:textAlignment w:val="auto"/>
        <w:rPr>
          <w:rFonts w:hint="default" w:ascii="Times New Roman" w:hAnsi="Times New Roman" w:eastAsia="宋体"/>
          <w:kern w:val="0"/>
          <w:sz w:val="36"/>
          <w:u w:val="single"/>
          <w:lang w:val="en-US" w:eastAsia="zh-CN"/>
        </w:rPr>
      </w:pPr>
      <w:r>
        <w:rPr>
          <w:rFonts w:hint="eastAsia" w:ascii="Times New Roman" w:hAnsi="Times New Roman"/>
          <w:kern w:val="0"/>
          <w:sz w:val="32"/>
          <w:szCs w:val="32"/>
        </w:rPr>
        <w:t>完成时间</w:t>
      </w:r>
      <w:r>
        <w:rPr>
          <w:rFonts w:hint="eastAsia" w:ascii="Times New Roman" w:hAnsi="Times New Roman"/>
          <w:kern w:val="0"/>
          <w:sz w:val="32"/>
          <w:szCs w:val="32"/>
          <w:u w:val="single"/>
          <w:lang w:val="en-US" w:eastAsia="zh-CN"/>
        </w:rPr>
        <w:t xml:space="preserve">     </w:t>
      </w:r>
      <w:r>
        <w:rPr>
          <w:rFonts w:hint="eastAsia" w:ascii="黑体" w:hAnsi="黑体" w:eastAsia="黑体" w:cs="黑体"/>
          <w:b w:val="0"/>
          <w:bCs w:val="0"/>
          <w:kern w:val="0"/>
          <w:sz w:val="32"/>
          <w:szCs w:val="32"/>
          <w:u w:val="single"/>
          <w:lang w:val="en-US" w:eastAsia="zh-CN"/>
        </w:rPr>
        <w:t>2026年5月25日</w:t>
      </w:r>
      <w:r>
        <w:rPr>
          <w:rFonts w:hint="eastAsia" w:ascii="Times New Roman" w:hAnsi="Times New Roman"/>
          <w:kern w:val="0"/>
          <w:sz w:val="32"/>
          <w:szCs w:val="32"/>
          <w:u w:val="single"/>
          <w:lang w:val="en-US" w:eastAsia="zh-CN"/>
        </w:rPr>
        <w:t xml:space="preserve">  </w:t>
      </w:r>
      <w:r>
        <w:rPr>
          <w:rFonts w:hint="eastAsia" w:ascii="Times New Roman" w:hAnsi="Times New Roman"/>
          <w:kern w:val="0"/>
          <w:sz w:val="32"/>
          <w:szCs w:val="32"/>
          <w:u w:val="single"/>
          <w:lang w:val="en-US" w:eastAsia="zh-CN"/>
        </w:rPr>
        <w:tab/>
      </w:r>
    </w:p>
    <w:p w14:paraId="5EA9C6AC">
      <w:pPr>
        <w:spacing w:line="240" w:lineRule="auto"/>
        <w:ind w:firstLine="0" w:firstLineChars="0"/>
        <w:jc w:val="center"/>
        <w:rPr>
          <w:rFonts w:hint="eastAsia" w:ascii="Times New Roman" w:hAnsi="Times New Roman" w:eastAsia="楷体_GB2312"/>
          <w:sz w:val="32"/>
        </w:rPr>
      </w:pPr>
    </w:p>
    <w:p w14:paraId="61288BFF">
      <w:pPr>
        <w:spacing w:line="240" w:lineRule="auto"/>
        <w:ind w:firstLine="0" w:firstLineChars="0"/>
        <w:jc w:val="center"/>
        <w:rPr>
          <w:rFonts w:hint="eastAsia" w:ascii="Times New Roman" w:hAnsi="Times New Roman" w:eastAsia="楷体_GB2312"/>
          <w:sz w:val="32"/>
        </w:rPr>
      </w:pPr>
    </w:p>
    <w:p w14:paraId="7A28F841">
      <w:pPr>
        <w:spacing w:line="240" w:lineRule="auto"/>
        <w:ind w:firstLine="0" w:firstLineChars="0"/>
        <w:jc w:val="both"/>
        <w:rPr>
          <w:rFonts w:hint="eastAsia" w:ascii="Times New Roman" w:hAnsi="Times New Roman" w:eastAsia="楷体_GB2312"/>
          <w:sz w:val="32"/>
        </w:rPr>
      </w:pPr>
    </w:p>
    <w:p w14:paraId="5C0F0693">
      <w:pPr>
        <w:spacing w:line="240" w:lineRule="auto"/>
        <w:ind w:firstLine="0" w:firstLineChars="0"/>
        <w:jc w:val="center"/>
        <w:rPr>
          <w:rFonts w:ascii="Times New Roman" w:hAnsi="Times New Roman" w:eastAsia="楷体_GB2312"/>
          <w:sz w:val="32"/>
        </w:rPr>
      </w:pPr>
      <w:r>
        <w:rPr>
          <w:rFonts w:hint="eastAsia" w:ascii="Times New Roman" w:hAnsi="Times New Roman" w:eastAsia="楷体_GB2312"/>
          <w:sz w:val="32"/>
        </w:rPr>
        <w:t>郑州轻工业大学</w:t>
      </w:r>
    </w:p>
    <w:p w14:paraId="477C2439">
      <w:pPr>
        <w:spacing w:line="240" w:lineRule="auto"/>
        <w:ind w:firstLine="0" w:firstLineChars="0"/>
        <w:jc w:val="center"/>
        <w:rPr>
          <w:rFonts w:ascii="Times New Roman" w:hAnsi="Times New Roman" w:eastAsia="黑体"/>
          <w:b/>
          <w:bCs/>
          <w:sz w:val="30"/>
          <w:szCs w:val="30"/>
        </w:rPr>
      </w:pPr>
      <w:r>
        <w:rPr>
          <w:rFonts w:hint="eastAsia" w:ascii="Times New Roman" w:hAnsi="Times New Roman" w:eastAsia="黑体"/>
          <w:b/>
          <w:bCs/>
          <w:sz w:val="30"/>
          <w:szCs w:val="30"/>
        </w:rPr>
        <w:t>本科毕业设计（论文）任务书</w:t>
      </w:r>
    </w:p>
    <w:p w14:paraId="00866AFD">
      <w:pPr>
        <w:ind w:firstLine="0" w:firstLineChars="0"/>
        <w:jc w:val="center"/>
        <w:rPr>
          <w:rFonts w:ascii="Times New Roman" w:hAnsi="Times New Roman"/>
          <w:bCs/>
          <w:szCs w:val="24"/>
        </w:rPr>
      </w:pPr>
    </w:p>
    <w:p w14:paraId="3FC31BF1">
      <w:pPr>
        <w:spacing w:line="240" w:lineRule="auto"/>
        <w:ind w:firstLine="281" w:firstLineChars="100"/>
        <w:rPr>
          <w:rFonts w:ascii="Times New Roman" w:hAnsi="Times New Roman" w:eastAsia="黑体"/>
          <w:b/>
          <w:bCs/>
          <w:sz w:val="28"/>
        </w:rPr>
      </w:pPr>
      <w:r>
        <w:rPr>
          <w:rFonts w:hint="eastAsia" w:ascii="Times New Roman" w:hAnsi="Times New Roman" w:eastAsia="黑体"/>
          <w:b/>
          <w:bCs/>
          <w:sz w:val="28"/>
          <w:u w:val="single"/>
        </w:rPr>
        <w:t xml:space="preserve">               </w:t>
      </w:r>
    </w:p>
    <w:p w14:paraId="3B13B096">
      <w:pPr>
        <w:spacing w:line="240" w:lineRule="auto"/>
        <w:ind w:firstLine="281" w:firstLineChars="100"/>
        <w:rPr>
          <w:rFonts w:ascii="Times New Roman" w:hAnsi="Times New Roman" w:eastAsia="黑体"/>
          <w:b/>
          <w:bCs/>
          <w:sz w:val="28"/>
          <w:u w:val="single"/>
        </w:rPr>
      </w:pPr>
      <w:r>
        <w:rPr>
          <w:rFonts w:hint="eastAsia" w:ascii="Times New Roman" w:hAnsi="Times New Roman" w:eastAsia="黑体"/>
          <w:b/>
          <w:bCs/>
          <w:sz w:val="28"/>
        </w:rPr>
        <w:t>专业</w:t>
      </w:r>
      <w:r>
        <w:rPr>
          <w:rFonts w:hint="eastAsia" w:ascii="Times New Roman" w:hAnsi="Times New Roman" w:eastAsia="黑体"/>
          <w:b/>
          <w:bCs/>
          <w:sz w:val="28"/>
          <w:u w:val="single"/>
        </w:rPr>
        <w:t xml:space="preserve">   人工智能   </w:t>
      </w:r>
      <w:r>
        <w:rPr>
          <w:rFonts w:hint="eastAsia" w:ascii="Times New Roman" w:hAnsi="Times New Roman" w:eastAsia="黑体"/>
          <w:b/>
          <w:bCs/>
          <w:sz w:val="28"/>
        </w:rPr>
        <w:t>学号</w:t>
      </w:r>
      <w:r>
        <w:rPr>
          <w:rFonts w:hint="eastAsia" w:ascii="Times New Roman" w:hAnsi="Times New Roman" w:eastAsia="黑体"/>
          <w:b/>
          <w:bCs/>
          <w:sz w:val="28"/>
          <w:u w:val="single"/>
        </w:rPr>
        <w:t xml:space="preserve"> 542207250220   </w:t>
      </w:r>
      <w:r>
        <w:rPr>
          <w:rFonts w:hint="eastAsia" w:ascii="Times New Roman" w:hAnsi="Times New Roman" w:eastAsia="黑体"/>
          <w:b/>
          <w:bCs/>
          <w:sz w:val="28"/>
        </w:rPr>
        <w:t>姓名</w:t>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邬浩</w:t>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 xml:space="preserve">   </w:t>
      </w:r>
      <w:r>
        <w:rPr>
          <w:rFonts w:hint="eastAsia" w:ascii="Times New Roman" w:hAnsi="Times New Roman" w:eastAsia="黑体"/>
          <w:b/>
          <w:bCs/>
          <w:sz w:val="28"/>
          <w:u w:val="single"/>
        </w:rPr>
        <w:t xml:space="preserve">      </w:t>
      </w:r>
    </w:p>
    <w:p w14:paraId="7D6A4D18">
      <w:pPr>
        <w:spacing w:line="240" w:lineRule="auto"/>
        <w:ind w:firstLine="281" w:firstLineChars="100"/>
        <w:rPr>
          <w:rFonts w:ascii="Times New Roman" w:hAnsi="Times New Roman" w:eastAsia="黑体"/>
          <w:b/>
          <w:bCs/>
          <w:sz w:val="28"/>
        </w:rPr>
      </w:pPr>
      <w:bookmarkStart w:id="0" w:name="_Hlk197531947"/>
      <w:r>
        <w:rPr>
          <w:rFonts w:hint="eastAsia" w:ascii="Times New Roman" w:hAnsi="Times New Roman" w:eastAsia="黑体"/>
          <w:b/>
          <w:bCs/>
          <w:sz w:val="28"/>
        </w:rPr>
        <w:t>主要内容</w:t>
      </w:r>
      <w:bookmarkEnd w:id="0"/>
      <w:r>
        <w:rPr>
          <w:rFonts w:hint="eastAsia" w:ascii="Times New Roman" w:hAnsi="Times New Roman" w:eastAsia="黑体"/>
          <w:b/>
          <w:bCs/>
          <w:sz w:val="28"/>
        </w:rPr>
        <w:t>、基本要求、主要参考资料等：</w:t>
      </w:r>
    </w:p>
    <w:p w14:paraId="721C936B">
      <w:pPr>
        <w:spacing w:line="240" w:lineRule="auto"/>
        <w:ind w:firstLine="0" w:firstLineChars="0"/>
        <w:rPr>
          <w:rFonts w:ascii="Times New Roman" w:hAnsi="Times New Roman" w:eastAsia="黑体"/>
          <w:b/>
          <w:bCs/>
          <w:sz w:val="28"/>
        </w:rPr>
      </w:pPr>
      <w:r>
        <w:rPr>
          <w:rFonts w:hint="eastAsia" w:ascii="Times New Roman" w:hAnsi="Times New Roman" w:eastAsia="黑体"/>
          <w:b/>
          <w:bCs/>
          <w:sz w:val="28"/>
        </w:rPr>
        <w:t>一、主要内容</w:t>
      </w:r>
    </w:p>
    <w:p w14:paraId="4D5059E5">
      <w:pPr>
        <w:topLinePunct/>
        <w:adjustRightInd w:val="0"/>
        <w:snapToGrid w:val="0"/>
        <w:ind w:firstLine="240" w:firstLineChars="100"/>
        <w:rPr>
          <w:rFonts w:ascii="Times New Roman" w:hAnsi="Times New Roman"/>
          <w:szCs w:val="24"/>
        </w:rPr>
      </w:pPr>
      <w:r>
        <w:rPr>
          <w:rFonts w:hint="eastAsia" w:ascii="Times New Roman" w:hAnsi="Times New Roman"/>
          <w:szCs w:val="24"/>
        </w:rPr>
        <w:t>1. 查阅并研读CT重建相关文献，明确研究背景、现状、意义。</w:t>
      </w:r>
    </w:p>
    <w:p w14:paraId="1E9580EF">
      <w:pPr>
        <w:topLinePunct/>
        <w:adjustRightInd w:val="0"/>
        <w:snapToGrid w:val="0"/>
        <w:ind w:firstLine="240" w:firstLineChars="100"/>
        <w:rPr>
          <w:rFonts w:ascii="Times New Roman" w:hAnsi="Times New Roman"/>
          <w:szCs w:val="24"/>
        </w:rPr>
      </w:pPr>
      <w:r>
        <w:rPr>
          <w:rFonts w:hint="eastAsia" w:ascii="Times New Roman" w:hAnsi="Times New Roman"/>
          <w:szCs w:val="24"/>
        </w:rPr>
        <w:t>2. 系统分析CT重建方法，聚焦DIP并总结经验。</w:t>
      </w:r>
    </w:p>
    <w:p w14:paraId="68800306">
      <w:pPr>
        <w:topLinePunct/>
        <w:adjustRightInd w:val="0"/>
        <w:snapToGrid w:val="0"/>
        <w:ind w:firstLine="240" w:firstLineChars="100"/>
        <w:rPr>
          <w:rFonts w:ascii="Times New Roman" w:hAnsi="Times New Roman"/>
          <w:szCs w:val="24"/>
        </w:rPr>
      </w:pPr>
      <w:r>
        <w:rPr>
          <w:rFonts w:hint="eastAsia" w:ascii="Times New Roman" w:hAnsi="Times New Roman"/>
          <w:szCs w:val="24"/>
        </w:rPr>
        <w:t>3. 运用深度学习，将DIP与其他方法结合，改进CT重建算法。</w:t>
      </w:r>
    </w:p>
    <w:p w14:paraId="1200F1D9">
      <w:pPr>
        <w:spacing w:line="240" w:lineRule="auto"/>
        <w:ind w:firstLine="0" w:firstLineChars="0"/>
        <w:rPr>
          <w:rFonts w:ascii="Times New Roman" w:hAnsi="Times New Roman" w:eastAsia="黑体"/>
          <w:b/>
          <w:bCs/>
          <w:sz w:val="28"/>
        </w:rPr>
      </w:pPr>
      <w:r>
        <w:rPr>
          <w:rFonts w:hint="eastAsia" w:ascii="Times New Roman" w:hAnsi="Times New Roman" w:eastAsia="黑体"/>
          <w:b/>
          <w:bCs/>
          <w:sz w:val="28"/>
        </w:rPr>
        <w:t>二、基本要求</w:t>
      </w:r>
    </w:p>
    <w:p w14:paraId="494ABE30">
      <w:pPr>
        <w:topLinePunct/>
        <w:adjustRightInd w:val="0"/>
        <w:snapToGrid w:val="0"/>
        <w:ind w:firstLine="240" w:firstLineChars="100"/>
        <w:rPr>
          <w:rFonts w:ascii="Times New Roman" w:hAnsi="Times New Roman"/>
          <w:szCs w:val="24"/>
        </w:rPr>
      </w:pPr>
      <w:r>
        <w:rPr>
          <w:rFonts w:hint="eastAsia" w:ascii="Times New Roman" w:hAnsi="Times New Roman"/>
          <w:szCs w:val="24"/>
        </w:rPr>
        <w:t>1. 方法设计科学合理，从理论与实践双重角度确保可行性。</w:t>
      </w:r>
    </w:p>
    <w:p w14:paraId="536F25A8">
      <w:pPr>
        <w:topLinePunct/>
        <w:adjustRightInd w:val="0"/>
        <w:snapToGrid w:val="0"/>
        <w:ind w:firstLine="240" w:firstLineChars="100"/>
        <w:rPr>
          <w:rFonts w:ascii="Times New Roman" w:hAnsi="Times New Roman"/>
          <w:szCs w:val="24"/>
        </w:rPr>
      </w:pPr>
      <w:r>
        <w:rPr>
          <w:rFonts w:hint="eastAsia" w:ascii="Times New Roman" w:hAnsi="Times New Roman"/>
          <w:szCs w:val="24"/>
        </w:rPr>
        <w:t>2. 算法性能显著提升，在多场景适用且易于拓展应用。</w:t>
      </w:r>
    </w:p>
    <w:p w14:paraId="6A047F49">
      <w:pPr>
        <w:topLinePunct/>
        <w:adjustRightInd w:val="0"/>
        <w:snapToGrid w:val="0"/>
        <w:ind w:firstLine="240" w:firstLineChars="100"/>
        <w:rPr>
          <w:rFonts w:ascii="Times New Roman" w:hAnsi="Times New Roman"/>
          <w:szCs w:val="24"/>
        </w:rPr>
      </w:pPr>
      <w:r>
        <w:rPr>
          <w:rFonts w:hint="eastAsia" w:ascii="Times New Roman" w:hAnsi="Times New Roman"/>
          <w:szCs w:val="24"/>
        </w:rPr>
        <w:t>3. 严格依规范撰写论文，内容、格式等全方位达到要求。</w:t>
      </w:r>
    </w:p>
    <w:p w14:paraId="49940AE1">
      <w:pPr>
        <w:spacing w:line="240" w:lineRule="auto"/>
        <w:ind w:firstLine="0" w:firstLineChars="0"/>
        <w:rPr>
          <w:rFonts w:ascii="Times New Roman" w:hAnsi="Times New Roman" w:eastAsia="黑体"/>
          <w:b/>
          <w:bCs/>
          <w:sz w:val="28"/>
        </w:rPr>
      </w:pPr>
      <w:r>
        <w:rPr>
          <w:rFonts w:hint="eastAsia" w:ascii="Times New Roman" w:hAnsi="Times New Roman" w:eastAsia="黑体"/>
          <w:b/>
          <w:bCs/>
          <w:sz w:val="28"/>
        </w:rPr>
        <w:t>三、主要参考资料</w:t>
      </w:r>
    </w:p>
    <w:p w14:paraId="4F724124">
      <w:pPr>
        <w:pStyle w:val="54"/>
        <w:numPr>
          <w:ilvl w:val="0"/>
          <w:numId w:val="1"/>
        </w:numPr>
        <w:wordWrap w:val="0"/>
        <w:ind w:firstLineChars="0"/>
        <w:rPr>
          <w:rFonts w:ascii="Times New Roman" w:hAnsi="Times New Roman"/>
          <w:szCs w:val="24"/>
        </w:rPr>
      </w:pPr>
      <w:r>
        <w:rPr>
          <w:rFonts w:ascii="Times New Roman" w:hAnsi="Times New Roman"/>
          <w:szCs w:val="24"/>
        </w:rPr>
        <w:t>Chen H, Zhang Y, Kalra M K, et al. Low-dose CT with a residual encoder-decoder convolutional neural network[J]. IEEE transactions on medical imaging, 2017, 36(12):2524-2535.</w:t>
      </w:r>
    </w:p>
    <w:p w14:paraId="6D39CF07">
      <w:pPr>
        <w:pStyle w:val="54"/>
        <w:numPr>
          <w:ilvl w:val="0"/>
          <w:numId w:val="1"/>
        </w:numPr>
        <w:wordWrap w:val="0"/>
        <w:autoSpaceDE w:val="0"/>
        <w:autoSpaceDN w:val="0"/>
        <w:adjustRightInd w:val="0"/>
        <w:snapToGrid w:val="0"/>
        <w:ind w:left="442" w:hanging="442" w:firstLineChars="0"/>
        <w:rPr>
          <w:rFonts w:ascii="Times New Roman" w:hAnsi="Times New Roman"/>
          <w:szCs w:val="24"/>
        </w:rPr>
      </w:pPr>
      <w:r>
        <w:rPr>
          <w:rFonts w:hint="eastAsia" w:ascii="Times New Roman" w:hAnsi="Times New Roman"/>
          <w:szCs w:val="24"/>
        </w:rPr>
        <w:t>Barber F R, Sidky Y E, Schmidt G T, et al. An algorithm for constrained one-step inversion of spectral CT data[J]. Physics in Medicine and Biology, 2016, 61(10):3784-3818.</w:t>
      </w:r>
    </w:p>
    <w:p w14:paraId="1156CB49">
      <w:pPr>
        <w:spacing w:line="240" w:lineRule="auto"/>
        <w:ind w:firstLine="843" w:firstLineChars="300"/>
        <w:rPr>
          <w:rFonts w:ascii="Times New Roman" w:hAnsi="Times New Roman" w:eastAsia="黑体"/>
          <w:b/>
          <w:bCs/>
          <w:sz w:val="28"/>
        </w:rPr>
      </w:pPr>
      <w:r>
        <w:rPr>
          <w:rFonts w:hint="eastAsia" w:ascii="Times New Roman" w:hAnsi="Times New Roman" w:eastAsia="黑体"/>
          <w:b/>
          <w:bCs/>
          <w:sz w:val="28"/>
        </w:rPr>
        <w:t>完  成  期  限：</w:t>
      </w:r>
      <w:r>
        <w:rPr>
          <w:rFonts w:hint="eastAsia" w:ascii="Times New Roman" w:hAnsi="Times New Roman" w:eastAsia="黑体"/>
          <w:b/>
          <w:bCs/>
          <w:spacing w:val="20"/>
          <w:kern w:val="10"/>
          <w:sz w:val="28"/>
          <w:u w:val="single"/>
        </w:rPr>
        <w:t xml:space="preserve"> 2025年5月</w:t>
      </w:r>
      <w:r>
        <w:rPr>
          <w:rFonts w:hint="eastAsia" w:ascii="Times New Roman" w:hAnsi="Times New Roman" w:eastAsia="黑体"/>
          <w:b/>
          <w:bCs/>
          <w:spacing w:val="20"/>
          <w:kern w:val="10"/>
          <w:sz w:val="28"/>
          <w:u w:val="single"/>
          <w:lang w:val="en-US" w:eastAsia="zh-CN"/>
        </w:rPr>
        <w:t>25日</w:t>
      </w:r>
      <w:r>
        <w:rPr>
          <w:rFonts w:hint="eastAsia" w:ascii="Times New Roman" w:hAnsi="Times New Roman" w:eastAsia="黑体"/>
          <w:b/>
          <w:bCs/>
          <w:spacing w:val="20"/>
          <w:kern w:val="10"/>
          <w:sz w:val="28"/>
          <w:u w:val="single"/>
        </w:rPr>
        <w:t xml:space="preserve"> </w:t>
      </w:r>
    </w:p>
    <w:p w14:paraId="70C7B4BD">
      <w:pPr>
        <w:keepNext w:val="0"/>
        <w:keepLines w:val="0"/>
        <w:pageBreakBefore w:val="0"/>
        <w:widowControl w:val="0"/>
        <w:kinsoku/>
        <w:wordWrap/>
        <w:overflowPunct/>
        <w:topLinePunct w:val="0"/>
        <w:autoSpaceDE/>
        <w:autoSpaceDN/>
        <w:bidi w:val="0"/>
        <w:adjustRightInd/>
        <w:snapToGrid/>
        <w:spacing w:line="240" w:lineRule="auto"/>
        <w:ind w:firstLine="838" w:firstLineChars="261"/>
        <w:textAlignment w:val="auto"/>
        <w:rPr>
          <w:rFonts w:hint="eastAsia" w:ascii="Times New Roman" w:hAnsi="Times New Roman" w:eastAsia="黑体"/>
          <w:b/>
          <w:bCs/>
          <w:spacing w:val="20"/>
          <w:kern w:val="10"/>
          <w:sz w:val="28"/>
          <w:u w:val="single"/>
          <w:lang w:val="en-US" w:eastAsia="zh-CN"/>
        </w:rPr>
      </w:pPr>
      <w:r>
        <w:rPr>
          <w:rFonts w:hint="eastAsia" w:ascii="Times New Roman" w:hAnsi="Times New Roman" w:eastAsia="黑体"/>
          <w:b/>
          <w:bCs/>
          <w:spacing w:val="20"/>
          <w:kern w:val="10"/>
          <w:sz w:val="28"/>
        </w:rPr>
        <w:t>指导教师签名：</w:t>
      </w:r>
      <w:r>
        <w:rPr>
          <w:rFonts w:hint="eastAsia" w:ascii="Times New Roman" w:hAnsi="Times New Roman" w:eastAsia="黑体"/>
          <w:b/>
          <w:bCs/>
          <w:spacing w:val="20"/>
          <w:kern w:val="10"/>
          <w:sz w:val="28"/>
          <w:u w:val="single"/>
          <w:lang w:val="en-US" w:eastAsia="zh-CN"/>
        </w:rPr>
        <w:t xml:space="preserve"> </w:t>
      </w:r>
      <w:r>
        <w:rPr>
          <w:rFonts w:hint="eastAsia" w:ascii="Times New Roman" w:hAnsi="Times New Roman" w:eastAsia="黑体"/>
          <w:b/>
          <w:bCs/>
          <w:spacing w:val="20"/>
          <w:kern w:val="10"/>
          <w:sz w:val="28"/>
          <w:u w:val="single"/>
          <w:lang w:val="en-US" w:eastAsia="zh-CN"/>
        </w:rPr>
        <w:tab/>
      </w:r>
      <w:r>
        <w:rPr>
          <w:rFonts w:hint="eastAsia" w:ascii="Times New Roman" w:hAnsi="Times New Roman" w:eastAsia="黑体"/>
          <w:b/>
          <w:bCs/>
          <w:spacing w:val="20"/>
          <w:kern w:val="10"/>
          <w:sz w:val="28"/>
          <w:u w:val="single"/>
          <w:lang w:val="en-US" w:eastAsia="zh-CN"/>
        </w:rPr>
        <w:tab/>
      </w:r>
      <w:r>
        <w:rPr>
          <w:rFonts w:hint="eastAsia" w:ascii="Times New Roman" w:hAnsi="Times New Roman" w:eastAsia="黑体"/>
          <w:b/>
          <w:bCs/>
          <w:spacing w:val="20"/>
          <w:kern w:val="10"/>
          <w:sz w:val="28"/>
          <w:u w:val="single"/>
          <w:lang w:val="en-US" w:eastAsia="zh-CN"/>
        </w:rPr>
        <w:tab/>
      </w:r>
      <w:r>
        <w:rPr>
          <w:rFonts w:hint="eastAsia" w:ascii="Times New Roman" w:hAnsi="Times New Roman" w:eastAsia="黑体"/>
          <w:b/>
          <w:bCs/>
          <w:spacing w:val="20"/>
          <w:kern w:val="10"/>
          <w:sz w:val="28"/>
          <w:u w:val="single"/>
          <w:lang w:val="en-US" w:eastAsia="zh-CN"/>
        </w:rPr>
        <w:tab/>
      </w:r>
      <w:r>
        <w:rPr>
          <w:rFonts w:hint="eastAsia" w:ascii="Times New Roman" w:hAnsi="Times New Roman" w:eastAsia="黑体"/>
          <w:b/>
          <w:bCs/>
          <w:spacing w:val="20"/>
          <w:kern w:val="10"/>
          <w:sz w:val="28"/>
          <w:u w:val="single"/>
        </w:rPr>
        <w:t xml:space="preserve"> </w:t>
      </w:r>
      <w:r>
        <w:rPr>
          <w:rFonts w:hint="eastAsia" w:ascii="Times New Roman" w:hAnsi="Times New Roman" w:eastAsia="黑体"/>
          <w:b/>
          <w:bCs/>
          <w:spacing w:val="20"/>
          <w:kern w:val="10"/>
          <w:sz w:val="28"/>
          <w:u w:val="single"/>
          <w:lang w:val="en-US" w:eastAsia="zh-CN"/>
        </w:rPr>
        <w:t xml:space="preserve"> </w:t>
      </w:r>
    </w:p>
    <w:p w14:paraId="0E60C9C4">
      <w:pPr>
        <w:spacing w:line="240" w:lineRule="auto"/>
        <w:ind w:firstLine="734" w:firstLineChars="261"/>
        <w:rPr>
          <w:rFonts w:ascii="Times New Roman" w:hAnsi="Times New Roman" w:eastAsia="黑体"/>
          <w:b/>
          <w:bCs/>
          <w:sz w:val="28"/>
          <w:u w:val="single"/>
        </w:rPr>
      </w:pPr>
      <w:r>
        <w:rPr>
          <w:rFonts w:hint="eastAsia" w:ascii="Times New Roman" w:hAnsi="Times New Roman" w:eastAsia="黑体"/>
          <w:b/>
          <w:bCs/>
          <w:sz w:val="28"/>
        </w:rPr>
        <w:t>专业负责人签名：</w:t>
      </w:r>
      <w:r>
        <w:rPr>
          <w:rFonts w:hint="eastAsia" w:ascii="Times New Roman" w:hAnsi="Times New Roman" w:eastAsia="黑体"/>
          <w:b/>
          <w:bCs/>
          <w:sz w:val="28"/>
          <w:u w:val="single"/>
          <w:lang w:val="en-US" w:eastAsia="zh-CN"/>
        </w:rPr>
        <w:t xml:space="preserve"> </w:t>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lang w:val="en-US" w:eastAsia="zh-CN"/>
        </w:rPr>
        <w:tab/>
      </w:r>
      <w:r>
        <w:rPr>
          <w:rFonts w:hint="eastAsia" w:ascii="Times New Roman" w:hAnsi="Times New Roman" w:eastAsia="黑体"/>
          <w:b/>
          <w:bCs/>
          <w:sz w:val="28"/>
          <w:u w:val="single"/>
        </w:rPr>
        <w:t xml:space="preserve">       </w:t>
      </w:r>
      <w:r>
        <w:rPr>
          <w:rFonts w:hint="eastAsia" w:ascii="Times New Roman" w:hAnsi="Times New Roman" w:eastAsia="黑体"/>
          <w:b/>
          <w:bCs/>
          <w:sz w:val="28"/>
          <w:u w:val="single"/>
          <w:lang w:val="en-US" w:eastAsia="zh-CN"/>
        </w:rPr>
        <w:t xml:space="preserve">          </w:t>
      </w:r>
      <w:r>
        <w:rPr>
          <w:rFonts w:hint="eastAsia" w:ascii="Times New Roman" w:hAnsi="Times New Roman" w:eastAsia="黑体"/>
          <w:b/>
          <w:bCs/>
          <w:sz w:val="28"/>
          <w:u w:val="single"/>
        </w:rPr>
        <w:t xml:space="preserve">     </w:t>
      </w:r>
    </w:p>
    <w:p w14:paraId="776886DD">
      <w:pPr>
        <w:spacing w:line="240" w:lineRule="auto"/>
        <w:ind w:firstLine="0" w:firstLineChars="0"/>
        <w:jc w:val="center"/>
        <w:rPr>
          <w:rFonts w:ascii="Times New Roman" w:hAnsi="Times New Roman" w:eastAsia="黑体"/>
          <w:b/>
          <w:bCs/>
          <w:sz w:val="28"/>
        </w:rPr>
        <w:sectPr>
          <w:footerReference r:id="rId5" w:type="default"/>
          <w:pgSz w:w="11906" w:h="16838"/>
          <w:pgMar w:top="1418" w:right="1134" w:bottom="1418" w:left="1701" w:header="737" w:footer="992" w:gutter="0"/>
          <w:pgBorders>
            <w:top w:val="none" w:sz="0" w:space="0"/>
            <w:left w:val="none" w:sz="0" w:space="0"/>
            <w:bottom w:val="none" w:sz="0" w:space="0"/>
            <w:right w:val="none" w:sz="0" w:space="0"/>
          </w:pgBorders>
          <w:pgNumType w:fmt="decimal" w:start="1"/>
          <w:cols w:space="425" w:num="1"/>
          <w:docGrid w:type="lines" w:linePitch="326" w:charSpace="0"/>
        </w:sectPr>
      </w:pPr>
      <w:r>
        <w:rPr>
          <w:rFonts w:hint="eastAsia" w:ascii="Times New Roman" w:hAnsi="Times New Roman" w:eastAsia="黑体"/>
          <w:b/>
          <w:bCs/>
          <w:sz w:val="28"/>
        </w:rPr>
        <w:t xml:space="preserve">2026年  5月 </w:t>
      </w:r>
      <w:r>
        <w:rPr>
          <w:rFonts w:hint="eastAsia" w:ascii="Times New Roman" w:hAnsi="Times New Roman" w:eastAsia="黑体"/>
          <w:b/>
          <w:bCs/>
          <w:sz w:val="28"/>
          <w:lang w:val="en-US" w:eastAsia="zh-CN"/>
        </w:rPr>
        <w:t>25</w:t>
      </w:r>
      <w:r>
        <w:rPr>
          <w:rFonts w:hint="eastAsia" w:ascii="Times New Roman" w:hAnsi="Times New Roman" w:eastAsia="黑体"/>
          <w:b/>
          <w:bCs/>
          <w:sz w:val="28"/>
        </w:rPr>
        <w:t>日</w:t>
      </w:r>
    </w:p>
    <w:p w14:paraId="000ACE11">
      <w:pPr>
        <w:ind w:firstLine="0" w:firstLineChars="0"/>
        <w:jc w:val="center"/>
        <w:rPr>
          <w:rFonts w:hint="eastAsia" w:ascii="黑体" w:hAnsi="黑体" w:eastAsia="黑体" w:cs="黑体"/>
          <w:kern w:val="0"/>
          <w:sz w:val="32"/>
          <w:szCs w:val="32"/>
        </w:rPr>
      </w:pPr>
      <w:bookmarkStart w:id="1" w:name="OLE_LINK5"/>
      <w:r>
        <w:rPr>
          <w:rFonts w:hint="eastAsia" w:ascii="黑体" w:hAnsi="黑体" w:eastAsia="黑体" w:cs="黑体"/>
          <w:sz w:val="32"/>
          <w:szCs w:val="32"/>
        </w:rPr>
        <w:t>基于自监督学习的低剂量CT投影域去噪与高质量重建研究</w:t>
      </w:r>
    </w:p>
    <w:p w14:paraId="3990065E">
      <w:pPr>
        <w:ind w:firstLine="0" w:firstLineChars="0"/>
        <w:jc w:val="center"/>
        <w:outlineLvl w:val="0"/>
        <w:rPr>
          <w:rFonts w:ascii="Times New Roman" w:hAnsi="Times New Roman" w:eastAsia="黑体"/>
          <w:kern w:val="0"/>
          <w:sz w:val="30"/>
          <w:szCs w:val="30"/>
        </w:rPr>
      </w:pPr>
      <w:bookmarkStart w:id="2" w:name="_Toc13340"/>
      <w:bookmarkStart w:id="3" w:name="_Toc484469552"/>
      <w:bookmarkStart w:id="4" w:name="_Toc484465779"/>
      <w:bookmarkStart w:id="5" w:name="_Toc1350"/>
      <w:bookmarkStart w:id="6" w:name="_Toc5882"/>
      <w:bookmarkStart w:id="7" w:name="_Toc486852599"/>
      <w:bookmarkStart w:id="8" w:name="_Toc6136"/>
      <w:bookmarkStart w:id="9" w:name="_Toc486853107"/>
      <w:bookmarkStart w:id="10" w:name="_Toc14016"/>
      <w:bookmarkStart w:id="11" w:name="_Toc1240"/>
      <w:bookmarkStart w:id="12" w:name="_Toc13444"/>
      <w:bookmarkStart w:id="13" w:name="_Toc7949"/>
      <w:bookmarkStart w:id="14" w:name="_Toc23566"/>
      <w:bookmarkStart w:id="15" w:name="_Toc486853300"/>
      <w:bookmarkStart w:id="16" w:name="_Toc32168"/>
      <w:bookmarkStart w:id="17" w:name="_Toc13758"/>
      <w:bookmarkStart w:id="18" w:name="_Toc31964"/>
      <w:bookmarkStart w:id="19" w:name="_Toc486603431"/>
      <w:bookmarkStart w:id="20" w:name="_Toc22155"/>
      <w:bookmarkStart w:id="21" w:name="_Toc18818"/>
      <w:bookmarkStart w:id="22" w:name="_Toc8687"/>
      <w:bookmarkStart w:id="23" w:name="_Toc28287"/>
      <w:r>
        <w:rPr>
          <w:rFonts w:hint="eastAsia" w:ascii="Times New Roman" w:hAnsi="Times New Roman" w:eastAsia="黑体"/>
          <w:kern w:val="0"/>
          <w:sz w:val="30"/>
          <w:szCs w:val="30"/>
        </w:rPr>
        <w:t>摘  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55113B9">
      <w:pPr>
        <w:ind w:firstLine="0" w:firstLineChars="0"/>
        <w:jc w:val="center"/>
        <w:rPr>
          <w:rFonts w:hint="eastAsia" w:ascii="宋体" w:hAnsi="宋体" w:eastAsia="宋体" w:cs="宋体"/>
          <w:kern w:val="0"/>
          <w:sz w:val="24"/>
          <w:szCs w:val="24"/>
        </w:rPr>
      </w:pPr>
    </w:p>
    <w:p w14:paraId="14C85EF7">
      <w:pPr>
        <w:adjustRightInd w:val="0"/>
        <w:snapToGrid w:val="0"/>
        <w:jc w:val="center"/>
        <w:rPr>
          <w:rFonts w:hint="eastAsia" w:ascii="宋体" w:hAnsi="宋体" w:eastAsia="宋体" w:cs="宋体"/>
          <w:kern w:val="0"/>
          <w:sz w:val="24"/>
          <w:szCs w:val="24"/>
          <w:lang w:val="en-US" w:eastAsia="zh-CN"/>
        </w:rPr>
      </w:pPr>
      <w:r>
        <w:rPr>
          <w:rFonts w:hint="eastAsia" w:ascii="宋体" w:hAnsi="宋体" w:eastAsia="宋体" w:cs="宋体"/>
          <w:i w:val="0"/>
          <w:iCs w:val="0"/>
          <w:caps w:val="0"/>
          <w:color w:val="0F1115"/>
          <w:spacing w:val="0"/>
          <w:sz w:val="24"/>
          <w:szCs w:val="24"/>
          <w:shd w:val="clear" w:fill="FFFFFF"/>
        </w:rPr>
        <w:t>低剂量CT在降低辐射风险的同时会引入投影域噪声，导致重建图像质量下降，制约其临床应用。针对此问题，本文提出一种基于自监督学习的投影域去噪与高质量重建方法。首先分析低剂量CT投影域泊松</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高斯混合噪声的生成机制与统计特性；其次构建以改进U</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Net为骨干、嵌入对比学习特征解耦的自监督去噪网络，采用“自监督预训练+少量标注微调”的两阶段策略，结合正弦图一致性损失、均方误差损失和结构相似性损失进行多约束训练；最后将去噪后投影数据输入ADMM</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TV迭代重建框架，实现高质量CT成像。实验结果表明，本方法投影域噪声抑制率达82.3%，细节保留率89.7%，重建图像PSNR达41.2dB、SSIM达0.94，显著优于传统滤波和主流深度学习方法。本研究为低剂量CT图像质量提升提供了可行方案，在肺癌筛查等临床场景中具有良好的应</w:t>
      </w:r>
    </w:p>
    <w:p w14:paraId="476B2656">
      <w:pPr>
        <w:ind w:left="0" w:leftChars="0" w:firstLine="0" w:firstLineChars="0"/>
        <w:rPr>
          <w:rFonts w:hint="eastAsia" w:ascii="宋体" w:hAnsi="宋体" w:eastAsia="宋体" w:cs="宋体"/>
          <w:b w:val="0"/>
          <w:bCs w:val="0"/>
          <w:lang w:val="en-US" w:eastAsia="zh-CN"/>
        </w:rPr>
      </w:pPr>
      <w:r>
        <w:rPr>
          <w:rFonts w:hint="eastAsia" w:ascii="宋体" w:hAnsi="宋体" w:eastAsia="宋体" w:cs="宋体"/>
          <w:b w:val="0"/>
          <w:bCs w:val="0"/>
          <w:lang w:val="en-US" w:eastAsia="zh-CN"/>
        </w:rPr>
        <w:t>用场景</w:t>
      </w:r>
      <w:r>
        <w:rPr>
          <w:rFonts w:hint="eastAsia" w:ascii="宋体" w:hAnsi="宋体" w:cs="宋体"/>
          <w:b w:val="0"/>
          <w:bCs w:val="0"/>
          <w:lang w:val="en-US" w:eastAsia="zh-CN"/>
        </w:rPr>
        <w:t>。</w:t>
      </w:r>
    </w:p>
    <w:p w14:paraId="65EFD603">
      <w:r>
        <w:rPr>
          <w:rFonts w:hint="eastAsia" w:ascii="Times New Roman" w:hAnsi="Times New Roman" w:eastAsia="黑体"/>
        </w:rPr>
        <w:t>关键词</w:t>
      </w:r>
      <w:r>
        <w:rPr>
          <w:rFonts w:hint="eastAsia" w:ascii="Times New Roman" w:hAnsi="Times New Roman" w:eastAsia="黑体"/>
          <w:b/>
          <w:sz w:val="28"/>
        </w:rPr>
        <w:t xml:space="preserve">  </w:t>
      </w:r>
      <w:bookmarkEnd w:id="1"/>
      <w:r>
        <w:rPr>
          <w:rFonts w:ascii="Times New Roman"/>
        </w:rPr>
        <w:t>低剂量CT,投影域去噪,自监督学习,高质量重建,噪声特性</w:t>
      </w:r>
    </w:p>
    <w:p w14:paraId="3CF21857">
      <w:pPr>
        <w:ind w:firstLine="0" w:firstLineChars="0"/>
        <w:rPr>
          <w:rFonts w:ascii="Times New Roman" w:hAnsi="Times New Roman"/>
          <w:b/>
          <w:kern w:val="0"/>
          <w:sz w:val="32"/>
          <w:szCs w:val="32"/>
        </w:rPr>
      </w:pPr>
      <w:r>
        <w:rPr>
          <w:rFonts w:ascii="Times New Roman" w:hAnsi="Times New Roman"/>
          <w:b/>
          <w:kern w:val="0"/>
          <w:sz w:val="32"/>
          <w:szCs w:val="32"/>
        </w:rPr>
        <w:br w:type="page"/>
      </w:r>
    </w:p>
    <w:p w14:paraId="2E9CA6FC">
      <w:pPr>
        <w:ind w:firstLine="0" w:firstLineChars="0"/>
        <w:jc w:val="center"/>
        <w:rPr>
          <w:rFonts w:ascii="Times New Roman" w:hAnsi="Times New Roman"/>
          <w:b/>
          <w:bCs/>
          <w:kern w:val="0"/>
          <w:sz w:val="32"/>
          <w:szCs w:val="32"/>
        </w:rPr>
      </w:pPr>
      <w:r>
        <w:rPr>
          <w:rFonts w:ascii="Times New Roman" w:hAnsi="Times New Roman"/>
          <w:b/>
          <w:bCs/>
          <w:sz w:val="32"/>
          <w:szCs w:val="32"/>
        </w:rPr>
        <w:t>RESEARCH ON LOW-DOSE CT PROJECTION DOMAIN DENOISING AND HIGH-QUALITY RECONSTRUCTION BASED ON SELF-SUPERVISED LEARNING</w:t>
      </w:r>
    </w:p>
    <w:p w14:paraId="4ABEE22B">
      <w:pPr>
        <w:ind w:firstLine="0" w:firstLineChars="0"/>
        <w:jc w:val="center"/>
        <w:rPr>
          <w:rFonts w:ascii="Times New Roman" w:hAnsi="Times New Roman"/>
          <w:kern w:val="0"/>
          <w:sz w:val="28"/>
        </w:rPr>
      </w:pPr>
    </w:p>
    <w:p w14:paraId="17F7768C">
      <w:pPr>
        <w:ind w:firstLine="0" w:firstLineChars="0"/>
        <w:jc w:val="center"/>
        <w:outlineLvl w:val="0"/>
        <w:rPr>
          <w:rFonts w:ascii="Times New Roman" w:hAnsi="Times New Roman"/>
          <w:b/>
          <w:sz w:val="28"/>
          <w:szCs w:val="28"/>
        </w:rPr>
      </w:pPr>
      <w:bookmarkStart w:id="24" w:name="_Toc13602"/>
      <w:bookmarkStart w:id="25" w:name="_Toc4316"/>
      <w:bookmarkStart w:id="26" w:name="_Toc486853301"/>
      <w:bookmarkStart w:id="27" w:name="_Toc30858"/>
      <w:bookmarkStart w:id="28" w:name="_Toc11267"/>
      <w:bookmarkStart w:id="29" w:name="_Toc486852600"/>
      <w:bookmarkStart w:id="30" w:name="_Toc486603432"/>
      <w:bookmarkStart w:id="31" w:name="_Toc14199"/>
      <w:bookmarkStart w:id="32" w:name="_Toc7530"/>
      <w:bookmarkStart w:id="33" w:name="_Toc26257"/>
      <w:bookmarkStart w:id="34" w:name="_Toc10494"/>
      <w:bookmarkStart w:id="35" w:name="_Toc484469553"/>
      <w:bookmarkStart w:id="36" w:name="_Toc484465780"/>
      <w:bookmarkStart w:id="37" w:name="_Toc19431"/>
      <w:bookmarkStart w:id="38" w:name="_Toc27705"/>
      <w:bookmarkStart w:id="39" w:name="_Toc26241"/>
      <w:bookmarkStart w:id="40" w:name="_Toc14995"/>
      <w:bookmarkStart w:id="41" w:name="_Toc116"/>
      <w:bookmarkStart w:id="42" w:name="_Toc18096"/>
      <w:bookmarkStart w:id="43" w:name="_Toc5833"/>
      <w:bookmarkStart w:id="44" w:name="_Toc486853108"/>
      <w:bookmarkStart w:id="45" w:name="_Toc23229"/>
      <w:r>
        <w:rPr>
          <w:rFonts w:ascii="Times New Roman" w:hAnsi="Times New Roman"/>
          <w:b/>
          <w:sz w:val="28"/>
          <w:szCs w:val="28"/>
        </w:rPr>
        <w:t>ABSTRACT</w:t>
      </w:r>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B8B940E">
      <w:pPr>
        <w:ind w:firstLine="0" w:firstLineChars="0"/>
        <w:jc w:val="center"/>
        <w:rPr>
          <w:rFonts w:ascii="Times New Roman" w:hAnsi="Times New Roman"/>
          <w:kern w:val="0"/>
          <w:szCs w:val="24"/>
        </w:rPr>
      </w:pPr>
    </w:p>
    <w:p w14:paraId="04BBA399">
      <w:pPr>
        <w:pStyle w:val="8"/>
        <w:spacing w:before="20" w:after="20" w:line="400" w:lineRule="auto"/>
      </w:pPr>
      <w:r>
        <w:rPr>
          <w:sz w:val="24"/>
        </w:rPr>
        <w:t>Low-dose CT imaging reduces radiation risk but easily introduces projection-domain noise, leading to degraded reconstructed image quality and restricting its clinical application. This paper focuses on projection-domain denoising and high-quality reconstruction of low-dose CT: First, the generation mechanism and statistical characteristics of projection-domain noise in low-dose CT are analyzed, and the adaptive advantages of self-supervised learning in unpaired label scenarios are clarified. Second, a self-supervised learning-based projection-domain denoising network architecture is constructed, and pre-training and fine-tuning strategies are optimized to enhance noise suppression capability. Then, high-quality CT reconstruction is realized using denoised projection data, and a multi-dimensional performance evaluation system is established to verify the model effect. The results show that the proposed method can effectively remove projection-domain noise and significantly improve the structural fidelity and clinical diagnostic value of reconstructed images.</w:t>
      </w:r>
    </w:p>
    <w:p w14:paraId="2D7FD523">
      <w:pPr>
        <w:ind w:firstLine="0" w:firstLineChars="0"/>
      </w:pPr>
      <w:r>
        <w:rPr>
          <w:rFonts w:ascii="Times New Roman" w:hAnsi="Times New Roman"/>
          <w:b/>
        </w:rPr>
        <w:t>KEYWORDS</w:t>
      </w:r>
      <w:r>
        <w:rPr>
          <w:rFonts w:hint="eastAsia" w:ascii="Times New Roman" w:hAnsi="Times New Roman"/>
          <w:b/>
        </w:rPr>
        <w:t xml:space="preserve"> </w:t>
      </w:r>
      <w:r>
        <w:rPr>
          <w:rFonts w:ascii="Times New Roman"/>
        </w:rPr>
        <w:t>low-doseCT,projection-domaindenoising,self-supervised learning,high-quality reconstruction,noise characteristics</w:t>
      </w:r>
    </w:p>
    <w:p w14:paraId="1C206E2B">
      <w:pPr>
        <w:adjustRightInd w:val="0"/>
        <w:snapToGrid w:val="0"/>
        <w:ind w:firstLine="0" w:firstLineChars="0"/>
        <w:rPr>
          <w:rFonts w:ascii="Times New Roman" w:hAnsi="Times New Roman" w:eastAsia="黑体"/>
          <w:b/>
          <w:sz w:val="28"/>
        </w:rPr>
      </w:pPr>
    </w:p>
    <w:p w14:paraId="232F21EB">
      <w:pPr>
        <w:ind w:firstLine="0" w:firstLineChars="0"/>
        <w:jc w:val="center"/>
        <w:rPr>
          <w:rFonts w:ascii="Times New Roman" w:hAnsi="Times New Roman" w:eastAsia="黑体"/>
          <w:kern w:val="0"/>
          <w:sz w:val="32"/>
          <w:szCs w:val="32"/>
        </w:rPr>
      </w:pPr>
      <w:r>
        <w:rPr>
          <w:rFonts w:ascii="Times New Roman" w:hAnsi="Times New Roman" w:eastAsia="黑体"/>
          <w:kern w:val="0"/>
          <w:sz w:val="32"/>
          <w:szCs w:val="32"/>
        </w:rPr>
        <w:br w:type="page"/>
      </w:r>
    </w:p>
    <w:p w14:paraId="6234F3FC">
      <w:pPr>
        <w:ind w:firstLine="0" w:firstLineChars="0"/>
        <w:jc w:val="center"/>
        <w:rPr>
          <w:rFonts w:ascii="Times New Roman" w:hAnsi="Times New Roman" w:eastAsia="黑体"/>
          <w:kern w:val="0"/>
          <w:sz w:val="32"/>
          <w:szCs w:val="32"/>
        </w:rPr>
      </w:pPr>
      <w:r>
        <w:rPr>
          <w:rFonts w:hint="eastAsia" w:ascii="Times New Roman" w:hAnsi="Times New Roman" w:eastAsia="黑体"/>
          <w:kern w:val="0"/>
          <w:sz w:val="32"/>
          <w:szCs w:val="32"/>
        </w:rPr>
        <w:t>目  录</w:t>
      </w:r>
    </w:p>
    <w:p w14:paraId="2480EC8E">
      <w:pPr>
        <w:ind w:firstLine="0" w:firstLineChars="0"/>
        <w:jc w:val="center"/>
        <w:rPr>
          <w:rFonts w:ascii="Times New Roman" w:hAnsi="Times New Roman" w:cstheme="minorBidi"/>
          <w:kern w:val="0"/>
          <w:szCs w:val="22"/>
        </w:rPr>
      </w:pPr>
    </w:p>
    <w:p w14:paraId="437F1464">
      <w:pPr>
        <w:pStyle w:val="20"/>
        <w:tabs>
          <w:tab w:val="right" w:leader="dot" w:pos="9071"/>
          <w:tab w:val="clear" w:pos="8777"/>
        </w:tabs>
      </w:pPr>
      <w:bookmarkStart w:id="46" w:name="_Toc22056"/>
      <w:r>
        <w:fldChar w:fldCharType="begin"/>
      </w:r>
      <w:r>
        <w:instrText xml:space="preserve">TOC \o "1-3" \h \u </w:instrText>
      </w:r>
      <w:r>
        <w:fldChar w:fldCharType="separate"/>
      </w:r>
      <w:r>
        <w:fldChar w:fldCharType="begin"/>
      </w:r>
      <w:r>
        <w:instrText xml:space="preserve"> HYPERLINK \l _Toc28287 </w:instrText>
      </w:r>
      <w:r>
        <w:fldChar w:fldCharType="separate"/>
      </w:r>
      <w:r>
        <w:rPr>
          <w:rFonts w:hint="eastAsia" w:ascii="Times New Roman" w:hAnsi="Times New Roman" w:eastAsia="黑体"/>
          <w:kern w:val="0"/>
          <w:szCs w:val="30"/>
        </w:rPr>
        <w:t>摘  要</w:t>
      </w:r>
      <w:r>
        <w:tab/>
      </w:r>
      <w:r>
        <w:fldChar w:fldCharType="begin"/>
      </w:r>
      <w:r>
        <w:instrText xml:space="preserve"> PAGEREF _Toc28287 \h </w:instrText>
      </w:r>
      <w:r>
        <w:fldChar w:fldCharType="separate"/>
      </w:r>
      <w:r>
        <w:t>I</w:t>
      </w:r>
      <w:r>
        <w:fldChar w:fldCharType="end"/>
      </w:r>
      <w:r>
        <w:fldChar w:fldCharType="end"/>
      </w:r>
    </w:p>
    <w:p w14:paraId="421EA8FC">
      <w:pPr>
        <w:pStyle w:val="20"/>
        <w:tabs>
          <w:tab w:val="right" w:leader="dot" w:pos="9071"/>
          <w:tab w:val="clear" w:pos="8777"/>
        </w:tabs>
      </w:pPr>
      <w:r>
        <w:fldChar w:fldCharType="begin"/>
      </w:r>
      <w:r>
        <w:instrText xml:space="preserve"> HYPERLINK \l _Toc5833 </w:instrText>
      </w:r>
      <w:r>
        <w:fldChar w:fldCharType="separate"/>
      </w:r>
      <w:r>
        <w:rPr>
          <w:rFonts w:ascii="Times New Roman" w:hAnsi="Times New Roman"/>
          <w:szCs w:val="28"/>
        </w:rPr>
        <w:t>ABSTRACT</w:t>
      </w:r>
      <w:r>
        <w:tab/>
      </w:r>
      <w:r>
        <w:fldChar w:fldCharType="begin"/>
      </w:r>
      <w:r>
        <w:instrText xml:space="preserve"> PAGEREF _Toc5833 \h </w:instrText>
      </w:r>
      <w:r>
        <w:fldChar w:fldCharType="separate"/>
      </w:r>
      <w:r>
        <w:t>II</w:t>
      </w:r>
      <w:r>
        <w:fldChar w:fldCharType="end"/>
      </w:r>
      <w:r>
        <w:fldChar w:fldCharType="end"/>
      </w:r>
    </w:p>
    <w:p w14:paraId="15D41691">
      <w:pPr>
        <w:pStyle w:val="20"/>
        <w:tabs>
          <w:tab w:val="right" w:leader="dot" w:pos="9071"/>
          <w:tab w:val="clear" w:pos="8777"/>
        </w:tabs>
      </w:pPr>
      <w:r>
        <w:fldChar w:fldCharType="begin"/>
      </w:r>
      <w:r>
        <w:instrText xml:space="preserve"> HYPERLINK \l _Toc3972 </w:instrText>
      </w:r>
      <w:r>
        <w:fldChar w:fldCharType="separate"/>
      </w:r>
      <w:r>
        <w:rPr>
          <w:rFonts w:hint="eastAsia"/>
          <w:lang w:val="en-US"/>
        </w:rPr>
        <w:t>1 绪论</w:t>
      </w:r>
      <w:r>
        <w:tab/>
      </w:r>
      <w:r>
        <w:fldChar w:fldCharType="begin"/>
      </w:r>
      <w:r>
        <w:instrText xml:space="preserve"> PAGEREF _Toc3972 \h </w:instrText>
      </w:r>
      <w:r>
        <w:fldChar w:fldCharType="separate"/>
      </w:r>
      <w:r>
        <w:t>1</w:t>
      </w:r>
      <w:r>
        <w:fldChar w:fldCharType="end"/>
      </w:r>
      <w:r>
        <w:fldChar w:fldCharType="end"/>
      </w:r>
    </w:p>
    <w:p w14:paraId="3B5D7E85">
      <w:pPr>
        <w:pStyle w:val="24"/>
        <w:tabs>
          <w:tab w:val="right" w:leader="dot" w:pos="9071"/>
          <w:tab w:val="clear" w:pos="8777"/>
        </w:tabs>
      </w:pPr>
      <w:r>
        <w:fldChar w:fldCharType="begin"/>
      </w:r>
      <w:r>
        <w:instrText xml:space="preserve"> HYPERLINK \l _Toc3068 </w:instrText>
      </w:r>
      <w:r>
        <w:fldChar w:fldCharType="separate"/>
      </w:r>
      <w:r>
        <w:rPr>
          <w:rFonts w:hint="eastAsia"/>
        </w:rPr>
        <w:t>1.1 研究背景与意义</w:t>
      </w:r>
      <w:r>
        <w:tab/>
      </w:r>
      <w:r>
        <w:fldChar w:fldCharType="begin"/>
      </w:r>
      <w:r>
        <w:instrText xml:space="preserve"> PAGEREF _Toc3068 \h </w:instrText>
      </w:r>
      <w:r>
        <w:fldChar w:fldCharType="separate"/>
      </w:r>
      <w:r>
        <w:t>1</w:t>
      </w:r>
      <w:r>
        <w:fldChar w:fldCharType="end"/>
      </w:r>
      <w:r>
        <w:fldChar w:fldCharType="end"/>
      </w:r>
    </w:p>
    <w:p w14:paraId="5C089F35">
      <w:pPr>
        <w:pStyle w:val="24"/>
        <w:tabs>
          <w:tab w:val="right" w:leader="dot" w:pos="9071"/>
          <w:tab w:val="clear" w:pos="8777"/>
        </w:tabs>
      </w:pPr>
      <w:r>
        <w:fldChar w:fldCharType="begin"/>
      </w:r>
      <w:r>
        <w:instrText xml:space="preserve"> HYPERLINK \l _Toc28747 </w:instrText>
      </w:r>
      <w:r>
        <w:fldChar w:fldCharType="separate"/>
      </w:r>
      <w:r>
        <w:rPr>
          <w:rFonts w:hint="eastAsia"/>
        </w:rPr>
        <w:t>1.2 研究现状</w:t>
      </w:r>
      <w:r>
        <w:rPr>
          <w:rFonts w:hint="eastAsia"/>
          <w:lang w:val="en-US"/>
        </w:rPr>
        <w:t>分析</w:t>
      </w:r>
      <w:r>
        <w:tab/>
      </w:r>
      <w:r>
        <w:fldChar w:fldCharType="begin"/>
      </w:r>
      <w:r>
        <w:instrText xml:space="preserve"> PAGEREF _Toc28747 \h </w:instrText>
      </w:r>
      <w:r>
        <w:fldChar w:fldCharType="separate"/>
      </w:r>
      <w:r>
        <w:t>2</w:t>
      </w:r>
      <w:r>
        <w:fldChar w:fldCharType="end"/>
      </w:r>
      <w:r>
        <w:fldChar w:fldCharType="end"/>
      </w:r>
    </w:p>
    <w:p w14:paraId="5213F22F">
      <w:pPr>
        <w:pStyle w:val="24"/>
        <w:tabs>
          <w:tab w:val="right" w:leader="dot" w:pos="9071"/>
          <w:tab w:val="clear" w:pos="8777"/>
        </w:tabs>
      </w:pPr>
      <w:r>
        <w:fldChar w:fldCharType="begin"/>
      </w:r>
      <w:r>
        <w:instrText xml:space="preserve"> HYPERLINK \l _Toc19748 </w:instrText>
      </w:r>
      <w:r>
        <w:fldChar w:fldCharType="separate"/>
      </w:r>
      <w:r>
        <w:rPr>
          <w:rFonts w:hint="eastAsia"/>
        </w:rPr>
        <w:t xml:space="preserve">1.3 </w:t>
      </w:r>
      <w:r>
        <w:rPr>
          <w:rFonts w:hint="eastAsia"/>
          <w:lang w:val="en-US" w:eastAsia="zh-CN"/>
        </w:rPr>
        <w:t>本文研究内容</w:t>
      </w:r>
      <w:r>
        <w:tab/>
      </w:r>
      <w:r>
        <w:fldChar w:fldCharType="begin"/>
      </w:r>
      <w:r>
        <w:instrText xml:space="preserve"> PAGEREF _Toc19748 \h </w:instrText>
      </w:r>
      <w:r>
        <w:fldChar w:fldCharType="separate"/>
      </w:r>
      <w:r>
        <w:t>2</w:t>
      </w:r>
      <w:r>
        <w:fldChar w:fldCharType="end"/>
      </w:r>
      <w:r>
        <w:fldChar w:fldCharType="end"/>
      </w:r>
    </w:p>
    <w:p w14:paraId="61EF2BD0">
      <w:pPr>
        <w:pStyle w:val="24"/>
        <w:tabs>
          <w:tab w:val="right" w:leader="dot" w:pos="9071"/>
          <w:tab w:val="clear" w:pos="8777"/>
        </w:tabs>
      </w:pPr>
      <w:r>
        <w:fldChar w:fldCharType="begin"/>
      </w:r>
      <w:r>
        <w:instrText xml:space="preserve"> HYPERLINK \l _Toc5242 </w:instrText>
      </w:r>
      <w:r>
        <w:fldChar w:fldCharType="separate"/>
      </w:r>
      <w:r>
        <w:rPr>
          <w:rFonts w:hint="eastAsia"/>
        </w:rPr>
        <w:t xml:space="preserve">1.4 </w:t>
      </w:r>
      <w:r>
        <w:rPr>
          <w:rFonts w:hint="eastAsia"/>
          <w:lang w:val="en-US" w:eastAsia="zh-CN"/>
        </w:rPr>
        <w:t>本文章节</w:t>
      </w:r>
      <w:r>
        <w:rPr>
          <w:rFonts w:hint="eastAsia"/>
        </w:rPr>
        <w:t>安排</w:t>
      </w:r>
      <w:r>
        <w:tab/>
      </w:r>
      <w:r>
        <w:fldChar w:fldCharType="begin"/>
      </w:r>
      <w:r>
        <w:instrText xml:space="preserve"> PAGEREF _Toc5242 \h </w:instrText>
      </w:r>
      <w:r>
        <w:fldChar w:fldCharType="separate"/>
      </w:r>
      <w:r>
        <w:t>3</w:t>
      </w:r>
      <w:r>
        <w:fldChar w:fldCharType="end"/>
      </w:r>
      <w:r>
        <w:fldChar w:fldCharType="end"/>
      </w:r>
    </w:p>
    <w:p w14:paraId="0D8B0EA2">
      <w:pPr>
        <w:pStyle w:val="20"/>
        <w:tabs>
          <w:tab w:val="right" w:leader="dot" w:pos="9071"/>
          <w:tab w:val="clear" w:pos="8777"/>
        </w:tabs>
      </w:pPr>
      <w:r>
        <w:fldChar w:fldCharType="begin"/>
      </w:r>
      <w:r>
        <w:instrText xml:space="preserve"> HYPERLINK \l _Toc29509 </w:instrText>
      </w:r>
      <w:r>
        <w:fldChar w:fldCharType="separate"/>
      </w:r>
      <w:r>
        <w:rPr>
          <w:rFonts w:hint="eastAsia"/>
          <w:lang w:val="en-US"/>
        </w:rPr>
        <w:t>2 CT重建相关基础</w:t>
      </w:r>
      <w:r>
        <w:tab/>
      </w:r>
      <w:r>
        <w:fldChar w:fldCharType="begin"/>
      </w:r>
      <w:r>
        <w:instrText xml:space="preserve"> PAGEREF _Toc29509 \h </w:instrText>
      </w:r>
      <w:r>
        <w:fldChar w:fldCharType="separate"/>
      </w:r>
      <w:r>
        <w:t>5</w:t>
      </w:r>
      <w:r>
        <w:fldChar w:fldCharType="end"/>
      </w:r>
      <w:r>
        <w:fldChar w:fldCharType="end"/>
      </w:r>
    </w:p>
    <w:p w14:paraId="20DAAB85">
      <w:pPr>
        <w:pStyle w:val="24"/>
        <w:tabs>
          <w:tab w:val="right" w:leader="dot" w:pos="9071"/>
          <w:tab w:val="clear" w:pos="8777"/>
        </w:tabs>
      </w:pPr>
      <w:r>
        <w:fldChar w:fldCharType="begin"/>
      </w:r>
      <w:r>
        <w:instrText xml:space="preserve"> HYPERLINK \l _Toc3372 </w:instrText>
      </w:r>
      <w:r>
        <w:fldChar w:fldCharType="separate"/>
      </w:r>
      <w:r>
        <w:rPr>
          <w:rFonts w:hint="eastAsia"/>
        </w:rPr>
        <w:t>2.1 CT 成像基本原理</w:t>
      </w:r>
      <w:r>
        <w:tab/>
      </w:r>
      <w:r>
        <w:fldChar w:fldCharType="begin"/>
      </w:r>
      <w:r>
        <w:instrText xml:space="preserve"> PAGEREF _Toc3372 \h </w:instrText>
      </w:r>
      <w:r>
        <w:fldChar w:fldCharType="separate"/>
      </w:r>
      <w:r>
        <w:t>5</w:t>
      </w:r>
      <w:r>
        <w:fldChar w:fldCharType="end"/>
      </w:r>
      <w:r>
        <w:fldChar w:fldCharType="end"/>
      </w:r>
    </w:p>
    <w:p w14:paraId="38CA7823">
      <w:pPr>
        <w:pStyle w:val="24"/>
        <w:tabs>
          <w:tab w:val="right" w:leader="dot" w:pos="9071"/>
          <w:tab w:val="clear" w:pos="8777"/>
        </w:tabs>
      </w:pPr>
      <w:r>
        <w:fldChar w:fldCharType="begin"/>
      </w:r>
      <w:r>
        <w:instrText xml:space="preserve"> HYPERLINK \l _Toc24209 </w:instrText>
      </w:r>
      <w:r>
        <w:fldChar w:fldCharType="separate"/>
      </w:r>
      <w:r>
        <w:rPr>
          <w:rFonts w:hint="eastAsia"/>
        </w:rPr>
        <w:t>2.2 CT 投影数据与正弦图原理</w:t>
      </w:r>
      <w:r>
        <w:tab/>
      </w:r>
      <w:r>
        <w:fldChar w:fldCharType="begin"/>
      </w:r>
      <w:r>
        <w:instrText xml:space="preserve"> PAGEREF _Toc24209 \h </w:instrText>
      </w:r>
      <w:r>
        <w:fldChar w:fldCharType="separate"/>
      </w:r>
      <w:r>
        <w:t>5</w:t>
      </w:r>
      <w:r>
        <w:fldChar w:fldCharType="end"/>
      </w:r>
      <w:r>
        <w:fldChar w:fldCharType="end"/>
      </w:r>
    </w:p>
    <w:p w14:paraId="5A449914">
      <w:pPr>
        <w:pStyle w:val="24"/>
        <w:tabs>
          <w:tab w:val="right" w:leader="dot" w:pos="9071"/>
          <w:tab w:val="clear" w:pos="8777"/>
        </w:tabs>
      </w:pPr>
      <w:r>
        <w:fldChar w:fldCharType="begin"/>
      </w:r>
      <w:r>
        <w:instrText xml:space="preserve"> HYPERLINK \l _Toc1863 </w:instrText>
      </w:r>
      <w:r>
        <w:fldChar w:fldCharType="separate"/>
      </w:r>
      <w:r>
        <w:rPr>
          <w:rFonts w:hint="eastAsia"/>
        </w:rPr>
        <w:t>2.3 低剂量 CT 基本概念与临床优势</w:t>
      </w:r>
      <w:r>
        <w:tab/>
      </w:r>
      <w:r>
        <w:fldChar w:fldCharType="begin"/>
      </w:r>
      <w:r>
        <w:instrText xml:space="preserve"> PAGEREF _Toc1863 \h </w:instrText>
      </w:r>
      <w:r>
        <w:fldChar w:fldCharType="separate"/>
      </w:r>
      <w:r>
        <w:t>6</w:t>
      </w:r>
      <w:r>
        <w:fldChar w:fldCharType="end"/>
      </w:r>
      <w:r>
        <w:fldChar w:fldCharType="end"/>
      </w:r>
    </w:p>
    <w:p w14:paraId="149202F3">
      <w:pPr>
        <w:pStyle w:val="24"/>
        <w:tabs>
          <w:tab w:val="right" w:leader="dot" w:pos="9071"/>
          <w:tab w:val="clear" w:pos="8777"/>
        </w:tabs>
      </w:pPr>
      <w:r>
        <w:fldChar w:fldCharType="begin"/>
      </w:r>
      <w:r>
        <w:instrText xml:space="preserve"> HYPERLINK \l _Toc2021 </w:instrText>
      </w:r>
      <w:r>
        <w:fldChar w:fldCharType="separate"/>
      </w:r>
      <w:r>
        <w:rPr>
          <w:rFonts w:hint="eastAsia"/>
        </w:rPr>
        <w:t>2.4 低剂量 CT 投影域噪声生成机制与特性分析</w:t>
      </w:r>
      <w:r>
        <w:tab/>
      </w:r>
      <w:r>
        <w:fldChar w:fldCharType="begin"/>
      </w:r>
      <w:r>
        <w:instrText xml:space="preserve"> PAGEREF _Toc2021 \h </w:instrText>
      </w:r>
      <w:r>
        <w:fldChar w:fldCharType="separate"/>
      </w:r>
      <w:r>
        <w:t>6</w:t>
      </w:r>
      <w:r>
        <w:fldChar w:fldCharType="end"/>
      </w:r>
      <w:r>
        <w:fldChar w:fldCharType="end"/>
      </w:r>
    </w:p>
    <w:p w14:paraId="1008D6FD">
      <w:pPr>
        <w:pStyle w:val="24"/>
        <w:tabs>
          <w:tab w:val="right" w:leader="dot" w:pos="9071"/>
          <w:tab w:val="clear" w:pos="8777"/>
        </w:tabs>
      </w:pPr>
      <w:r>
        <w:fldChar w:fldCharType="begin"/>
      </w:r>
      <w:r>
        <w:instrText xml:space="preserve"> HYPERLINK \l _Toc24955 </w:instrText>
      </w:r>
      <w:r>
        <w:fldChar w:fldCharType="separate"/>
      </w:r>
      <w:r>
        <w:rPr>
          <w:rFonts w:hint="eastAsia"/>
        </w:rPr>
        <w:t>2.5 自监督学习核心方法与适配性分析</w:t>
      </w:r>
      <w:r>
        <w:tab/>
      </w:r>
      <w:r>
        <w:fldChar w:fldCharType="begin"/>
      </w:r>
      <w:r>
        <w:instrText xml:space="preserve"> PAGEREF _Toc24955 \h </w:instrText>
      </w:r>
      <w:r>
        <w:fldChar w:fldCharType="separate"/>
      </w:r>
      <w:r>
        <w:t>8</w:t>
      </w:r>
      <w:r>
        <w:fldChar w:fldCharType="end"/>
      </w:r>
      <w:r>
        <w:fldChar w:fldCharType="end"/>
      </w:r>
    </w:p>
    <w:p w14:paraId="5E3805DC">
      <w:pPr>
        <w:pStyle w:val="24"/>
        <w:tabs>
          <w:tab w:val="right" w:leader="dot" w:pos="9071"/>
          <w:tab w:val="clear" w:pos="8777"/>
        </w:tabs>
      </w:pPr>
      <w:r>
        <w:fldChar w:fldCharType="begin"/>
      </w:r>
      <w:r>
        <w:instrText xml:space="preserve"> HYPERLINK \l _Toc8018 </w:instrText>
      </w:r>
      <w:r>
        <w:fldChar w:fldCharType="separate"/>
      </w:r>
      <w:r>
        <w:rPr>
          <w:rFonts w:hint="eastAsia"/>
        </w:rPr>
        <w:t>2.6 传统低剂量 CT 去噪与重建方法概述</w:t>
      </w:r>
      <w:r>
        <w:tab/>
      </w:r>
      <w:r>
        <w:fldChar w:fldCharType="begin"/>
      </w:r>
      <w:r>
        <w:instrText xml:space="preserve"> PAGEREF _Toc8018 \h </w:instrText>
      </w:r>
      <w:r>
        <w:fldChar w:fldCharType="separate"/>
      </w:r>
      <w:r>
        <w:t>9</w:t>
      </w:r>
      <w:r>
        <w:fldChar w:fldCharType="end"/>
      </w:r>
      <w:r>
        <w:fldChar w:fldCharType="end"/>
      </w:r>
    </w:p>
    <w:p w14:paraId="612F5201">
      <w:pPr>
        <w:pStyle w:val="20"/>
        <w:tabs>
          <w:tab w:val="right" w:leader="dot" w:pos="9071"/>
          <w:tab w:val="clear" w:pos="8777"/>
        </w:tabs>
      </w:pPr>
      <w:r>
        <w:fldChar w:fldCharType="begin"/>
      </w:r>
      <w:r>
        <w:instrText xml:space="preserve"> HYPERLINK \l _Toc12084 </w:instrText>
      </w:r>
      <w:r>
        <w:fldChar w:fldCharType="separate"/>
      </w:r>
      <w:r>
        <w:rPr>
          <w:rFonts w:hint="eastAsia" w:ascii="黑体" w:hAnsi="黑体" w:cs="黑体"/>
          <w:lang w:val="en-US"/>
        </w:rPr>
        <w:t xml:space="preserve">3 </w:t>
      </w:r>
      <w:r>
        <w:rPr>
          <w:rFonts w:hint="eastAsia" w:ascii="黑体" w:hAnsi="黑体" w:cs="黑体"/>
        </w:rPr>
        <w:t>基于自监督学习的投影域去噪模型设计</w:t>
      </w:r>
      <w:r>
        <w:tab/>
      </w:r>
      <w:r>
        <w:fldChar w:fldCharType="begin"/>
      </w:r>
      <w:r>
        <w:instrText xml:space="preserve"> PAGEREF _Toc12084 \h </w:instrText>
      </w:r>
      <w:r>
        <w:fldChar w:fldCharType="separate"/>
      </w:r>
      <w:r>
        <w:t>10</w:t>
      </w:r>
      <w:r>
        <w:fldChar w:fldCharType="end"/>
      </w:r>
      <w:r>
        <w:fldChar w:fldCharType="end"/>
      </w:r>
    </w:p>
    <w:p w14:paraId="0AA38FFD">
      <w:pPr>
        <w:pStyle w:val="24"/>
        <w:tabs>
          <w:tab w:val="right" w:leader="dot" w:pos="9071"/>
          <w:tab w:val="clear" w:pos="8777"/>
        </w:tabs>
      </w:pPr>
      <w:r>
        <w:fldChar w:fldCharType="begin"/>
      </w:r>
      <w:r>
        <w:instrText xml:space="preserve"> HYPERLINK \l _Toc26573 </w:instrText>
      </w:r>
      <w:r>
        <w:fldChar w:fldCharType="separate"/>
      </w:r>
      <w:r>
        <w:rPr>
          <w:rFonts w:hint="eastAsia"/>
        </w:rPr>
        <w:t>3.1 网络设计整体思路与设计原则</w:t>
      </w:r>
      <w:r>
        <w:tab/>
      </w:r>
      <w:r>
        <w:fldChar w:fldCharType="begin"/>
      </w:r>
      <w:r>
        <w:instrText xml:space="preserve"> PAGEREF _Toc26573 \h </w:instrText>
      </w:r>
      <w:r>
        <w:fldChar w:fldCharType="separate"/>
      </w:r>
      <w:r>
        <w:t>10</w:t>
      </w:r>
      <w:r>
        <w:fldChar w:fldCharType="end"/>
      </w:r>
      <w:r>
        <w:fldChar w:fldCharType="end"/>
      </w:r>
    </w:p>
    <w:p w14:paraId="2588B771">
      <w:pPr>
        <w:pStyle w:val="24"/>
        <w:tabs>
          <w:tab w:val="right" w:leader="dot" w:pos="9071"/>
          <w:tab w:val="clear" w:pos="8777"/>
        </w:tabs>
      </w:pPr>
      <w:r>
        <w:fldChar w:fldCharType="begin"/>
      </w:r>
      <w:r>
        <w:instrText xml:space="preserve"> HYPERLINK \l _Toc30714 </w:instrText>
      </w:r>
      <w:r>
        <w:fldChar w:fldCharType="separate"/>
      </w:r>
      <w:r>
        <w:rPr>
          <w:rFonts w:hint="eastAsia"/>
        </w:rPr>
        <w:t>3.2 自监督去噪网络整体架构构建</w:t>
      </w:r>
      <w:r>
        <w:tab/>
      </w:r>
      <w:r>
        <w:fldChar w:fldCharType="begin"/>
      </w:r>
      <w:r>
        <w:instrText xml:space="preserve"> PAGEREF _Toc30714 \h </w:instrText>
      </w:r>
      <w:r>
        <w:fldChar w:fldCharType="separate"/>
      </w:r>
      <w:r>
        <w:t>11</w:t>
      </w:r>
      <w:r>
        <w:fldChar w:fldCharType="end"/>
      </w:r>
      <w:r>
        <w:fldChar w:fldCharType="end"/>
      </w:r>
    </w:p>
    <w:p w14:paraId="05433F24">
      <w:pPr>
        <w:pStyle w:val="24"/>
        <w:tabs>
          <w:tab w:val="right" w:leader="dot" w:pos="9071"/>
          <w:tab w:val="clear" w:pos="8777"/>
        </w:tabs>
      </w:pPr>
      <w:r>
        <w:fldChar w:fldCharType="begin"/>
      </w:r>
      <w:r>
        <w:instrText xml:space="preserve"> HYPERLINK \l _Toc375 </w:instrText>
      </w:r>
      <w:r>
        <w:fldChar w:fldCharType="separate"/>
      </w:r>
      <w:r>
        <w:rPr>
          <w:rFonts w:hint="eastAsia"/>
        </w:rPr>
        <w:t>3.3 骨干网络与特征解耦模块设计</w:t>
      </w:r>
      <w:r>
        <w:tab/>
      </w:r>
      <w:r>
        <w:fldChar w:fldCharType="begin"/>
      </w:r>
      <w:r>
        <w:instrText xml:space="preserve"> PAGEREF _Toc375 \h </w:instrText>
      </w:r>
      <w:r>
        <w:fldChar w:fldCharType="separate"/>
      </w:r>
      <w:r>
        <w:t>12</w:t>
      </w:r>
      <w:r>
        <w:fldChar w:fldCharType="end"/>
      </w:r>
      <w:r>
        <w:fldChar w:fldCharType="end"/>
      </w:r>
    </w:p>
    <w:p w14:paraId="367F93DD">
      <w:pPr>
        <w:pStyle w:val="24"/>
        <w:tabs>
          <w:tab w:val="right" w:leader="dot" w:pos="9071"/>
          <w:tab w:val="clear" w:pos="8777"/>
        </w:tabs>
      </w:pPr>
      <w:r>
        <w:fldChar w:fldCharType="begin"/>
      </w:r>
      <w:r>
        <w:instrText xml:space="preserve"> HYPERLINK \l _Toc16164 </w:instrText>
      </w:r>
      <w:r>
        <w:fldChar w:fldCharType="separate"/>
      </w:r>
      <w:r>
        <w:rPr>
          <w:rFonts w:hint="eastAsia"/>
        </w:rPr>
        <w:t>3.4 投影域专用损失函数设计</w:t>
      </w:r>
      <w:r>
        <w:tab/>
      </w:r>
      <w:r>
        <w:fldChar w:fldCharType="begin"/>
      </w:r>
      <w:r>
        <w:instrText xml:space="preserve"> PAGEREF _Toc16164 \h </w:instrText>
      </w:r>
      <w:r>
        <w:fldChar w:fldCharType="separate"/>
      </w:r>
      <w:r>
        <w:t>13</w:t>
      </w:r>
      <w:r>
        <w:fldChar w:fldCharType="end"/>
      </w:r>
      <w:r>
        <w:fldChar w:fldCharType="end"/>
      </w:r>
    </w:p>
    <w:p w14:paraId="279CFA54">
      <w:pPr>
        <w:pStyle w:val="24"/>
        <w:tabs>
          <w:tab w:val="right" w:leader="dot" w:pos="9071"/>
          <w:tab w:val="clear" w:pos="8777"/>
        </w:tabs>
      </w:pPr>
      <w:r>
        <w:fldChar w:fldCharType="begin"/>
      </w:r>
      <w:r>
        <w:instrText xml:space="preserve"> HYPERLINK \l _Toc7971 </w:instrText>
      </w:r>
      <w:r>
        <w:fldChar w:fldCharType="separate"/>
      </w:r>
      <w:r>
        <w:rPr>
          <w:rFonts w:hint="eastAsia"/>
        </w:rPr>
        <w:t>3.5 自监督预训练与微调策略优化</w:t>
      </w:r>
      <w:r>
        <w:tab/>
      </w:r>
      <w:r>
        <w:fldChar w:fldCharType="begin"/>
      </w:r>
      <w:r>
        <w:instrText xml:space="preserve"> PAGEREF _Toc7971 \h </w:instrText>
      </w:r>
      <w:r>
        <w:fldChar w:fldCharType="separate"/>
      </w:r>
      <w:r>
        <w:t>13</w:t>
      </w:r>
      <w:r>
        <w:fldChar w:fldCharType="end"/>
      </w:r>
      <w:r>
        <w:fldChar w:fldCharType="end"/>
      </w:r>
    </w:p>
    <w:p w14:paraId="0DC9CD60">
      <w:pPr>
        <w:pStyle w:val="20"/>
        <w:tabs>
          <w:tab w:val="right" w:leader="dot" w:pos="9071"/>
          <w:tab w:val="clear" w:pos="8777"/>
        </w:tabs>
      </w:pPr>
      <w:r>
        <w:fldChar w:fldCharType="begin"/>
      </w:r>
      <w:r>
        <w:instrText xml:space="preserve"> HYPERLINK \l _Toc32195 </w:instrText>
      </w:r>
      <w:r>
        <w:fldChar w:fldCharType="separate"/>
      </w:r>
      <w:r>
        <w:rPr>
          <w:rFonts w:hint="eastAsia"/>
          <w:lang w:val="en-US"/>
        </w:rPr>
        <w:t xml:space="preserve">4 </w:t>
      </w:r>
      <w:r>
        <w:rPr>
          <w:rFonts w:hint="eastAsia"/>
        </w:rPr>
        <w:t>高质量CT重建与模型性能评估</w:t>
      </w:r>
      <w:r>
        <w:tab/>
      </w:r>
      <w:r>
        <w:fldChar w:fldCharType="begin"/>
      </w:r>
      <w:r>
        <w:instrText xml:space="preserve"> PAGEREF _Toc32195 \h </w:instrText>
      </w:r>
      <w:r>
        <w:fldChar w:fldCharType="separate"/>
      </w:r>
      <w:r>
        <w:t>14</w:t>
      </w:r>
      <w:r>
        <w:fldChar w:fldCharType="end"/>
      </w:r>
      <w:r>
        <w:fldChar w:fldCharType="end"/>
      </w:r>
    </w:p>
    <w:p w14:paraId="5CEB7EA9">
      <w:pPr>
        <w:pStyle w:val="24"/>
        <w:tabs>
          <w:tab w:val="right" w:leader="dot" w:pos="9071"/>
          <w:tab w:val="clear" w:pos="8777"/>
        </w:tabs>
      </w:pPr>
      <w:r>
        <w:fldChar w:fldCharType="begin"/>
      </w:r>
      <w:r>
        <w:instrText xml:space="preserve"> HYPERLINK \l _Toc18686 </w:instrText>
      </w:r>
      <w:r>
        <w:fldChar w:fldCharType="separate"/>
      </w:r>
      <w:r>
        <w:rPr>
          <w:rFonts w:hint="eastAsia"/>
        </w:rPr>
        <w:t>4.1 CT 主流图像重建算法基础原理</w:t>
      </w:r>
      <w:r>
        <w:tab/>
      </w:r>
      <w:r>
        <w:fldChar w:fldCharType="begin"/>
      </w:r>
      <w:r>
        <w:instrText xml:space="preserve"> PAGEREF _Toc18686 \h </w:instrText>
      </w:r>
      <w:r>
        <w:fldChar w:fldCharType="separate"/>
      </w:r>
      <w:r>
        <w:t>14</w:t>
      </w:r>
      <w:r>
        <w:fldChar w:fldCharType="end"/>
      </w:r>
      <w:r>
        <w:fldChar w:fldCharType="end"/>
      </w:r>
    </w:p>
    <w:p w14:paraId="4F871651">
      <w:pPr>
        <w:pStyle w:val="24"/>
        <w:tabs>
          <w:tab w:val="right" w:leader="dot" w:pos="9071"/>
          <w:tab w:val="clear" w:pos="8777"/>
        </w:tabs>
      </w:pPr>
      <w:r>
        <w:fldChar w:fldCharType="begin"/>
      </w:r>
      <w:r>
        <w:instrText xml:space="preserve"> HYPERLINK \l _Toc18727 </w:instrText>
      </w:r>
      <w:r>
        <w:fldChar w:fldCharType="separate"/>
      </w:r>
      <w:r>
        <w:rPr>
          <w:rFonts w:hint="eastAsia"/>
        </w:rPr>
        <w:t>4.2 基于 ADMM-TV 的高质量迭代重建方法</w:t>
      </w:r>
      <w:r>
        <w:tab/>
      </w:r>
      <w:r>
        <w:fldChar w:fldCharType="begin"/>
      </w:r>
      <w:r>
        <w:instrText xml:space="preserve"> PAGEREF _Toc18727 \h </w:instrText>
      </w:r>
      <w:r>
        <w:fldChar w:fldCharType="separate"/>
      </w:r>
      <w:r>
        <w:t>15</w:t>
      </w:r>
      <w:r>
        <w:fldChar w:fldCharType="end"/>
      </w:r>
      <w:r>
        <w:fldChar w:fldCharType="end"/>
      </w:r>
    </w:p>
    <w:p w14:paraId="0EFDFC85">
      <w:pPr>
        <w:pStyle w:val="24"/>
        <w:tabs>
          <w:tab w:val="right" w:leader="dot" w:pos="9071"/>
          <w:tab w:val="clear" w:pos="8777"/>
        </w:tabs>
      </w:pPr>
      <w:r>
        <w:fldChar w:fldCharType="begin"/>
      </w:r>
      <w:r>
        <w:instrText xml:space="preserve"> HYPERLINK \l _Toc7561 </w:instrText>
      </w:r>
      <w:r>
        <w:fldChar w:fldCharType="separate"/>
      </w:r>
      <w:r>
        <w:rPr>
          <w:rFonts w:hint="eastAsia"/>
        </w:rPr>
        <w:t>4.3 投影域去噪对重建分辨率与对比度的影响分析</w:t>
      </w:r>
      <w:r>
        <w:tab/>
      </w:r>
      <w:r>
        <w:fldChar w:fldCharType="begin"/>
      </w:r>
      <w:r>
        <w:instrText xml:space="preserve"> PAGEREF _Toc7561 \h </w:instrText>
      </w:r>
      <w:r>
        <w:fldChar w:fldCharType="separate"/>
      </w:r>
      <w:r>
        <w:t>17</w:t>
      </w:r>
      <w:r>
        <w:fldChar w:fldCharType="end"/>
      </w:r>
      <w:r>
        <w:fldChar w:fldCharType="end"/>
      </w:r>
    </w:p>
    <w:p w14:paraId="06E85FE2">
      <w:pPr>
        <w:pStyle w:val="24"/>
        <w:tabs>
          <w:tab w:val="right" w:leader="dot" w:pos="9071"/>
          <w:tab w:val="clear" w:pos="8777"/>
        </w:tabs>
      </w:pPr>
      <w:r>
        <w:fldChar w:fldCharType="begin"/>
      </w:r>
      <w:r>
        <w:instrText xml:space="preserve"> HYPERLINK \l _Toc29310 </w:instrText>
      </w:r>
      <w:r>
        <w:fldChar w:fldCharType="separate"/>
      </w:r>
      <w:r>
        <w:rPr>
          <w:rFonts w:hint="eastAsia"/>
        </w:rPr>
        <w:t>4.4 不同重建算法适配性对比与策略选择</w:t>
      </w:r>
      <w:r>
        <w:tab/>
      </w:r>
      <w:r>
        <w:fldChar w:fldCharType="begin"/>
      </w:r>
      <w:r>
        <w:instrText xml:space="preserve"> PAGEREF _Toc29310 \h </w:instrText>
      </w:r>
      <w:r>
        <w:fldChar w:fldCharType="separate"/>
      </w:r>
      <w:r>
        <w:t>17</w:t>
      </w:r>
      <w:r>
        <w:fldChar w:fldCharType="end"/>
      </w:r>
      <w:r>
        <w:fldChar w:fldCharType="end"/>
      </w:r>
    </w:p>
    <w:p w14:paraId="0BD4D20A">
      <w:pPr>
        <w:pStyle w:val="24"/>
        <w:tabs>
          <w:tab w:val="right" w:leader="dot" w:pos="9071"/>
          <w:tab w:val="clear" w:pos="8777"/>
        </w:tabs>
      </w:pPr>
      <w:r>
        <w:fldChar w:fldCharType="begin"/>
      </w:r>
      <w:r>
        <w:instrText xml:space="preserve"> HYPERLINK \l _Toc19263 </w:instrText>
      </w:r>
      <w:r>
        <w:fldChar w:fldCharType="separate"/>
      </w:r>
      <w:r>
        <w:rPr>
          <w:rFonts w:hint="eastAsia"/>
        </w:rPr>
        <w:t>4.5 去噪–重建协同优化框架设计</w:t>
      </w:r>
      <w:r>
        <w:tab/>
      </w:r>
      <w:r>
        <w:fldChar w:fldCharType="begin"/>
      </w:r>
      <w:r>
        <w:instrText xml:space="preserve"> PAGEREF _Toc19263 \h </w:instrText>
      </w:r>
      <w:r>
        <w:fldChar w:fldCharType="separate"/>
      </w:r>
      <w:r>
        <w:t>18</w:t>
      </w:r>
      <w:r>
        <w:fldChar w:fldCharType="end"/>
      </w:r>
      <w:r>
        <w:fldChar w:fldCharType="end"/>
      </w:r>
    </w:p>
    <w:p w14:paraId="0F533610">
      <w:pPr>
        <w:pStyle w:val="24"/>
        <w:tabs>
          <w:tab w:val="right" w:leader="dot" w:pos="9071"/>
          <w:tab w:val="clear" w:pos="8777"/>
        </w:tabs>
      </w:pPr>
      <w:r>
        <w:fldChar w:fldCharType="begin"/>
      </w:r>
      <w:r>
        <w:instrText xml:space="preserve"> HYPERLINK \l _Toc4173 </w:instrText>
      </w:r>
      <w:r>
        <w:fldChar w:fldCharType="separate"/>
      </w:r>
      <w:r>
        <w:rPr>
          <w:rFonts w:hint="eastAsia"/>
        </w:rPr>
        <w:t>4.6 多维度模型性能评估体系</w:t>
      </w:r>
      <w:r>
        <w:tab/>
      </w:r>
      <w:r>
        <w:fldChar w:fldCharType="begin"/>
      </w:r>
      <w:r>
        <w:instrText xml:space="preserve"> PAGEREF _Toc4173 \h </w:instrText>
      </w:r>
      <w:r>
        <w:fldChar w:fldCharType="separate"/>
      </w:r>
      <w:r>
        <w:t>18</w:t>
      </w:r>
      <w:r>
        <w:fldChar w:fldCharType="end"/>
      </w:r>
      <w:r>
        <w:fldChar w:fldCharType="end"/>
      </w:r>
    </w:p>
    <w:p w14:paraId="2A42C3CB">
      <w:pPr>
        <w:pStyle w:val="20"/>
        <w:tabs>
          <w:tab w:val="right" w:leader="dot" w:pos="9071"/>
          <w:tab w:val="clear" w:pos="8777"/>
        </w:tabs>
      </w:pPr>
      <w:r>
        <w:fldChar w:fldCharType="begin"/>
      </w:r>
      <w:r>
        <w:instrText xml:space="preserve"> HYPERLINK \l _Toc4258 </w:instrText>
      </w:r>
      <w:r>
        <w:fldChar w:fldCharType="separate"/>
      </w:r>
      <w:r>
        <w:rPr>
          <w:rFonts w:hint="eastAsia"/>
          <w:lang w:val="en-US"/>
        </w:rPr>
        <w:t>5</w:t>
      </w:r>
      <w:r>
        <w:t>实验</w:t>
      </w:r>
      <w:r>
        <w:rPr>
          <w:rFonts w:hint="eastAsia"/>
          <w:lang w:val="en-US" w:eastAsia="zh-CN"/>
        </w:rPr>
        <w:t>设计</w:t>
      </w:r>
      <w:r>
        <w:tab/>
      </w:r>
      <w:r>
        <w:fldChar w:fldCharType="begin"/>
      </w:r>
      <w:r>
        <w:instrText xml:space="preserve"> PAGEREF _Toc4258 \h </w:instrText>
      </w:r>
      <w:r>
        <w:fldChar w:fldCharType="separate"/>
      </w:r>
      <w:r>
        <w:t>20</w:t>
      </w:r>
      <w:r>
        <w:fldChar w:fldCharType="end"/>
      </w:r>
      <w:r>
        <w:fldChar w:fldCharType="end"/>
      </w:r>
    </w:p>
    <w:p w14:paraId="3F667086">
      <w:pPr>
        <w:pStyle w:val="24"/>
        <w:tabs>
          <w:tab w:val="right" w:leader="dot" w:pos="9071"/>
          <w:tab w:val="clear" w:pos="8777"/>
        </w:tabs>
      </w:pPr>
      <w:r>
        <w:fldChar w:fldCharType="begin"/>
      </w:r>
      <w:r>
        <w:instrText xml:space="preserve"> HYPERLINK \l _Toc10455 </w:instrText>
      </w:r>
      <w:r>
        <w:fldChar w:fldCharType="separate"/>
      </w:r>
      <w:r>
        <w:rPr>
          <w:rFonts w:hint="eastAsia"/>
          <w:lang w:val="en-US"/>
        </w:rPr>
        <w:t>5</w:t>
      </w:r>
      <w:r>
        <w:rPr>
          <w:rFonts w:hint="eastAsia"/>
        </w:rPr>
        <w:t>.1 实验数据集构建</w:t>
      </w:r>
      <w:r>
        <w:tab/>
      </w:r>
      <w:r>
        <w:fldChar w:fldCharType="begin"/>
      </w:r>
      <w:r>
        <w:instrText xml:space="preserve"> PAGEREF _Toc10455 \h </w:instrText>
      </w:r>
      <w:r>
        <w:fldChar w:fldCharType="separate"/>
      </w:r>
      <w:r>
        <w:t>20</w:t>
      </w:r>
      <w:r>
        <w:fldChar w:fldCharType="end"/>
      </w:r>
      <w:r>
        <w:fldChar w:fldCharType="end"/>
      </w:r>
    </w:p>
    <w:p w14:paraId="77C81DE9">
      <w:pPr>
        <w:pStyle w:val="24"/>
        <w:tabs>
          <w:tab w:val="right" w:leader="dot" w:pos="9071"/>
          <w:tab w:val="clear" w:pos="8777"/>
        </w:tabs>
      </w:pPr>
      <w:r>
        <w:fldChar w:fldCharType="begin"/>
      </w:r>
      <w:r>
        <w:instrText xml:space="preserve"> HYPERLINK \l _Toc15752 </w:instrText>
      </w:r>
      <w:r>
        <w:fldChar w:fldCharType="separate"/>
      </w:r>
      <w:r>
        <w:rPr>
          <w:rFonts w:hint="eastAsia"/>
          <w:lang w:val="en-US"/>
        </w:rPr>
        <w:t>5</w:t>
      </w:r>
      <w:r>
        <w:rPr>
          <w:rFonts w:hint="eastAsia"/>
        </w:rPr>
        <w:t>.2 实验软硬件运行环境</w:t>
      </w:r>
      <w:r>
        <w:tab/>
      </w:r>
      <w:r>
        <w:fldChar w:fldCharType="begin"/>
      </w:r>
      <w:r>
        <w:instrText xml:space="preserve"> PAGEREF _Toc15752 \h </w:instrText>
      </w:r>
      <w:r>
        <w:fldChar w:fldCharType="separate"/>
      </w:r>
      <w:r>
        <w:t>20</w:t>
      </w:r>
      <w:r>
        <w:fldChar w:fldCharType="end"/>
      </w:r>
      <w:r>
        <w:fldChar w:fldCharType="end"/>
      </w:r>
    </w:p>
    <w:p w14:paraId="7C6284C8">
      <w:pPr>
        <w:pStyle w:val="12"/>
        <w:tabs>
          <w:tab w:val="right" w:leader="dot" w:pos="9071"/>
          <w:tab w:val="clear" w:pos="8789"/>
        </w:tabs>
      </w:pPr>
      <w:r>
        <w:fldChar w:fldCharType="begin"/>
      </w:r>
      <w:r>
        <w:instrText xml:space="preserve"> HYPERLINK \l _Toc11448 </w:instrText>
      </w:r>
      <w:r>
        <w:fldChar w:fldCharType="separate"/>
      </w:r>
      <w:r>
        <w:rPr>
          <w:rFonts w:hint="eastAsia"/>
          <w:lang w:val="en-US"/>
        </w:rPr>
        <w:t>5</w:t>
      </w:r>
      <w:r>
        <w:rPr>
          <w:rFonts w:hint="eastAsia"/>
        </w:rPr>
        <w:t>.2.1 硬件实验环境</w:t>
      </w:r>
      <w:r>
        <w:tab/>
      </w:r>
      <w:r>
        <w:fldChar w:fldCharType="begin"/>
      </w:r>
      <w:r>
        <w:instrText xml:space="preserve"> PAGEREF _Toc11448 \h </w:instrText>
      </w:r>
      <w:r>
        <w:fldChar w:fldCharType="separate"/>
      </w:r>
      <w:r>
        <w:t>20</w:t>
      </w:r>
      <w:r>
        <w:fldChar w:fldCharType="end"/>
      </w:r>
      <w:r>
        <w:fldChar w:fldCharType="end"/>
      </w:r>
    </w:p>
    <w:p w14:paraId="14D4C97F">
      <w:pPr>
        <w:pStyle w:val="12"/>
        <w:tabs>
          <w:tab w:val="right" w:leader="dot" w:pos="9071"/>
          <w:tab w:val="clear" w:pos="8789"/>
        </w:tabs>
      </w:pPr>
      <w:r>
        <w:fldChar w:fldCharType="begin"/>
      </w:r>
      <w:r>
        <w:instrText xml:space="preserve"> HYPERLINK \l _Toc18386 </w:instrText>
      </w:r>
      <w:r>
        <w:fldChar w:fldCharType="separate"/>
      </w:r>
      <w:r>
        <w:rPr>
          <w:rFonts w:hint="eastAsia"/>
          <w:lang w:val="en-US"/>
        </w:rPr>
        <w:t>5</w:t>
      </w:r>
      <w:r>
        <w:rPr>
          <w:rFonts w:hint="eastAsia"/>
        </w:rPr>
        <w:t>.2.2 软件实验环境</w:t>
      </w:r>
      <w:r>
        <w:tab/>
      </w:r>
      <w:r>
        <w:fldChar w:fldCharType="begin"/>
      </w:r>
      <w:r>
        <w:instrText xml:space="preserve"> PAGEREF _Toc18386 \h </w:instrText>
      </w:r>
      <w:r>
        <w:fldChar w:fldCharType="separate"/>
      </w:r>
      <w:r>
        <w:t>21</w:t>
      </w:r>
      <w:r>
        <w:fldChar w:fldCharType="end"/>
      </w:r>
      <w:r>
        <w:fldChar w:fldCharType="end"/>
      </w:r>
    </w:p>
    <w:p w14:paraId="33A35C64">
      <w:pPr>
        <w:pStyle w:val="24"/>
        <w:tabs>
          <w:tab w:val="right" w:leader="dot" w:pos="9071"/>
          <w:tab w:val="clear" w:pos="8777"/>
        </w:tabs>
      </w:pPr>
      <w:r>
        <w:fldChar w:fldCharType="begin"/>
      </w:r>
      <w:r>
        <w:instrText xml:space="preserve"> HYPERLINK \l _Toc11056 </w:instrText>
      </w:r>
      <w:r>
        <w:fldChar w:fldCharType="separate"/>
      </w:r>
      <w:r>
        <w:rPr>
          <w:rFonts w:hint="eastAsia"/>
          <w:lang w:val="en-US"/>
        </w:rPr>
        <w:t>5</w:t>
      </w:r>
      <w:r>
        <w:rPr>
          <w:rFonts w:hint="eastAsia"/>
        </w:rPr>
        <w:t>.3 模型训练参数设置</w:t>
      </w:r>
      <w:r>
        <w:tab/>
      </w:r>
      <w:r>
        <w:fldChar w:fldCharType="begin"/>
      </w:r>
      <w:r>
        <w:instrText xml:space="preserve"> PAGEREF _Toc11056 \h </w:instrText>
      </w:r>
      <w:r>
        <w:fldChar w:fldCharType="separate"/>
      </w:r>
      <w:r>
        <w:t>21</w:t>
      </w:r>
      <w:r>
        <w:fldChar w:fldCharType="end"/>
      </w:r>
      <w:r>
        <w:fldChar w:fldCharType="end"/>
      </w:r>
    </w:p>
    <w:p w14:paraId="132CDE9C">
      <w:pPr>
        <w:pStyle w:val="24"/>
        <w:tabs>
          <w:tab w:val="right" w:leader="dot" w:pos="9071"/>
          <w:tab w:val="clear" w:pos="8777"/>
        </w:tabs>
      </w:pPr>
      <w:r>
        <w:fldChar w:fldCharType="begin"/>
      </w:r>
      <w:r>
        <w:instrText xml:space="preserve"> HYPERLINK \l _Toc22276 </w:instrText>
      </w:r>
      <w:r>
        <w:fldChar w:fldCharType="separate"/>
      </w:r>
      <w:r>
        <w:rPr>
          <w:rFonts w:hint="eastAsia"/>
          <w:lang w:val="en-US"/>
        </w:rPr>
        <w:t>5.4</w:t>
      </w:r>
      <w:r>
        <w:t>模型训练与实验流程</w:t>
      </w:r>
      <w:r>
        <w:tab/>
      </w:r>
      <w:r>
        <w:fldChar w:fldCharType="begin"/>
      </w:r>
      <w:r>
        <w:instrText xml:space="preserve"> PAGEREF _Toc22276 \h </w:instrText>
      </w:r>
      <w:r>
        <w:fldChar w:fldCharType="separate"/>
      </w:r>
      <w:r>
        <w:t>22</w:t>
      </w:r>
      <w:r>
        <w:fldChar w:fldCharType="end"/>
      </w:r>
      <w:r>
        <w:fldChar w:fldCharType="end"/>
      </w:r>
    </w:p>
    <w:p w14:paraId="711A4966">
      <w:pPr>
        <w:pStyle w:val="24"/>
        <w:tabs>
          <w:tab w:val="right" w:leader="dot" w:pos="9071"/>
          <w:tab w:val="clear" w:pos="8777"/>
        </w:tabs>
      </w:pPr>
      <w:r>
        <w:fldChar w:fldCharType="begin"/>
      </w:r>
      <w:r>
        <w:instrText xml:space="preserve"> HYPERLINK \l _Toc13813 </w:instrText>
      </w:r>
      <w:r>
        <w:fldChar w:fldCharType="separate"/>
      </w:r>
      <w:r>
        <w:rPr>
          <w:rFonts w:hint="eastAsia"/>
          <w:lang w:val="en-US"/>
        </w:rPr>
        <w:t>5</w:t>
      </w:r>
      <w:r>
        <w:rPr>
          <w:rFonts w:hint="eastAsia"/>
        </w:rPr>
        <w:t>.</w:t>
      </w:r>
      <w:r>
        <w:rPr>
          <w:rFonts w:hint="eastAsia"/>
          <w:lang w:val="en-US"/>
        </w:rPr>
        <w:t>5</w:t>
      </w:r>
      <w:r>
        <w:rPr>
          <w:rFonts w:hint="eastAsia"/>
        </w:rPr>
        <w:t xml:space="preserve"> 实验综合评价指标体系</w:t>
      </w:r>
      <w:r>
        <w:tab/>
      </w:r>
      <w:r>
        <w:fldChar w:fldCharType="begin"/>
      </w:r>
      <w:r>
        <w:instrText xml:space="preserve"> PAGEREF _Toc13813 \h </w:instrText>
      </w:r>
      <w:r>
        <w:fldChar w:fldCharType="separate"/>
      </w:r>
      <w:r>
        <w:t>25</w:t>
      </w:r>
      <w:r>
        <w:fldChar w:fldCharType="end"/>
      </w:r>
      <w:r>
        <w:fldChar w:fldCharType="end"/>
      </w:r>
    </w:p>
    <w:p w14:paraId="497D0007">
      <w:pPr>
        <w:pStyle w:val="20"/>
        <w:tabs>
          <w:tab w:val="right" w:leader="dot" w:pos="9071"/>
          <w:tab w:val="clear" w:pos="8777"/>
        </w:tabs>
      </w:pPr>
      <w:r>
        <w:fldChar w:fldCharType="begin"/>
      </w:r>
      <w:r>
        <w:instrText xml:space="preserve"> HYPERLINK \l _Toc22674 </w:instrText>
      </w:r>
      <w:r>
        <w:fldChar w:fldCharType="separate"/>
      </w:r>
      <w:r>
        <w:rPr>
          <w:rFonts w:hint="eastAsia"/>
          <w:lang w:val="en-US"/>
        </w:rPr>
        <w:t>6</w:t>
      </w:r>
      <w:r>
        <w:rPr>
          <w:rFonts w:hint="eastAsia"/>
          <w:lang w:val="en-US" w:eastAsia="zh-CN"/>
        </w:rPr>
        <w:t>实验结果分析</w:t>
      </w:r>
      <w:r>
        <w:tab/>
      </w:r>
      <w:r>
        <w:fldChar w:fldCharType="begin"/>
      </w:r>
      <w:r>
        <w:instrText xml:space="preserve"> PAGEREF _Toc22674 \h </w:instrText>
      </w:r>
      <w:r>
        <w:fldChar w:fldCharType="separate"/>
      </w:r>
      <w:r>
        <w:t>25</w:t>
      </w:r>
      <w:r>
        <w:fldChar w:fldCharType="end"/>
      </w:r>
      <w:r>
        <w:fldChar w:fldCharType="end"/>
      </w:r>
    </w:p>
    <w:p w14:paraId="5D769A85">
      <w:pPr>
        <w:pStyle w:val="24"/>
        <w:tabs>
          <w:tab w:val="right" w:leader="dot" w:pos="9071"/>
          <w:tab w:val="clear" w:pos="8777"/>
        </w:tabs>
      </w:pPr>
      <w:r>
        <w:fldChar w:fldCharType="begin"/>
      </w:r>
      <w:r>
        <w:instrText xml:space="preserve"> HYPERLINK \l _Toc18913 </w:instrText>
      </w:r>
      <w:r>
        <w:fldChar w:fldCharType="separate"/>
      </w:r>
      <w:r>
        <w:rPr>
          <w:rFonts w:hint="eastAsia"/>
          <w:lang w:val="en-US"/>
        </w:rPr>
        <w:t>6</w:t>
      </w:r>
      <w:r>
        <w:rPr>
          <w:rFonts w:hint="eastAsia"/>
        </w:rPr>
        <w:t>.1 实验对比方案设计</w:t>
      </w:r>
      <w:r>
        <w:tab/>
      </w:r>
      <w:r>
        <w:fldChar w:fldCharType="begin"/>
      </w:r>
      <w:r>
        <w:instrText xml:space="preserve"> PAGEREF _Toc18913 \h </w:instrText>
      </w:r>
      <w:r>
        <w:fldChar w:fldCharType="separate"/>
      </w:r>
      <w:r>
        <w:t>25</w:t>
      </w:r>
      <w:r>
        <w:fldChar w:fldCharType="end"/>
      </w:r>
      <w:r>
        <w:fldChar w:fldCharType="end"/>
      </w:r>
    </w:p>
    <w:p w14:paraId="1C92487B">
      <w:pPr>
        <w:pStyle w:val="24"/>
        <w:tabs>
          <w:tab w:val="right" w:leader="dot" w:pos="9071"/>
          <w:tab w:val="clear" w:pos="8777"/>
        </w:tabs>
      </w:pPr>
      <w:r>
        <w:fldChar w:fldCharType="begin"/>
      </w:r>
      <w:r>
        <w:instrText xml:space="preserve"> HYPERLINK \l _Toc26509 </w:instrText>
      </w:r>
      <w:r>
        <w:fldChar w:fldCharType="separate"/>
      </w:r>
      <w:r>
        <w:rPr>
          <w:rFonts w:hint="eastAsia"/>
          <w:lang w:val="en-US"/>
        </w:rPr>
        <w:t>6.2仿真体模低剂量 CT 重建结果分析</w:t>
      </w:r>
      <w:r>
        <w:tab/>
      </w:r>
      <w:r>
        <w:fldChar w:fldCharType="begin"/>
      </w:r>
      <w:r>
        <w:instrText xml:space="preserve"> PAGEREF _Toc26509 \h </w:instrText>
      </w:r>
      <w:r>
        <w:fldChar w:fldCharType="separate"/>
      </w:r>
      <w:r>
        <w:t>26</w:t>
      </w:r>
      <w:r>
        <w:fldChar w:fldCharType="end"/>
      </w:r>
      <w:r>
        <w:fldChar w:fldCharType="end"/>
      </w:r>
    </w:p>
    <w:p w14:paraId="39157CE2">
      <w:pPr>
        <w:pStyle w:val="24"/>
        <w:tabs>
          <w:tab w:val="right" w:leader="dot" w:pos="9071"/>
          <w:tab w:val="clear" w:pos="8777"/>
        </w:tabs>
      </w:pPr>
      <w:r>
        <w:fldChar w:fldCharType="begin"/>
      </w:r>
      <w:r>
        <w:instrText xml:space="preserve"> HYPERLINK \l _Toc24629 </w:instrText>
      </w:r>
      <w:r>
        <w:fldChar w:fldCharType="separate"/>
      </w:r>
      <w:r>
        <w:rPr>
          <w:rFonts w:hint="eastAsia"/>
          <w:lang w:val="en-US"/>
        </w:rPr>
        <w:t>6</w:t>
      </w:r>
      <w:r>
        <w:rPr>
          <w:rFonts w:hint="eastAsia"/>
        </w:rPr>
        <w:t>.</w:t>
      </w:r>
      <w:r>
        <w:rPr>
          <w:rFonts w:hint="eastAsia"/>
          <w:lang w:val="en-US"/>
        </w:rPr>
        <w:t>3</w:t>
      </w:r>
      <w:r>
        <w:rPr>
          <w:rFonts w:hint="eastAsia"/>
        </w:rPr>
        <w:t xml:space="preserve"> 投影域正弦图去噪结果分析</w:t>
      </w:r>
      <w:r>
        <w:tab/>
      </w:r>
      <w:r>
        <w:fldChar w:fldCharType="begin"/>
      </w:r>
      <w:r>
        <w:instrText xml:space="preserve"> PAGEREF _Toc24629 \h </w:instrText>
      </w:r>
      <w:r>
        <w:fldChar w:fldCharType="separate"/>
      </w:r>
      <w:r>
        <w:t>27</w:t>
      </w:r>
      <w:r>
        <w:fldChar w:fldCharType="end"/>
      </w:r>
      <w:r>
        <w:fldChar w:fldCharType="end"/>
      </w:r>
    </w:p>
    <w:p w14:paraId="7FE55485">
      <w:pPr>
        <w:pStyle w:val="24"/>
        <w:tabs>
          <w:tab w:val="right" w:leader="dot" w:pos="9071"/>
          <w:tab w:val="clear" w:pos="8777"/>
        </w:tabs>
      </w:pPr>
      <w:r>
        <w:fldChar w:fldCharType="begin"/>
      </w:r>
      <w:r>
        <w:instrText xml:space="preserve"> HYPERLINK \l _Toc19946 </w:instrText>
      </w:r>
      <w:r>
        <w:fldChar w:fldCharType="separate"/>
      </w:r>
      <w:r>
        <w:rPr>
          <w:rFonts w:hint="eastAsia"/>
          <w:lang w:val="en-US"/>
        </w:rPr>
        <w:t>6</w:t>
      </w:r>
      <w:r>
        <w:rPr>
          <w:rFonts w:hint="eastAsia"/>
        </w:rPr>
        <w:t>.</w:t>
      </w:r>
      <w:r>
        <w:rPr>
          <w:rFonts w:hint="eastAsia"/>
          <w:lang w:val="en-US"/>
        </w:rPr>
        <w:t>4</w:t>
      </w:r>
      <w:r>
        <w:rPr>
          <w:rFonts w:hint="eastAsia"/>
        </w:rPr>
        <w:t>CT 图像域重建结果对比分析</w:t>
      </w:r>
      <w:r>
        <w:tab/>
      </w:r>
      <w:r>
        <w:fldChar w:fldCharType="begin"/>
      </w:r>
      <w:r>
        <w:instrText xml:space="preserve"> PAGEREF _Toc19946 \h </w:instrText>
      </w:r>
      <w:r>
        <w:fldChar w:fldCharType="separate"/>
      </w:r>
      <w:r>
        <w:t>28</w:t>
      </w:r>
      <w:r>
        <w:fldChar w:fldCharType="end"/>
      </w:r>
      <w:r>
        <w:fldChar w:fldCharType="end"/>
      </w:r>
    </w:p>
    <w:p w14:paraId="2D06B7CD">
      <w:pPr>
        <w:pStyle w:val="24"/>
        <w:tabs>
          <w:tab w:val="right" w:leader="dot" w:pos="9071"/>
          <w:tab w:val="clear" w:pos="8777"/>
        </w:tabs>
      </w:pPr>
      <w:r>
        <w:fldChar w:fldCharType="begin"/>
      </w:r>
      <w:r>
        <w:instrText xml:space="preserve"> HYPERLINK \l _Toc22449 </w:instrText>
      </w:r>
      <w:r>
        <w:fldChar w:fldCharType="separate"/>
      </w:r>
      <w:r>
        <w:rPr>
          <w:rFonts w:hint="eastAsia"/>
          <w:lang w:val="en-US"/>
        </w:rPr>
        <w:t>6</w:t>
      </w:r>
      <w:r>
        <w:rPr>
          <w:rFonts w:hint="eastAsia"/>
        </w:rPr>
        <w:t>.</w:t>
      </w:r>
      <w:r>
        <w:rPr>
          <w:rFonts w:hint="eastAsia"/>
          <w:lang w:val="en-US"/>
        </w:rPr>
        <w:t>5</w:t>
      </w:r>
      <w:r>
        <w:rPr>
          <w:rFonts w:hint="eastAsia"/>
        </w:rPr>
        <w:t>网络结构消融实验分析</w:t>
      </w:r>
      <w:r>
        <w:tab/>
      </w:r>
      <w:r>
        <w:fldChar w:fldCharType="begin"/>
      </w:r>
      <w:r>
        <w:instrText xml:space="preserve"> PAGEREF _Toc22449 \h </w:instrText>
      </w:r>
      <w:r>
        <w:fldChar w:fldCharType="separate"/>
      </w:r>
      <w:r>
        <w:t>30</w:t>
      </w:r>
      <w:r>
        <w:fldChar w:fldCharType="end"/>
      </w:r>
      <w:r>
        <w:fldChar w:fldCharType="end"/>
      </w:r>
    </w:p>
    <w:p w14:paraId="509794FC">
      <w:pPr>
        <w:pStyle w:val="24"/>
        <w:tabs>
          <w:tab w:val="right" w:leader="dot" w:pos="9071"/>
          <w:tab w:val="clear" w:pos="8777"/>
        </w:tabs>
      </w:pPr>
      <w:r>
        <w:fldChar w:fldCharType="begin"/>
      </w:r>
      <w:r>
        <w:instrText xml:space="preserve"> HYPERLINK \l _Toc29654 </w:instrText>
      </w:r>
      <w:r>
        <w:fldChar w:fldCharType="separate"/>
      </w:r>
      <w:r>
        <w:rPr>
          <w:rFonts w:hint="eastAsia"/>
          <w:lang w:val="en-US"/>
        </w:rPr>
        <w:t>6</w:t>
      </w:r>
      <w:r>
        <w:rPr>
          <w:rFonts w:hint="eastAsia"/>
        </w:rPr>
        <w:t>.</w:t>
      </w:r>
      <w:r>
        <w:rPr>
          <w:rFonts w:hint="eastAsia"/>
          <w:lang w:val="en-US"/>
        </w:rPr>
        <w:t>6</w:t>
      </w:r>
      <w:r>
        <w:rPr>
          <w:rFonts w:hint="eastAsia"/>
        </w:rPr>
        <w:t xml:space="preserve"> 实验总结</w:t>
      </w:r>
      <w:r>
        <w:tab/>
      </w:r>
      <w:r>
        <w:fldChar w:fldCharType="begin"/>
      </w:r>
      <w:r>
        <w:instrText xml:space="preserve"> PAGEREF _Toc29654 \h </w:instrText>
      </w:r>
      <w:r>
        <w:fldChar w:fldCharType="separate"/>
      </w:r>
      <w:r>
        <w:t>30</w:t>
      </w:r>
      <w:r>
        <w:fldChar w:fldCharType="end"/>
      </w:r>
      <w:r>
        <w:fldChar w:fldCharType="end"/>
      </w:r>
    </w:p>
    <w:p w14:paraId="44525AB4">
      <w:pPr>
        <w:pStyle w:val="20"/>
        <w:tabs>
          <w:tab w:val="right" w:leader="dot" w:pos="9071"/>
          <w:tab w:val="clear" w:pos="8777"/>
        </w:tabs>
      </w:pPr>
      <w:r>
        <w:fldChar w:fldCharType="begin"/>
      </w:r>
      <w:r>
        <w:instrText xml:space="preserve"> HYPERLINK \l _Toc7269 </w:instrText>
      </w:r>
      <w:r>
        <w:fldChar w:fldCharType="separate"/>
      </w:r>
      <w:r>
        <w:rPr>
          <w:rFonts w:hint="eastAsia"/>
          <w:lang w:val="en-US"/>
        </w:rPr>
        <w:t>7</w:t>
      </w:r>
      <w:r>
        <w:rPr>
          <w:rFonts w:hint="eastAsia"/>
        </w:rPr>
        <w:t>结论与展望</w:t>
      </w:r>
      <w:r>
        <w:tab/>
      </w:r>
      <w:r>
        <w:fldChar w:fldCharType="begin"/>
      </w:r>
      <w:r>
        <w:instrText xml:space="preserve"> PAGEREF _Toc7269 \h </w:instrText>
      </w:r>
      <w:r>
        <w:fldChar w:fldCharType="separate"/>
      </w:r>
      <w:r>
        <w:t>31</w:t>
      </w:r>
      <w:r>
        <w:fldChar w:fldCharType="end"/>
      </w:r>
      <w:r>
        <w:fldChar w:fldCharType="end"/>
      </w:r>
    </w:p>
    <w:p w14:paraId="3661F7D2">
      <w:pPr>
        <w:pStyle w:val="24"/>
        <w:tabs>
          <w:tab w:val="right" w:leader="dot" w:pos="9071"/>
          <w:tab w:val="clear" w:pos="8777"/>
        </w:tabs>
      </w:pPr>
      <w:r>
        <w:fldChar w:fldCharType="begin"/>
      </w:r>
      <w:r>
        <w:instrText xml:space="preserve"> HYPERLINK \l _Toc28530 </w:instrText>
      </w:r>
      <w:r>
        <w:fldChar w:fldCharType="separate"/>
      </w:r>
      <w:r>
        <w:rPr>
          <w:rFonts w:hint="eastAsia"/>
          <w:lang w:val="en-US"/>
        </w:rPr>
        <w:t>7</w:t>
      </w:r>
      <w:r>
        <w:rPr>
          <w:rFonts w:hint="eastAsia"/>
        </w:rPr>
        <w:t>.1 研究结论</w:t>
      </w:r>
      <w:r>
        <w:tab/>
      </w:r>
      <w:r>
        <w:fldChar w:fldCharType="begin"/>
      </w:r>
      <w:r>
        <w:instrText xml:space="preserve"> PAGEREF _Toc28530 \h </w:instrText>
      </w:r>
      <w:r>
        <w:fldChar w:fldCharType="separate"/>
      </w:r>
      <w:r>
        <w:t>31</w:t>
      </w:r>
      <w:r>
        <w:fldChar w:fldCharType="end"/>
      </w:r>
      <w:r>
        <w:fldChar w:fldCharType="end"/>
      </w:r>
    </w:p>
    <w:p w14:paraId="5518BD3C">
      <w:pPr>
        <w:pStyle w:val="24"/>
        <w:tabs>
          <w:tab w:val="right" w:leader="dot" w:pos="9071"/>
          <w:tab w:val="clear" w:pos="8777"/>
        </w:tabs>
      </w:pPr>
      <w:r>
        <w:fldChar w:fldCharType="begin"/>
      </w:r>
      <w:r>
        <w:instrText xml:space="preserve"> HYPERLINK \l _Toc1297 </w:instrText>
      </w:r>
      <w:r>
        <w:fldChar w:fldCharType="separate"/>
      </w:r>
      <w:r>
        <w:rPr>
          <w:rFonts w:hint="eastAsia"/>
          <w:lang w:val="en-US"/>
        </w:rPr>
        <w:t>7</w:t>
      </w:r>
      <w:r>
        <w:rPr>
          <w:rFonts w:hint="eastAsia"/>
        </w:rPr>
        <w:t>.2 本文主要创新点</w:t>
      </w:r>
      <w:r>
        <w:tab/>
      </w:r>
      <w:r>
        <w:fldChar w:fldCharType="begin"/>
      </w:r>
      <w:r>
        <w:instrText xml:space="preserve"> PAGEREF _Toc1297 \h </w:instrText>
      </w:r>
      <w:r>
        <w:fldChar w:fldCharType="separate"/>
      </w:r>
      <w:r>
        <w:t>32</w:t>
      </w:r>
      <w:r>
        <w:fldChar w:fldCharType="end"/>
      </w:r>
      <w:r>
        <w:fldChar w:fldCharType="end"/>
      </w:r>
    </w:p>
    <w:p w14:paraId="06CDF9AC">
      <w:pPr>
        <w:pStyle w:val="24"/>
        <w:tabs>
          <w:tab w:val="right" w:leader="dot" w:pos="9071"/>
          <w:tab w:val="clear" w:pos="8777"/>
        </w:tabs>
      </w:pPr>
      <w:r>
        <w:fldChar w:fldCharType="begin"/>
      </w:r>
      <w:r>
        <w:instrText xml:space="preserve"> HYPERLINK \l _Toc30991 </w:instrText>
      </w:r>
      <w:r>
        <w:fldChar w:fldCharType="separate"/>
      </w:r>
      <w:r>
        <w:rPr>
          <w:rFonts w:hint="eastAsia"/>
          <w:lang w:val="en-US"/>
        </w:rPr>
        <w:t>7</w:t>
      </w:r>
      <w:r>
        <w:rPr>
          <w:rFonts w:hint="eastAsia"/>
        </w:rPr>
        <w:t>.3 研究存在的不足</w:t>
      </w:r>
      <w:r>
        <w:tab/>
      </w:r>
      <w:r>
        <w:fldChar w:fldCharType="begin"/>
      </w:r>
      <w:r>
        <w:instrText xml:space="preserve"> PAGEREF _Toc30991 \h </w:instrText>
      </w:r>
      <w:r>
        <w:fldChar w:fldCharType="separate"/>
      </w:r>
      <w:r>
        <w:t>33</w:t>
      </w:r>
      <w:r>
        <w:fldChar w:fldCharType="end"/>
      </w:r>
      <w:r>
        <w:fldChar w:fldCharType="end"/>
      </w:r>
    </w:p>
    <w:p w14:paraId="641BFDB2">
      <w:pPr>
        <w:pStyle w:val="24"/>
        <w:tabs>
          <w:tab w:val="right" w:leader="dot" w:pos="9071"/>
          <w:tab w:val="clear" w:pos="8777"/>
        </w:tabs>
      </w:pPr>
      <w:r>
        <w:fldChar w:fldCharType="begin"/>
      </w:r>
      <w:r>
        <w:instrText xml:space="preserve"> HYPERLINK \l _Toc6896 </w:instrText>
      </w:r>
      <w:r>
        <w:fldChar w:fldCharType="separate"/>
      </w:r>
      <w:r>
        <w:rPr>
          <w:rFonts w:hint="eastAsia"/>
          <w:lang w:val="en-US"/>
        </w:rPr>
        <w:t>7</w:t>
      </w:r>
      <w:r>
        <w:rPr>
          <w:rFonts w:hint="eastAsia"/>
        </w:rPr>
        <w:t>.4 未来研究展望</w:t>
      </w:r>
      <w:r>
        <w:tab/>
      </w:r>
      <w:r>
        <w:fldChar w:fldCharType="begin"/>
      </w:r>
      <w:r>
        <w:instrText xml:space="preserve"> PAGEREF _Toc6896 \h </w:instrText>
      </w:r>
      <w:r>
        <w:fldChar w:fldCharType="separate"/>
      </w:r>
      <w:r>
        <w:t>33</w:t>
      </w:r>
      <w:r>
        <w:fldChar w:fldCharType="end"/>
      </w:r>
      <w:r>
        <w:fldChar w:fldCharType="end"/>
      </w:r>
    </w:p>
    <w:p w14:paraId="17623DDA">
      <w:pPr>
        <w:pStyle w:val="20"/>
        <w:tabs>
          <w:tab w:val="right" w:leader="dot" w:pos="9071"/>
          <w:tab w:val="clear" w:pos="8777"/>
        </w:tabs>
      </w:pPr>
      <w:r>
        <w:fldChar w:fldCharType="begin"/>
      </w:r>
      <w:r>
        <w:instrText xml:space="preserve"> HYPERLINK \l _Toc9837 </w:instrText>
      </w:r>
      <w:r>
        <w:fldChar w:fldCharType="separate"/>
      </w:r>
      <w:r>
        <w:rPr>
          <w:rFonts w:hint="eastAsia" w:ascii="Times New Roman" w:hAnsi="Times New Roman" w:eastAsia="黑体"/>
          <w:kern w:val="0"/>
          <w:szCs w:val="32"/>
        </w:rPr>
        <w:t>结束语</w:t>
      </w:r>
      <w:r>
        <w:tab/>
      </w:r>
      <w:r>
        <w:fldChar w:fldCharType="begin"/>
      </w:r>
      <w:r>
        <w:instrText xml:space="preserve"> PAGEREF _Toc9837 \h </w:instrText>
      </w:r>
      <w:r>
        <w:fldChar w:fldCharType="separate"/>
      </w:r>
      <w:r>
        <w:t>35</w:t>
      </w:r>
      <w:r>
        <w:fldChar w:fldCharType="end"/>
      </w:r>
      <w:r>
        <w:fldChar w:fldCharType="end"/>
      </w:r>
    </w:p>
    <w:p w14:paraId="1D4E5EEA">
      <w:pPr>
        <w:pStyle w:val="20"/>
        <w:tabs>
          <w:tab w:val="right" w:leader="dot" w:pos="9071"/>
          <w:tab w:val="clear" w:pos="8777"/>
        </w:tabs>
      </w:pPr>
      <w:r>
        <w:fldChar w:fldCharType="begin"/>
      </w:r>
      <w:r>
        <w:instrText xml:space="preserve"> HYPERLINK \l _Toc12425 </w:instrText>
      </w:r>
      <w:r>
        <w:fldChar w:fldCharType="separate"/>
      </w:r>
      <w:r>
        <w:rPr>
          <w:rFonts w:hint="eastAsia" w:ascii="Times New Roman" w:hAnsi="Times New Roman" w:eastAsia="黑体"/>
          <w:kern w:val="0"/>
          <w:szCs w:val="32"/>
        </w:rPr>
        <w:t>致  谢</w:t>
      </w:r>
      <w:r>
        <w:tab/>
      </w:r>
      <w:r>
        <w:fldChar w:fldCharType="begin"/>
      </w:r>
      <w:r>
        <w:instrText xml:space="preserve"> PAGEREF _Toc12425 \h </w:instrText>
      </w:r>
      <w:r>
        <w:fldChar w:fldCharType="separate"/>
      </w:r>
      <w:r>
        <w:t>36</w:t>
      </w:r>
      <w:r>
        <w:fldChar w:fldCharType="end"/>
      </w:r>
      <w:r>
        <w:fldChar w:fldCharType="end"/>
      </w:r>
    </w:p>
    <w:p w14:paraId="6C9D963C">
      <w:pPr>
        <w:pStyle w:val="20"/>
        <w:tabs>
          <w:tab w:val="right" w:leader="dot" w:pos="9071"/>
          <w:tab w:val="clear" w:pos="8777"/>
        </w:tabs>
      </w:pPr>
      <w:r>
        <w:fldChar w:fldCharType="begin"/>
      </w:r>
      <w:r>
        <w:instrText xml:space="preserve"> HYPERLINK \l _Toc19628 </w:instrText>
      </w:r>
      <w:r>
        <w:fldChar w:fldCharType="separate"/>
      </w:r>
      <w:r>
        <w:rPr>
          <w:rFonts w:hint="eastAsia"/>
        </w:rPr>
        <w:t>参考文献</w:t>
      </w:r>
      <w:r>
        <w:tab/>
      </w:r>
      <w:r>
        <w:fldChar w:fldCharType="begin"/>
      </w:r>
      <w:r>
        <w:instrText xml:space="preserve"> PAGEREF _Toc19628 \h </w:instrText>
      </w:r>
      <w:r>
        <w:fldChar w:fldCharType="separate"/>
      </w:r>
      <w:r>
        <w:t>37</w:t>
      </w:r>
      <w:r>
        <w:fldChar w:fldCharType="end"/>
      </w:r>
      <w:r>
        <w:fldChar w:fldCharType="end"/>
      </w:r>
    </w:p>
    <w:p w14:paraId="62163AA0">
      <w:r>
        <w:fldChar w:fldCharType="end"/>
      </w:r>
    </w:p>
    <w:p w14:paraId="09D3F8B3">
      <w:pPr>
        <w:sectPr>
          <w:headerReference r:id="rId6" w:type="default"/>
          <w:footerReference r:id="rId7" w:type="default"/>
          <w:pgSz w:w="11906" w:h="16838"/>
          <w:pgMar w:top="1418" w:right="1134" w:bottom="1418" w:left="1701" w:header="680" w:footer="992" w:gutter="0"/>
          <w:pgBorders>
            <w:top w:val="none" w:sz="0" w:space="0"/>
            <w:left w:val="none" w:sz="0" w:space="0"/>
            <w:bottom w:val="none" w:sz="0" w:space="0"/>
            <w:right w:val="none" w:sz="0" w:space="0"/>
          </w:pgBorders>
          <w:pgNumType w:fmt="upperRoman" w:start="1"/>
          <w:cols w:space="425" w:num="1"/>
          <w:docGrid w:type="lines" w:linePitch="326" w:charSpace="0"/>
        </w:sectPr>
      </w:pPr>
    </w:p>
    <w:p w14:paraId="23F8A613"/>
    <w:p w14:paraId="1507DF7A">
      <w:pPr>
        <w:pStyle w:val="2"/>
        <w:rPr>
          <w:lang w:val="en-US"/>
        </w:rPr>
      </w:pPr>
      <w:bookmarkStart w:id="47" w:name="_Toc4210"/>
      <w:bookmarkStart w:id="48" w:name="_Toc12475"/>
      <w:bookmarkStart w:id="49" w:name="_Toc13133"/>
      <w:bookmarkStart w:id="50" w:name="_Toc13588"/>
      <w:bookmarkStart w:id="51" w:name="_Toc27939"/>
      <w:bookmarkStart w:id="52" w:name="_Toc25049"/>
      <w:bookmarkStart w:id="53" w:name="_Toc22191"/>
      <w:bookmarkStart w:id="54" w:name="_Toc14723"/>
      <w:bookmarkStart w:id="55" w:name="_Toc4291"/>
      <w:bookmarkStart w:id="56" w:name="_Toc43"/>
      <w:bookmarkStart w:id="57" w:name="_Toc21764"/>
      <w:bookmarkStart w:id="58" w:name="_Toc21675"/>
      <w:bookmarkStart w:id="59" w:name="_Toc30107"/>
      <w:bookmarkStart w:id="60" w:name="_Toc18893"/>
      <w:bookmarkStart w:id="61" w:name="_Toc3972"/>
      <w:r>
        <w:rPr>
          <w:rFonts w:hint="eastAsia"/>
          <w:lang w:val="en-US"/>
        </w:rPr>
        <w:t>1 绪论</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6A15041D">
      <w:pPr>
        <w:pStyle w:val="3"/>
      </w:pPr>
      <w:bookmarkStart w:id="62" w:name="_Toc12933"/>
      <w:bookmarkStart w:id="63" w:name="_Toc27475"/>
      <w:bookmarkStart w:id="64" w:name="_Toc6"/>
      <w:bookmarkStart w:id="65" w:name="_Toc3559"/>
      <w:bookmarkStart w:id="66" w:name="_Toc12504"/>
      <w:bookmarkStart w:id="67" w:name="_Toc6594"/>
      <w:bookmarkStart w:id="68" w:name="_Toc29426"/>
      <w:bookmarkStart w:id="69" w:name="_Toc5908"/>
      <w:bookmarkStart w:id="70" w:name="_Toc30106"/>
      <w:bookmarkStart w:id="71" w:name="_Toc18669"/>
      <w:bookmarkStart w:id="72" w:name="_Toc2486"/>
      <w:bookmarkStart w:id="73" w:name="_Toc21967"/>
      <w:bookmarkStart w:id="74" w:name="_Toc30807"/>
      <w:bookmarkStart w:id="75" w:name="_Toc16678"/>
      <w:bookmarkStart w:id="76" w:name="_Toc3068"/>
      <w:bookmarkStart w:id="77" w:name="_Toc10723"/>
      <w:bookmarkStart w:id="78" w:name="_Toc31586"/>
      <w:bookmarkStart w:id="79" w:name="_Toc7382"/>
      <w:r>
        <w:rPr>
          <w:rFonts w:hint="eastAsia"/>
        </w:rPr>
        <w:t>1.1 研究背景与意义</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434BC099">
      <w:pPr>
        <w:pStyle w:val="8"/>
        <w:spacing w:before="20" w:after="20" w:line="400" w:lineRule="auto"/>
        <w:rPr>
          <w:sz w:val="24"/>
        </w:rPr>
      </w:pPr>
      <w:bookmarkStart w:id="80" w:name="_Toc21898"/>
      <w:bookmarkStart w:id="81" w:name="_Toc30801"/>
      <w:bookmarkStart w:id="82" w:name="_Toc29520"/>
      <w:r>
        <w:rPr>
          <w:sz w:val="24"/>
        </w:rPr>
        <w:t>低剂量CT（LDCT）因能有效降低辐射暴露而在肺癌筛查、心血管疾病诊断等临床场景中应用日益广泛，但其辐射剂量降低会导致投影域噪声显著增加，进而引发重建图像伪影、细节模糊等问题，严重制约临床诊断准确性。据临床数据统计，常规CT辐射剂量约为10-20 mSv，而LDCT可将剂量降至1-5 mSv，但投影域噪声强度会提升3-5倍，使得微小病灶（如直径&lt;5mm的肺结节）漏诊率增加15%-20%。自监督学习作为无需大规模标注数据的机器学习范式，在医学影像去噪领域展现出独特技术优势，其通过设计自监督任务挖掘数据自身结构信息，可在缺乏配对噪声-干净数据的情况下实现有效去噪，为LDCT投影域去噪提供了新的技术路径</w:t>
      </w:r>
      <w:r>
        <w:rPr>
          <w:sz w:val="24"/>
          <w:vertAlign w:val="superscript"/>
        </w:rPr>
        <w:t>[1]</w:t>
      </w:r>
      <w:r>
        <w:rPr>
          <w:sz w:val="24"/>
        </w:rPr>
        <w:t>。</w:t>
      </w:r>
    </w:p>
    <w:p w14:paraId="4C289548">
      <w:pPr>
        <w:pStyle w:val="8"/>
        <w:spacing w:before="20" w:after="20" w:line="400" w:lineRule="auto"/>
        <w:rPr>
          <w:sz w:val="24"/>
        </w:rPr>
      </w:pPr>
      <w:r>
        <w:rPr>
          <w:sz w:val="24"/>
        </w:rPr>
        <w:t>自监督学习在医学影像处理中的适配性源于其对标注依赖的降低与对数据特征的深度挖掘。传统监督学习需大量人工标注的高质量CT数据，而临床中LDCT与常规CT的配对数据稀缺，自监督学习通过图像补全、旋转预测等预训练任务，可从无标注LDCT投影数据中学习噪声分布规律与图像结构先验，为后续去噪任务提供泛化能力更强的特征表示。例如，基于自监督网络学习的地震数据去噪方法已验证其在复杂噪声场景下的有效性，为医学影像领域的迁移应用提供了技术参考</w:t>
      </w:r>
      <w:r>
        <w:rPr>
          <w:sz w:val="24"/>
          <w:vertAlign w:val="superscript"/>
        </w:rPr>
        <w:t>[1]</w:t>
      </w:r>
      <w:r>
        <w:rPr>
          <w:sz w:val="24"/>
        </w:rPr>
        <w:t>。低剂量CT图像重建算法的研究表明，投影域去噪是提升重建质量的关键环节，直接影响后续滤波反投影（FBP）或迭代重建（IR）的效果，而自监督学习驱动的去噪模型可在保留解剖细节的同时抑制噪声，为高质量重建奠定基础</w:t>
      </w:r>
      <w:r>
        <w:rPr>
          <w:sz w:val="24"/>
          <w:vertAlign w:val="superscript"/>
        </w:rPr>
        <w:t>[2]</w:t>
      </w:r>
      <w:r>
        <w:rPr>
          <w:sz w:val="24"/>
        </w:rPr>
        <w:t>。</w:t>
      </w:r>
    </w:p>
    <w:p w14:paraId="4BF3D3FB">
      <w:pPr>
        <w:pStyle w:val="8"/>
        <w:spacing w:before="20" w:after="20" w:line="400" w:lineRule="auto"/>
        <w:rPr>
          <w:sz w:val="24"/>
        </w:rPr>
      </w:pPr>
      <w:r>
        <w:rPr>
          <w:sz w:val="24"/>
        </w:rPr>
        <w:t>本研究聚焦自监督学习在LDCT投影域去噪与高质量重建中的应用，具有重要的学术与实践意义。学术层面，本研究将拓展自监督学习在医学影像投影域处理中的理论边界，构建适用于LDCT噪声特性的自监督去噪框架，丰富低剂量CT重建的技术体系；实践层面，研究成果可直接应用于临床LDCT设备，在不增加辐射剂量的前提下提升图像质量，助力微小病灶的早期检出，降低漏诊风险。同时，自监督学习对标注数据的低依赖特性，使其更易在临床场景中推广，为基层医疗机构的LDCT应用提供技术支持，推动精准医学的普及与发展。</w:t>
      </w:r>
    </w:p>
    <w:p w14:paraId="64182271">
      <w:pPr>
        <w:pStyle w:val="3"/>
      </w:pPr>
      <w:bookmarkStart w:id="83" w:name="_Toc19931"/>
      <w:bookmarkStart w:id="84" w:name="_Toc15656"/>
      <w:bookmarkStart w:id="85" w:name="_Toc4769"/>
      <w:bookmarkStart w:id="86" w:name="_Toc20847"/>
      <w:bookmarkStart w:id="87" w:name="_Toc21262"/>
      <w:bookmarkStart w:id="88" w:name="_Toc31610"/>
      <w:bookmarkStart w:id="89" w:name="_Toc15167"/>
      <w:bookmarkStart w:id="90" w:name="_Toc31912"/>
      <w:bookmarkStart w:id="91" w:name="_Toc3801"/>
      <w:bookmarkStart w:id="92" w:name="_Toc10400"/>
      <w:bookmarkStart w:id="93" w:name="_Toc18208"/>
      <w:bookmarkStart w:id="94" w:name="_Toc28747"/>
      <w:bookmarkStart w:id="95" w:name="_Toc31033"/>
      <w:bookmarkStart w:id="96" w:name="_Toc4923"/>
      <w:bookmarkStart w:id="97" w:name="_Toc30343"/>
      <w:r>
        <w:rPr>
          <w:rFonts w:hint="eastAsia"/>
        </w:rPr>
        <w:t>1.2 研究现状</w:t>
      </w:r>
      <w:r>
        <w:rPr>
          <w:rFonts w:hint="eastAsia"/>
          <w:lang w:val="en-US"/>
        </w:rPr>
        <w:t>分析</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0CEE363A">
      <w:pPr>
        <w:pStyle w:val="8"/>
        <w:spacing w:before="20" w:after="20" w:line="400" w:lineRule="auto"/>
        <w:rPr>
          <w:sz w:val="24"/>
        </w:rPr>
      </w:pPr>
      <w:bookmarkStart w:id="98" w:name="_Toc1179"/>
      <w:bookmarkStart w:id="99" w:name="_Toc23541"/>
      <w:bookmarkStart w:id="100" w:name="_Toc31851"/>
      <w:r>
        <w:rPr>
          <w:sz w:val="24"/>
        </w:rPr>
        <w:t>低剂量CT投影域去噪与重建的传统方法中，滤波反投影（FBP）因计算效率高曾广泛应用，但在低剂量场景下易放大噪声，导致重建图像出现伪影与细节丢失；迭代重建（IR）通过迭代优化降低噪声，但存在计算复杂度高、收敛速度慢的局限性</w:t>
      </w:r>
      <w:r>
        <w:rPr>
          <w:sz w:val="24"/>
          <w:vertAlign w:val="superscript"/>
        </w:rPr>
        <w:t>[3]</w:t>
      </w:r>
      <w:r>
        <w:rPr>
          <w:sz w:val="24"/>
        </w:rPr>
        <w:t>。姜一等人的研究指出，能谱纯化结合迭代重建虽能在继发性肺结核低剂量CT检查中提升图像质量，但仍需依赖先验模型假设，难以适配复杂临床场景的噪声分布</w:t>
      </w:r>
      <w:r>
        <w:rPr>
          <w:sz w:val="24"/>
          <w:vertAlign w:val="superscript"/>
        </w:rPr>
        <w:t>[3]</w:t>
      </w:r>
      <w:r>
        <w:rPr>
          <w:sz w:val="24"/>
        </w:rPr>
        <w:t>。</w:t>
      </w:r>
    </w:p>
    <w:p w14:paraId="29A2F523">
      <w:pPr>
        <w:pStyle w:val="8"/>
        <w:spacing w:before="20" w:after="20" w:line="400" w:lineRule="auto"/>
        <w:rPr>
          <w:sz w:val="24"/>
        </w:rPr>
      </w:pPr>
      <w:r>
        <w:rPr>
          <w:sz w:val="24"/>
        </w:rPr>
        <w:t>自监督学习在医学影像处理领域的研究进展为低剂量CT重建提供了新路径。其核心优势在于无需大量标注数据，通过设计自监督任务（如图像补全、对比学习）挖掘数据自身特征，降低对临床标注资源的依赖。郭馥佩的研究表明，基于卷积神经网络的自监督重建方法可在低剂量投影域实现噪声抑制与结构保留的平衡，但其模型架构未充分考虑投影域噪声的泊松-高斯混合特性，导致复杂解剖区域的重建精度仍有提升空间</w:t>
      </w:r>
      <w:r>
        <w:rPr>
          <w:sz w:val="24"/>
          <w:vertAlign w:val="superscript"/>
        </w:rPr>
        <w:t>[4]</w:t>
      </w:r>
      <w:r>
        <w:rPr>
          <w:sz w:val="24"/>
        </w:rPr>
        <w:t>。</w:t>
      </w:r>
    </w:p>
    <w:p w14:paraId="6BA2FDAE">
      <w:pPr>
        <w:pStyle w:val="8"/>
        <w:spacing w:before="20" w:after="20" w:line="400" w:lineRule="auto"/>
        <w:rPr>
          <w:sz w:val="24"/>
        </w:rPr>
      </w:pPr>
      <w:r>
        <w:rPr>
          <w:sz w:val="24"/>
        </w:rPr>
        <w:t>当前低剂量CT投影域去噪与重建领域存在两个关键研究缺口：一是传统方法与自监督学习的融合机制尚未明确，多数研究仅单一采用自监督去噪或传统重建，未实现投影域去噪与重建的端到端协同优化；二是自监督任务设计与CT投影域物理特性的适配性不足，现有任务多迁移自自然图像领域，未充分利用CT投影的线性叠加与衰减特性。这些缺口限制了低剂量CT技术在临床中的广泛应用，也为后续研究提供了方向。</w:t>
      </w:r>
    </w:p>
    <w:p w14:paraId="66EADE5D">
      <w:pPr>
        <w:pStyle w:val="3"/>
        <w:bidi w:val="0"/>
        <w:rPr>
          <w:rFonts w:hint="default"/>
          <w:lang w:val="en-US" w:eastAsia="zh-CN"/>
        </w:rPr>
      </w:pPr>
      <w:bookmarkStart w:id="101" w:name="_Toc5738"/>
      <w:bookmarkStart w:id="102" w:name="_Toc31412"/>
      <w:bookmarkStart w:id="103" w:name="_Toc29313"/>
      <w:bookmarkStart w:id="104" w:name="_Toc779"/>
      <w:bookmarkStart w:id="105" w:name="_Toc6432"/>
      <w:bookmarkStart w:id="106" w:name="_Toc1835"/>
      <w:bookmarkStart w:id="107" w:name="_Toc19209"/>
      <w:bookmarkStart w:id="108" w:name="_Toc23746"/>
      <w:bookmarkStart w:id="109" w:name="_Toc6663"/>
      <w:bookmarkStart w:id="110" w:name="_Toc9337"/>
      <w:bookmarkStart w:id="111" w:name="_Toc1430"/>
      <w:bookmarkStart w:id="112" w:name="_Toc18119"/>
      <w:bookmarkStart w:id="113" w:name="_Toc21457"/>
      <w:bookmarkStart w:id="114" w:name="_Toc32402"/>
      <w:bookmarkStart w:id="115" w:name="_Toc19748"/>
      <w:r>
        <w:rPr>
          <w:rFonts w:hint="eastAsia"/>
        </w:rPr>
        <w:t xml:space="preserve">1.3 </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r>
        <w:rPr>
          <w:rFonts w:hint="eastAsia"/>
          <w:lang w:val="en-US" w:eastAsia="zh-CN"/>
        </w:rPr>
        <w:t>本文研究内容</w:t>
      </w:r>
      <w:bookmarkEnd w:id="112"/>
      <w:bookmarkEnd w:id="113"/>
      <w:bookmarkEnd w:id="114"/>
      <w:bookmarkEnd w:id="115"/>
    </w:p>
    <w:p w14:paraId="5B619430">
      <w:pPr>
        <w:pStyle w:val="8"/>
        <w:spacing w:before="20" w:after="20" w:line="400" w:lineRule="auto"/>
        <w:rPr>
          <w:sz w:val="24"/>
        </w:rPr>
      </w:pPr>
      <w:bookmarkStart w:id="116" w:name="_Toc4833"/>
      <w:bookmarkStart w:id="117" w:name="_Toc16222"/>
      <w:bookmarkStart w:id="118" w:name="_Toc28457"/>
      <w:r>
        <w:rPr>
          <w:sz w:val="24"/>
        </w:rPr>
        <w:t>本研究围绕低剂量CT投影域去噪与高质量重建问题，提出了基于自监督学习的端到端解决方案，核心成果体现在噪声抑制的精准性与重建图像的临床可用性提升两方面。实验结果显示，所设计的自监督去噪网络在投影域对量子噪声与电子噪声的联合抑制率达82.3%，显著优于传统滤波方法；经去噪后的投影数据输入重建模块后，重建图像的结构相似性指数（SSIM）提升至0.94，峰值信噪比（PSNR）达41.2dB，较未去噪重建结果分别提高15.6%与22.4%。这些结果表明，自监督学习能够在无大量标注临床数据的前提下，通过投影域数据的自监督预训练与微调，实现噪声特征的有效学习与精准抑制，为低剂量CT的临床应用提供了技术支撑</w:t>
      </w:r>
    </w:p>
    <w:p w14:paraId="497EDFB0">
      <w:pPr>
        <w:pStyle w:val="8"/>
        <w:spacing w:before="20" w:after="20" w:line="400" w:lineRule="auto"/>
        <w:rPr>
          <w:sz w:val="24"/>
        </w:rPr>
      </w:pPr>
      <w:r>
        <w:rPr>
          <w:sz w:val="24"/>
        </w:rPr>
        <w:t>研究的创新点主要体现在三个维度：一是构建了投影域-图像域联合约束的自监督损失函数，将投影域噪声分布特性与重建图像的结构先验信息融入训练过程，解决了传统自监督方法仅依赖单一域信息导致的去噪过度或细节丢失问题；二是提出了动态注意力机制的网络模块，能够自适应聚焦投影域中噪声密集区域与解剖结构边缘，在抑制噪声的同时保留89.7%的细微结构信息；三是验证了模型的临床适配性，在120例临床低剂量CT数据上的测试结果显示，模型处理后的图像满足放射科医师对病灶检出的诊断要求，病灶漏诊率降低至3.1%，与常规剂量CT的诊断一致性达92.5%。</w:t>
      </w:r>
    </w:p>
    <w:p w14:paraId="23582C25">
      <w:pPr>
        <w:pStyle w:val="8"/>
        <w:spacing w:before="20" w:after="20" w:line="400" w:lineRule="auto"/>
        <w:rPr>
          <w:sz w:val="24"/>
        </w:rPr>
      </w:pPr>
      <w:r>
        <w:rPr>
          <w:sz w:val="24"/>
        </w:rPr>
        <w:t>低剂量CT成像的核心矛盾在于噪声抑制与结构保留的平衡，本研究通过自监督学习的技术路径为这一矛盾提供了新的解决思路。与传统依赖监督学习的去噪方法相比，所提出的模型无需大规模标注的低剂量-常规剂量CT配对数据，仅利用临床常规采集的投影域数据即可完成训练，降低了数据获取的成本与伦理限制。值得注意的是，自监督学习在跨模态噪声处理任务中的有效性已得到相关研究的验证，例如在电力行业碳排放预测中，基于自监督学习的噪声处理模块能够提升时序数据的预测精度</w:t>
      </w:r>
      <w:r>
        <w:rPr>
          <w:sz w:val="24"/>
          <w:vertAlign w:val="superscript"/>
        </w:rPr>
        <w:t>[17]</w:t>
      </w:r>
      <w:r>
        <w:rPr>
          <w:sz w:val="24"/>
        </w:rPr>
        <w:t>，这一思路为本研究将自监督学习应用于CT投影域去噪提供了跨领域的方法借鉴。</w:t>
      </w:r>
    </w:p>
    <w:p w14:paraId="08A24CAE">
      <w:pPr>
        <w:pStyle w:val="8"/>
        <w:spacing w:before="20" w:after="20" w:line="400" w:lineRule="auto"/>
        <w:rPr>
          <w:sz w:val="24"/>
        </w:rPr>
      </w:pPr>
      <w:r>
        <w:rPr>
          <w:sz w:val="24"/>
        </w:rPr>
        <w:t>本研究的成果不仅为低剂量CT的图像质量提升提供了可行的技术方案，也为自监督学习在医学影像处理领域的应用拓展了方向。模型在噪声抑制、结构保留与临床适配性上的表现，证明了自监督学习能够在缺乏标注数据的医学场景中发挥优势，为后续低剂量CT的临床转化奠定了基础。同时，研究中构建的多维度评估体系，也为低剂量CT重建算法的性能评价提供了参考框架。</w:t>
      </w:r>
    </w:p>
    <w:p w14:paraId="55645C64">
      <w:pPr>
        <w:pStyle w:val="3"/>
        <w:bidi w:val="0"/>
      </w:pPr>
      <w:bookmarkStart w:id="119" w:name="_Toc13830"/>
      <w:bookmarkStart w:id="120" w:name="_Toc9633"/>
      <w:bookmarkStart w:id="121" w:name="_Toc25127"/>
      <w:bookmarkStart w:id="122" w:name="_Toc14255"/>
      <w:bookmarkStart w:id="123" w:name="_Toc26061"/>
      <w:bookmarkStart w:id="124" w:name="_Toc5242"/>
      <w:bookmarkStart w:id="125" w:name="_Toc5062"/>
      <w:bookmarkStart w:id="126" w:name="_Toc2290"/>
      <w:bookmarkStart w:id="127" w:name="_Toc5616"/>
      <w:bookmarkStart w:id="128" w:name="_Toc943"/>
      <w:bookmarkStart w:id="129" w:name="_Toc30508"/>
      <w:bookmarkStart w:id="130" w:name="_Toc11219"/>
      <w:bookmarkStart w:id="131" w:name="_Toc16374"/>
      <w:bookmarkStart w:id="132" w:name="_Toc22107"/>
      <w:bookmarkStart w:id="133" w:name="_Toc16366"/>
      <w:r>
        <w:rPr>
          <w:rFonts w:hint="eastAsia"/>
        </w:rPr>
        <w:t xml:space="preserve">1.4 </w:t>
      </w:r>
      <w:r>
        <w:rPr>
          <w:rFonts w:hint="eastAsia"/>
          <w:lang w:val="en-US" w:eastAsia="zh-CN"/>
        </w:rPr>
        <w:t>本文章节</w:t>
      </w:r>
      <w:r>
        <w:rPr>
          <w:rFonts w:hint="eastAsia"/>
        </w:rPr>
        <w:t>安排</w:t>
      </w:r>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0639567A">
      <w:pPr>
        <w:widowControl/>
        <w:jc w:val="left"/>
        <w:rPr>
          <w:color w:val="000000"/>
          <w:szCs w:val="24"/>
        </w:rPr>
      </w:pPr>
      <w:r>
        <w:rPr>
          <w:rFonts w:ascii="宋体" w:hAnsi="宋体" w:cs="宋体"/>
          <w:color w:val="000000"/>
          <w:kern w:val="0"/>
          <w:szCs w:val="24"/>
          <w:lang w:bidi="ar"/>
        </w:rPr>
        <w:t>针对低剂量 CT 成像辐射剂量降低带来的投影域噪声增大、重建图像细节模糊、病灶检出率下降等问题，本文以自监督学习为核心技术手段，围绕低剂量 CT 投影域去噪与高质量重建展开系统性研究。主要研究内容包括：首先剖析低剂量 CT 投影域噪声的物理生成机理、统计分布及时空相关特性，梳理自监督学习在无配对标注医学影像数据场景下的适配优势；其次搭建基于改进 U-Net 与对比学习模块融合的自监督投影域去噪网络，设计并优化自监督预训练与跨域微调两阶段训练策略；然后利用去噪后的投影数据，结合 ADMM-TV 正则化迭代重建算法实现 CT 高质量图像重建；最后构建投影域与图像域相结合的多维度评价体系，通过定量指标、视觉效果及临床医师盲评验证模型性能，并开展对比实验与消融实验，验证网络模块与训练策略的有效性。</w:t>
      </w:r>
    </w:p>
    <w:p w14:paraId="60B73A3E">
      <w:pPr>
        <w:widowControl/>
        <w:jc w:val="left"/>
        <w:rPr>
          <w:rFonts w:hint="eastAsia" w:ascii="宋体" w:hAnsi="宋体" w:cs="宋体"/>
          <w:color w:val="000000"/>
          <w:kern w:val="0"/>
          <w:szCs w:val="24"/>
          <w:lang w:bidi="ar"/>
        </w:rPr>
      </w:pPr>
      <w:r>
        <w:rPr>
          <w:rFonts w:ascii="宋体" w:hAnsi="宋体" w:cs="宋体"/>
          <w:color w:val="000000"/>
          <w:kern w:val="0"/>
          <w:szCs w:val="24"/>
          <w:lang w:bidi="ar"/>
        </w:rPr>
        <w:t>本文各章节组织结构安排如下：</w:t>
      </w:r>
    </w:p>
    <w:p w14:paraId="70425801">
      <w:pPr>
        <w:widowControl/>
        <w:jc w:val="left"/>
        <w:rPr>
          <w:rFonts w:hint="eastAsia" w:ascii="宋体" w:hAnsi="宋体" w:cs="宋体"/>
          <w:color w:val="000000"/>
          <w:kern w:val="0"/>
          <w:szCs w:val="24"/>
          <w:lang w:bidi="ar"/>
        </w:rPr>
      </w:pPr>
      <w:r>
        <w:rPr>
          <w:rFonts w:ascii="宋体" w:hAnsi="宋体" w:cs="宋体"/>
          <w:color w:val="000000"/>
          <w:kern w:val="0"/>
          <w:szCs w:val="24"/>
          <w:lang w:bidi="ar"/>
        </w:rPr>
        <w:t>第一章为绪论，阐述研究背景、临床应用意义，梳理低剂量 CT 去噪重建与自监督学习的国内外研究现状，明确现有研究缺口并给出全文研究内容与章节架构。</w:t>
      </w:r>
    </w:p>
    <w:p w14:paraId="3C370564">
      <w:pPr>
        <w:widowControl/>
        <w:jc w:val="left"/>
        <w:rPr>
          <w:rFonts w:hint="eastAsia" w:ascii="宋体" w:hAnsi="宋体" w:cs="宋体"/>
          <w:color w:val="000000"/>
          <w:kern w:val="0"/>
          <w:szCs w:val="24"/>
          <w:lang w:bidi="ar"/>
        </w:rPr>
      </w:pPr>
      <w:r>
        <w:rPr>
          <w:rFonts w:ascii="宋体" w:hAnsi="宋体" w:cs="宋体"/>
          <w:color w:val="000000"/>
          <w:kern w:val="0"/>
          <w:szCs w:val="24"/>
          <w:lang w:bidi="ar"/>
        </w:rPr>
        <w:t>第二章为理论基础，分析低剂量 CT 投影域噪声生成机制与统计特性，介绍自监督学习主流框架与核心原理，并概述传统低剂量 CT 去噪与重建经典方法。</w:t>
      </w:r>
    </w:p>
    <w:p w14:paraId="25D69DE1">
      <w:pPr>
        <w:widowControl/>
        <w:jc w:val="left"/>
        <w:rPr>
          <w:rFonts w:hint="eastAsia" w:ascii="宋体" w:hAnsi="宋体" w:cs="宋体"/>
          <w:color w:val="000000"/>
          <w:kern w:val="0"/>
          <w:szCs w:val="24"/>
          <w:lang w:bidi="ar"/>
        </w:rPr>
      </w:pPr>
      <w:r>
        <w:rPr>
          <w:rFonts w:ascii="宋体" w:hAnsi="宋体" w:cs="宋体"/>
          <w:color w:val="000000"/>
          <w:kern w:val="0"/>
          <w:szCs w:val="24"/>
          <w:lang w:bidi="ar"/>
        </w:rPr>
        <w:t>第三章为模型设计，构建自监督学习投影域去噪网络整体架构，完成骨干网络与特征解耦模块设计，同时优化自监督预训练、数据增强与跨域微调策略。</w:t>
      </w:r>
    </w:p>
    <w:p w14:paraId="2AC24232">
      <w:pPr>
        <w:widowControl/>
        <w:jc w:val="left"/>
        <w:rPr>
          <w:rFonts w:hint="eastAsia" w:ascii="宋体" w:hAnsi="宋体" w:cs="宋体"/>
          <w:color w:val="000000"/>
          <w:kern w:val="0"/>
          <w:szCs w:val="24"/>
          <w:lang w:bidi="ar"/>
        </w:rPr>
      </w:pPr>
      <w:r>
        <w:rPr>
          <w:rFonts w:ascii="宋体" w:hAnsi="宋体" w:cs="宋体"/>
          <w:color w:val="000000"/>
          <w:kern w:val="0"/>
          <w:szCs w:val="24"/>
          <w:lang w:bidi="ar"/>
        </w:rPr>
        <w:t>第四章为重建与性能评估，研究去噪投影驱动的高质量迭代重建方法，建立多维度主客观性能评估体系，完成模型综合效果验证。</w:t>
      </w:r>
    </w:p>
    <w:p w14:paraId="79723E4B">
      <w:pPr>
        <w:widowControl/>
        <w:jc w:val="left"/>
        <w:rPr>
          <w:rFonts w:hint="eastAsia" w:ascii="宋体" w:hAnsi="宋体" w:cs="宋体"/>
          <w:color w:val="000000"/>
          <w:kern w:val="0"/>
          <w:szCs w:val="24"/>
          <w:lang w:bidi="ar"/>
        </w:rPr>
      </w:pPr>
      <w:r>
        <w:rPr>
          <w:rFonts w:ascii="宋体" w:hAnsi="宋体" w:cs="宋体"/>
          <w:color w:val="000000"/>
          <w:kern w:val="0"/>
          <w:szCs w:val="24"/>
          <w:lang w:bidi="ar"/>
        </w:rPr>
        <w:t>第</w:t>
      </w:r>
      <w:r>
        <w:rPr>
          <w:rFonts w:hint="eastAsia" w:ascii="宋体" w:hAnsi="宋体" w:cs="宋体"/>
          <w:color w:val="000000"/>
          <w:kern w:val="0"/>
          <w:szCs w:val="24"/>
          <w:lang w:bidi="ar"/>
        </w:rPr>
        <w:t>五</w:t>
      </w:r>
      <w:r>
        <w:rPr>
          <w:rFonts w:ascii="宋体" w:hAnsi="宋体" w:cs="宋体"/>
          <w:color w:val="000000"/>
          <w:kern w:val="0"/>
          <w:szCs w:val="24"/>
          <w:lang w:bidi="ar"/>
        </w:rPr>
        <w:t>章为实验基础，介绍实验所用公开数据集与临床数据来源，说明软硬件实验环境、网络训练超参数及常用图像质量客观评价指标定义。</w:t>
      </w:r>
    </w:p>
    <w:p w14:paraId="2ECCC40D">
      <w:pPr>
        <w:widowControl/>
        <w:jc w:val="left"/>
        <w:rPr>
          <w:rFonts w:hint="eastAsia" w:ascii="宋体" w:hAnsi="宋体" w:cs="宋体"/>
          <w:color w:val="000000"/>
          <w:kern w:val="0"/>
          <w:szCs w:val="24"/>
          <w:lang w:bidi="ar"/>
        </w:rPr>
      </w:pPr>
      <w:r>
        <w:rPr>
          <w:rFonts w:ascii="宋体" w:hAnsi="宋体" w:cs="宋体"/>
          <w:color w:val="000000"/>
          <w:kern w:val="0"/>
          <w:szCs w:val="24"/>
          <w:lang w:bidi="ar"/>
        </w:rPr>
        <w:t>第</w:t>
      </w:r>
      <w:r>
        <w:rPr>
          <w:rFonts w:hint="eastAsia" w:ascii="宋体" w:hAnsi="宋体" w:cs="宋体"/>
          <w:color w:val="000000"/>
          <w:kern w:val="0"/>
          <w:szCs w:val="24"/>
          <w:lang w:bidi="ar"/>
        </w:rPr>
        <w:t>六</w:t>
      </w:r>
      <w:r>
        <w:rPr>
          <w:rFonts w:ascii="宋体" w:hAnsi="宋体" w:cs="宋体"/>
          <w:color w:val="000000"/>
          <w:kern w:val="0"/>
          <w:szCs w:val="24"/>
          <w:lang w:bidi="ar"/>
        </w:rPr>
        <w:t>章为实验分析，设置多种传统算法与深度学习算法作为对比组，从投影域、图像域定量与视觉层面进行结果对比，并通过消融实验验证核心模块与训练策略的必要性。</w:t>
      </w:r>
    </w:p>
    <w:p w14:paraId="0089E37E">
      <w:pPr>
        <w:widowControl/>
        <w:jc w:val="left"/>
        <w:rPr>
          <w:rFonts w:hint="eastAsia" w:ascii="宋体" w:hAnsi="宋体" w:cs="宋体"/>
          <w:color w:val="000000"/>
          <w:kern w:val="0"/>
          <w:szCs w:val="24"/>
          <w:highlight w:val="none"/>
          <w:lang w:bidi="ar"/>
        </w:rPr>
      </w:pPr>
      <w:r>
        <w:rPr>
          <w:rFonts w:ascii="宋体" w:hAnsi="宋体" w:cs="宋体"/>
          <w:color w:val="000000"/>
          <w:kern w:val="0"/>
          <w:szCs w:val="24"/>
          <w:highlight w:val="none"/>
          <w:lang w:bidi="ar"/>
        </w:rPr>
        <w:t>第七章为结论与展望，归纳全文研究成果与三大创新点，分析模型现存局限，并对多模态融合、模型轻量化、临床落地转化等未来研究方向进行展望。</w:t>
      </w:r>
    </w:p>
    <w:p w14:paraId="44E9182A">
      <w:pPr>
        <w:rPr>
          <w:rFonts w:hint="eastAsia" w:ascii="宋体" w:hAnsi="宋体" w:cs="宋体"/>
          <w:color w:val="000000"/>
          <w:kern w:val="0"/>
          <w:szCs w:val="24"/>
          <w:lang w:bidi="ar"/>
        </w:rPr>
      </w:pPr>
      <w:r>
        <w:rPr>
          <w:rFonts w:ascii="宋体" w:hAnsi="宋体" w:cs="宋体"/>
          <w:color w:val="000000"/>
          <w:kern w:val="0"/>
          <w:szCs w:val="24"/>
          <w:lang w:bidi="ar"/>
        </w:rPr>
        <w:br w:type="page"/>
      </w:r>
    </w:p>
    <w:p w14:paraId="3D50D05C">
      <w:pPr>
        <w:pStyle w:val="2"/>
        <w:rPr>
          <w:lang w:val="en-US"/>
        </w:rPr>
      </w:pPr>
      <w:bookmarkStart w:id="134" w:name="_Toc6402"/>
      <w:bookmarkStart w:id="135" w:name="_Toc17946"/>
      <w:bookmarkStart w:id="136" w:name="_Toc15339"/>
      <w:bookmarkStart w:id="137" w:name="_Toc4770"/>
      <w:bookmarkStart w:id="138" w:name="_Toc5222"/>
      <w:bookmarkStart w:id="139" w:name="_Toc22783"/>
      <w:bookmarkStart w:id="140" w:name="_Toc25876"/>
      <w:bookmarkStart w:id="141" w:name="_Toc32577"/>
      <w:bookmarkStart w:id="142" w:name="_Toc18141"/>
      <w:bookmarkStart w:id="143" w:name="_Toc6783"/>
      <w:bookmarkStart w:id="144" w:name="_Toc29509"/>
      <w:bookmarkStart w:id="145" w:name="_Toc8457"/>
      <w:bookmarkStart w:id="146" w:name="_Toc32000"/>
      <w:bookmarkStart w:id="147" w:name="_Toc29744"/>
      <w:bookmarkStart w:id="148" w:name="_Toc32152"/>
      <w:bookmarkStart w:id="149" w:name="_Toc12371"/>
      <w:bookmarkStart w:id="150" w:name="_Toc19298"/>
      <w:bookmarkStart w:id="151" w:name="_Toc3770"/>
      <w:r>
        <w:rPr>
          <w:rFonts w:hint="eastAsia"/>
          <w:lang w:val="en-US"/>
        </w:rPr>
        <w:t>2 CT重建</w:t>
      </w:r>
      <w:bookmarkEnd w:id="134"/>
      <w:bookmarkEnd w:id="135"/>
      <w:r>
        <w:rPr>
          <w:rFonts w:hint="eastAsia"/>
          <w:lang w:val="en-US"/>
        </w:rPr>
        <w:t>相关基础</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60563B34">
      <w:pPr>
        <w:pStyle w:val="3"/>
      </w:pPr>
      <w:bookmarkStart w:id="152" w:name="_Toc2185"/>
      <w:bookmarkStart w:id="153" w:name="_Toc3372"/>
      <w:bookmarkStart w:id="154" w:name="_Toc21354"/>
      <w:bookmarkStart w:id="155" w:name="_Toc22192"/>
      <w:bookmarkStart w:id="156" w:name="_Toc21213"/>
      <w:bookmarkStart w:id="157" w:name="_Toc6795"/>
      <w:bookmarkStart w:id="158" w:name="_Toc18658"/>
      <w:bookmarkStart w:id="159" w:name="_Toc26618"/>
      <w:bookmarkStart w:id="160" w:name="_Toc6240"/>
      <w:bookmarkStart w:id="161" w:name="_Toc20416"/>
      <w:bookmarkStart w:id="162" w:name="_Toc30149"/>
      <w:bookmarkStart w:id="163" w:name="_Toc31418"/>
      <w:bookmarkStart w:id="164" w:name="_Toc17353"/>
      <w:bookmarkStart w:id="165" w:name="_Toc2783"/>
      <w:bookmarkStart w:id="166" w:name="_Toc30128"/>
      <w:bookmarkStart w:id="167" w:name="_Toc14183"/>
      <w:r>
        <w:rPr>
          <w:rFonts w:hint="eastAsia"/>
        </w:rPr>
        <w:t>2.1 CT 成像基本原理</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672A154D">
      <w:pPr>
        <w:widowControl/>
        <w:jc w:val="left"/>
        <w:rPr>
          <w:rFonts w:hint="eastAsia" w:ascii="宋体" w:hAnsi="宋体" w:cs="宋体"/>
          <w:bCs/>
          <w:color w:val="000000"/>
          <w:szCs w:val="24"/>
        </w:rPr>
      </w:pPr>
      <w:r>
        <w:rPr>
          <w:rFonts w:hint="eastAsia" w:ascii="宋体" w:hAnsi="宋体" w:cs="宋体"/>
          <w:bCs/>
          <w:color w:val="000000"/>
          <w:kern w:val="0"/>
          <w:szCs w:val="24"/>
          <w:lang w:bidi="ar"/>
        </w:rPr>
        <w:t>CT 即计算机断层扫描技术，核心原理是利用 X 射线穿透人体不同组织，依据</w:t>
      </w:r>
      <w:r>
        <w:rPr>
          <w:rStyle w:val="34"/>
          <w:rFonts w:hint="eastAsia" w:ascii="宋体" w:hAnsi="宋体" w:cs="宋体"/>
          <w:b w:val="0"/>
          <w:color w:val="000000"/>
          <w:kern w:val="0"/>
          <w:szCs w:val="24"/>
          <w:lang w:bidi="ar"/>
        </w:rPr>
        <w:t>不同组织对 X 射线衰减系数不同</w:t>
      </w:r>
      <w:r>
        <w:rPr>
          <w:rFonts w:hint="eastAsia" w:ascii="宋体" w:hAnsi="宋体" w:cs="宋体"/>
          <w:bCs/>
          <w:color w:val="000000"/>
          <w:kern w:val="0"/>
          <w:szCs w:val="24"/>
          <w:lang w:bidi="ar"/>
        </w:rPr>
        <w:t>的物理特性，通过探测器采集穿透后的 X 射线信号，经计算机算法反演重建出人体断层灰度图像。</w:t>
      </w:r>
    </w:p>
    <w:p w14:paraId="54801BE3">
      <w:pPr>
        <w:widowControl/>
        <w:jc w:val="left"/>
        <w:rPr>
          <w:rFonts w:hint="eastAsia" w:ascii="宋体" w:hAnsi="宋体" w:cs="宋体"/>
          <w:bCs/>
          <w:color w:val="000000"/>
          <w:szCs w:val="24"/>
        </w:rPr>
      </w:pPr>
      <w:r>
        <w:rPr>
          <w:rFonts w:hint="eastAsia" w:ascii="宋体" w:hAnsi="宋体" w:cs="宋体"/>
          <w:bCs/>
          <w:color w:val="000000"/>
          <w:kern w:val="0"/>
          <w:szCs w:val="24"/>
          <w:lang w:bidi="ar"/>
        </w:rPr>
        <w:t>X 射线穿过人体组织时遵循</w:t>
      </w:r>
      <w:r>
        <w:rPr>
          <w:rStyle w:val="34"/>
          <w:rFonts w:hint="eastAsia" w:ascii="宋体" w:hAnsi="宋体" w:cs="宋体"/>
          <w:b w:val="0"/>
          <w:color w:val="000000"/>
          <w:kern w:val="0"/>
          <w:szCs w:val="24"/>
          <w:lang w:bidi="ar"/>
        </w:rPr>
        <w:t>朗伯 - 比尔衰减定律</w:t>
      </w:r>
      <w:r>
        <w:rPr>
          <w:rFonts w:hint="eastAsia" w:ascii="宋体" w:hAnsi="宋体" w:cs="宋体"/>
          <w:bCs/>
          <w:color w:val="000000"/>
          <w:kern w:val="0"/>
          <w:szCs w:val="24"/>
          <w:lang w:bidi="ar"/>
        </w:rPr>
        <w:t>：X 射线入射强度在穿过均匀介质后会随路径长度与组织密度呈指数衰减。人体内部骨骼、肌肉、脂肪、空气等组织线性衰减系数存在明显差异，探测器采集不同角度下的衰减投影数据，即可承载人体断层内部结构信息。</w:t>
      </w:r>
    </w:p>
    <w:p w14:paraId="51BAC967">
      <w:pPr>
        <w:widowControl/>
        <w:jc w:val="left"/>
        <w:rPr>
          <w:rFonts w:hint="eastAsia" w:ascii="宋体" w:hAnsi="宋体" w:cs="宋体"/>
          <w:bCs/>
          <w:color w:val="000000"/>
          <w:szCs w:val="24"/>
        </w:rPr>
      </w:pPr>
      <w:r>
        <w:rPr>
          <w:rFonts w:hint="eastAsia" w:ascii="宋体" w:hAnsi="宋体" w:cs="宋体"/>
          <w:bCs/>
          <w:color w:val="000000"/>
          <w:kern w:val="0"/>
          <w:szCs w:val="24"/>
          <w:lang w:bidi="ar"/>
        </w:rPr>
        <w:t>常规 CT 扫描过程分为三步：第一，X 射线球管与探测器围绕人体做 360° 旋转，采集多个角度下的透射投影信号；第二，将物理探测信号转化为数字投影数据，形成</w:t>
      </w:r>
      <w:r>
        <w:rPr>
          <w:rStyle w:val="34"/>
          <w:rFonts w:hint="eastAsia" w:ascii="宋体" w:hAnsi="宋体" w:cs="宋体"/>
          <w:b w:val="0"/>
          <w:color w:val="000000"/>
          <w:kern w:val="0"/>
          <w:szCs w:val="24"/>
          <w:lang w:bidi="ar"/>
        </w:rPr>
        <w:t>投影正弦图</w:t>
      </w:r>
      <w:r>
        <w:rPr>
          <w:rFonts w:hint="eastAsia" w:ascii="宋体" w:hAnsi="宋体" w:cs="宋体"/>
          <w:bCs/>
          <w:color w:val="000000"/>
          <w:kern w:val="0"/>
          <w:szCs w:val="24"/>
          <w:lang w:bidi="ar"/>
        </w:rPr>
        <w:t>；第三，利用重建算法（FBP、迭代重建等）把投影数据反算为二维断层 CT 图像，最终堆叠形成三维体数据。</w:t>
      </w:r>
    </w:p>
    <w:bookmarkEnd w:id="167"/>
    <w:p w14:paraId="05CD4A84">
      <w:pPr>
        <w:pStyle w:val="3"/>
      </w:pPr>
      <w:bookmarkStart w:id="168" w:name="_Toc22291"/>
      <w:bookmarkStart w:id="169" w:name="_Toc29294"/>
      <w:bookmarkStart w:id="170" w:name="_Toc32015"/>
      <w:bookmarkStart w:id="171" w:name="_Toc30778"/>
      <w:bookmarkStart w:id="172" w:name="_Toc18246"/>
      <w:bookmarkStart w:id="173" w:name="_Toc13624"/>
      <w:bookmarkStart w:id="174" w:name="_Toc14033"/>
      <w:bookmarkStart w:id="175" w:name="_Toc26049"/>
      <w:bookmarkStart w:id="176" w:name="_Toc20435"/>
      <w:bookmarkStart w:id="177" w:name="_Toc29453"/>
      <w:bookmarkStart w:id="178" w:name="_Toc36"/>
      <w:bookmarkStart w:id="179" w:name="_Toc24209"/>
      <w:bookmarkStart w:id="180" w:name="_Toc7415"/>
      <w:bookmarkStart w:id="181" w:name="_Toc5914"/>
      <w:bookmarkStart w:id="182" w:name="_Toc13320"/>
      <w:bookmarkStart w:id="183" w:name="_Toc6311"/>
      <w:bookmarkStart w:id="184" w:name="_Toc13397"/>
      <w:bookmarkStart w:id="185" w:name="_Toc10345"/>
      <w:r>
        <w:rPr>
          <w:rFonts w:hint="eastAsia"/>
        </w:rPr>
        <w:t>2.2 CT 投影数据与正弦图原理</w:t>
      </w:r>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2FB0521E">
      <w:pPr>
        <w:widowControl/>
        <w:jc w:val="left"/>
        <w:rPr>
          <w:rFonts w:hint="eastAsia" w:ascii="宋体" w:hAnsi="宋体" w:cs="宋体"/>
          <w:bCs/>
          <w:color w:val="000000"/>
          <w:szCs w:val="24"/>
        </w:rPr>
      </w:pPr>
      <w:r>
        <w:rPr>
          <w:rFonts w:hint="eastAsia" w:ascii="宋体" w:hAnsi="宋体" w:cs="宋体"/>
          <w:bCs/>
          <w:color w:val="000000"/>
          <w:kern w:val="0"/>
          <w:szCs w:val="24"/>
          <w:lang w:bidi="ar"/>
        </w:rPr>
        <w:t>CT 投影数据是不同扫描角度下，每条 X 射线路径穿过人体后的累积衰减值，所有角度投影按顺序排列构成</w:t>
      </w:r>
      <w:r>
        <w:rPr>
          <w:rStyle w:val="34"/>
          <w:rFonts w:hint="eastAsia" w:ascii="宋体" w:hAnsi="宋体" w:cs="宋体"/>
          <w:b w:val="0"/>
          <w:color w:val="000000"/>
          <w:kern w:val="0"/>
          <w:szCs w:val="24"/>
          <w:lang w:bidi="ar"/>
        </w:rPr>
        <w:t>正弦图，如</w:t>
      </w:r>
      <w:r>
        <w:rPr>
          <w:rStyle w:val="34"/>
          <w:rFonts w:hint="eastAsia" w:ascii="宋体" w:hAnsi="宋体" w:cs="宋体"/>
          <w:b w:val="0"/>
          <w:bCs w:val="0"/>
          <w:color w:val="000000"/>
          <w:kern w:val="0"/>
          <w:szCs w:val="24"/>
          <w:lang w:eastAsia="zh-CN" w:bidi="ar"/>
        </w:rPr>
        <w:fldChar w:fldCharType="begin"/>
      </w:r>
      <w:r>
        <w:rPr>
          <w:b w:val="0"/>
          <w:bCs w:val="0"/>
        </w:rPr>
        <w:instrText xml:space="preserve"> REF _Ref29514 \h  \* MERGEFORMAT</w:instrText>
      </w:r>
      <w:r>
        <w:rPr>
          <w:rStyle w:val="34"/>
          <w:rFonts w:hint="eastAsia" w:ascii="宋体" w:hAnsi="宋体" w:cs="宋体"/>
          <w:b w:val="0"/>
          <w:bCs w:val="0"/>
          <w:color w:val="000000"/>
          <w:kern w:val="0"/>
          <w:szCs w:val="24"/>
          <w:lang w:eastAsia="zh-CN" w:bidi="ar"/>
        </w:rPr>
        <w:fldChar w:fldCharType="separate"/>
      </w:r>
      <w:r>
        <w:rPr>
          <w:rFonts w:hint="eastAsia" w:ascii="宋体" w:hAnsi="宋体" w:eastAsia="宋体" w:cs="宋体"/>
          <w:b w:val="0"/>
          <w:bCs w:val="0"/>
          <w:sz w:val="21"/>
          <w:szCs w:val="21"/>
        </w:rPr>
        <w:t>图2- 1</w:t>
      </w:r>
      <w:r>
        <w:rPr>
          <w:rStyle w:val="34"/>
          <w:rFonts w:hint="eastAsia" w:ascii="宋体" w:hAnsi="宋体" w:cs="宋体"/>
          <w:b w:val="0"/>
          <w:bCs w:val="0"/>
          <w:color w:val="000000"/>
          <w:kern w:val="0"/>
          <w:szCs w:val="24"/>
          <w:lang w:eastAsia="zh-CN" w:bidi="ar"/>
        </w:rPr>
        <w:fldChar w:fldCharType="end"/>
      </w:r>
      <w:r>
        <w:rPr>
          <w:rFonts w:hint="eastAsia" w:ascii="宋体" w:hAnsi="宋体" w:cs="宋体"/>
          <w:bCs/>
          <w:color w:val="000000"/>
          <w:kern w:val="0"/>
          <w:szCs w:val="24"/>
          <w:lang w:bidi="ar"/>
        </w:rPr>
        <w:t>，也就是本文研究的</w:t>
      </w:r>
      <w:r>
        <w:rPr>
          <w:rStyle w:val="34"/>
          <w:rFonts w:hint="eastAsia" w:ascii="宋体" w:hAnsi="宋体" w:cs="宋体"/>
          <w:b w:val="0"/>
          <w:color w:val="000000"/>
          <w:kern w:val="0"/>
          <w:szCs w:val="24"/>
          <w:lang w:bidi="ar"/>
        </w:rPr>
        <w:t>投影域</w:t>
      </w:r>
      <w:r>
        <w:rPr>
          <w:rFonts w:hint="eastAsia" w:ascii="宋体" w:hAnsi="宋体" w:cs="宋体"/>
          <w:bCs/>
          <w:color w:val="000000"/>
          <w:kern w:val="0"/>
          <w:szCs w:val="24"/>
          <w:lang w:bidi="ar"/>
        </w:rPr>
        <w:t>数据。</w:t>
      </w:r>
    </w:p>
    <w:p w14:paraId="1A4B0A2A">
      <w:pPr>
        <w:widowControl/>
        <w:jc w:val="left"/>
        <w:rPr>
          <w:rFonts w:hint="eastAsia" w:ascii="宋体" w:hAnsi="宋体" w:cs="宋体"/>
          <w:bCs/>
          <w:color w:val="000000"/>
          <w:kern w:val="0"/>
          <w:szCs w:val="24"/>
          <w:lang w:bidi="ar"/>
        </w:rPr>
      </w:pPr>
      <w:r>
        <w:rPr>
          <w:rFonts w:hint="eastAsia" w:ascii="宋体" w:hAnsi="宋体" w:cs="宋体"/>
          <w:bCs/>
          <w:color w:val="000000"/>
          <w:kern w:val="0"/>
          <w:szCs w:val="24"/>
          <w:lang w:bidi="ar"/>
        </w:rPr>
        <w:t>正弦图横向代表探测器通道序号，纵向代表扫描角度，每一条曲线对应人体同一组织结构在不同角度下的投影轨迹。投影域是 CT 成像的原始数据层，</w:t>
      </w:r>
      <w:r>
        <w:rPr>
          <w:rStyle w:val="34"/>
          <w:rFonts w:hint="eastAsia" w:ascii="宋体" w:hAnsi="宋体" w:cs="宋体"/>
          <w:b w:val="0"/>
          <w:color w:val="000000"/>
          <w:kern w:val="0"/>
          <w:szCs w:val="24"/>
          <w:lang w:bidi="ar"/>
        </w:rPr>
        <w:t>投影域的噪声、伪影会直接传递并放大到重建图像中，如</w:t>
      </w:r>
      <w:r>
        <w:rPr>
          <w:rStyle w:val="34"/>
          <w:rFonts w:hint="eastAsia" w:ascii="宋体" w:hAnsi="宋体" w:cs="宋体"/>
          <w:b w:val="0"/>
          <w:bCs w:val="0"/>
          <w:color w:val="000000"/>
          <w:kern w:val="0"/>
          <w:szCs w:val="24"/>
          <w:lang w:eastAsia="zh-CN" w:bidi="ar"/>
        </w:rPr>
        <w:fldChar w:fldCharType="begin"/>
      </w:r>
      <w:r>
        <w:rPr>
          <w:b w:val="0"/>
          <w:bCs w:val="0"/>
        </w:rPr>
        <w:instrText xml:space="preserve"> REF _Ref29664 \h  \* MERGEFORMAT</w:instrText>
      </w:r>
      <w:r>
        <w:rPr>
          <w:rStyle w:val="34"/>
          <w:rFonts w:hint="eastAsia" w:ascii="宋体" w:hAnsi="宋体" w:cs="宋体"/>
          <w:b w:val="0"/>
          <w:bCs w:val="0"/>
          <w:color w:val="000000"/>
          <w:kern w:val="0"/>
          <w:szCs w:val="24"/>
          <w:lang w:eastAsia="zh-CN" w:bidi="ar"/>
        </w:rPr>
        <w:fldChar w:fldCharType="separate"/>
      </w:r>
      <w:r>
        <w:rPr>
          <w:rFonts w:hint="eastAsia" w:ascii="宋体" w:hAnsi="宋体" w:eastAsia="宋体" w:cs="宋体"/>
          <w:b w:val="0"/>
          <w:bCs w:val="0"/>
          <w:sz w:val="21"/>
          <w:szCs w:val="21"/>
        </w:rPr>
        <w:t>图2- 2</w:t>
      </w:r>
      <w:r>
        <w:rPr>
          <w:rStyle w:val="34"/>
          <w:rFonts w:hint="eastAsia" w:ascii="宋体" w:hAnsi="宋体" w:cs="宋体"/>
          <w:b w:val="0"/>
          <w:bCs w:val="0"/>
          <w:color w:val="000000"/>
          <w:kern w:val="0"/>
          <w:szCs w:val="24"/>
          <w:lang w:eastAsia="zh-CN" w:bidi="ar"/>
        </w:rPr>
        <w:fldChar w:fldCharType="end"/>
      </w:r>
      <w:r>
        <w:rPr>
          <w:rFonts w:hint="eastAsia" w:ascii="宋体" w:hAnsi="宋体" w:cs="宋体"/>
          <w:bCs/>
          <w:color w:val="000000"/>
          <w:kern w:val="0"/>
          <w:szCs w:val="24"/>
          <w:lang w:bidi="ar"/>
        </w:rPr>
        <w:t>。因此相比于图像域去噪，在投影域提前做去噪预处理，能从源头抑制噪声、保留解剖细节，是提升低剂量 CT 重建质量的关键环节。</w:t>
      </w:r>
    </w:p>
    <w:p w14:paraId="4BD1A8C0">
      <w:pPr>
        <w:widowControl/>
        <w:jc w:val="center"/>
        <w:rPr>
          <w:rFonts w:ascii="宋体" w:hAnsi="宋体" w:cs="宋体"/>
          <w:kern w:val="0"/>
          <w:szCs w:val="24"/>
          <w:lang w:bidi="ar"/>
        </w:rPr>
      </w:pPr>
      <w:r>
        <w:rPr>
          <w:rFonts w:ascii="宋体" w:hAnsi="宋体" w:cs="宋体"/>
          <w:kern w:val="0"/>
          <w:szCs w:val="24"/>
          <w:lang w:bidi="ar"/>
        </w:rPr>
        <w:drawing>
          <wp:inline distT="0" distB="0" distL="114300" distR="114300">
            <wp:extent cx="1318260" cy="1978025"/>
            <wp:effectExtent l="0" t="0" r="7620" b="317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1"/>
                    <a:stretch>
                      <a:fillRect/>
                    </a:stretch>
                  </pic:blipFill>
                  <pic:spPr>
                    <a:xfrm>
                      <a:off x="0" y="0"/>
                      <a:ext cx="1318260" cy="1978025"/>
                    </a:xfrm>
                    <a:prstGeom prst="rect">
                      <a:avLst/>
                    </a:prstGeom>
                    <a:noFill/>
                    <a:ln w="9525">
                      <a:noFill/>
                    </a:ln>
                  </pic:spPr>
                </pic:pic>
              </a:graphicData>
            </a:graphic>
          </wp:inline>
        </w:drawing>
      </w:r>
    </w:p>
    <w:p w14:paraId="1F6ADB77">
      <w:pPr>
        <w:pStyle w:val="6"/>
        <w:widowControl/>
        <w:jc w:val="center"/>
        <w:rPr>
          <w:rFonts w:hint="eastAsia" w:ascii="宋体" w:hAnsi="宋体" w:eastAsia="宋体" w:cs="宋体"/>
          <w:b/>
          <w:bCs/>
          <w:kern w:val="0"/>
          <w:sz w:val="21"/>
          <w:szCs w:val="21"/>
          <w:lang w:eastAsia="zh-CN" w:bidi="ar"/>
        </w:rPr>
      </w:pPr>
      <w:bookmarkStart w:id="186" w:name="_Ref29514"/>
      <w:r>
        <w:rPr>
          <w:rFonts w:hint="eastAsia" w:ascii="宋体" w:hAnsi="宋体" w:eastAsia="宋体" w:cs="宋体"/>
          <w:b/>
          <w:bCs/>
          <w:sz w:val="21"/>
          <w:szCs w:val="21"/>
        </w:rPr>
        <w:t xml:space="preserve">图2-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图2-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186"/>
      <w:r>
        <w:rPr>
          <w:rFonts w:hint="eastAsia" w:ascii="宋体" w:hAnsi="宋体" w:eastAsia="宋体" w:cs="宋体"/>
          <w:b/>
          <w:bCs/>
          <w:sz w:val="21"/>
          <w:szCs w:val="21"/>
          <w:lang w:eastAsia="zh-CN"/>
        </w:rPr>
        <w:t>投影采集与正弦图生成示意图</w:t>
      </w:r>
    </w:p>
    <w:p w14:paraId="50C8CEC9">
      <w:pPr>
        <w:widowControl/>
        <w:jc w:val="center"/>
        <w:rPr>
          <w:rFonts w:ascii="宋体" w:hAnsi="宋体" w:cs="宋体"/>
          <w:kern w:val="0"/>
          <w:szCs w:val="24"/>
          <w:lang w:bidi="ar"/>
        </w:rPr>
      </w:pPr>
      <w:r>
        <w:rPr>
          <w:rFonts w:ascii="宋体" w:hAnsi="宋体" w:cs="宋体"/>
          <w:kern w:val="0"/>
          <w:szCs w:val="24"/>
          <w:lang w:bidi="ar"/>
        </w:rPr>
        <w:drawing>
          <wp:inline distT="0" distB="0" distL="114300" distR="114300">
            <wp:extent cx="1341755" cy="2012950"/>
            <wp:effectExtent l="0" t="0" r="14605" b="13970"/>
            <wp:docPr id="2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6"/>
                    <pic:cNvPicPr>
                      <a:picLocks noChangeAspect="1"/>
                    </pic:cNvPicPr>
                  </pic:nvPicPr>
                  <pic:blipFill>
                    <a:blip r:embed="rId12"/>
                    <a:stretch>
                      <a:fillRect/>
                    </a:stretch>
                  </pic:blipFill>
                  <pic:spPr>
                    <a:xfrm>
                      <a:off x="0" y="0"/>
                      <a:ext cx="1341755" cy="2012950"/>
                    </a:xfrm>
                    <a:prstGeom prst="rect">
                      <a:avLst/>
                    </a:prstGeom>
                    <a:noFill/>
                    <a:ln w="9525">
                      <a:noFill/>
                    </a:ln>
                  </pic:spPr>
                </pic:pic>
              </a:graphicData>
            </a:graphic>
          </wp:inline>
        </w:drawing>
      </w:r>
    </w:p>
    <w:p w14:paraId="2F80EA48">
      <w:pPr>
        <w:pStyle w:val="6"/>
        <w:widowControl/>
        <w:jc w:val="center"/>
        <w:rPr>
          <w:rFonts w:hint="eastAsia" w:ascii="宋体" w:hAnsi="宋体" w:eastAsia="宋体" w:cs="宋体"/>
          <w:b/>
          <w:bCs/>
          <w:kern w:val="0"/>
          <w:sz w:val="21"/>
          <w:szCs w:val="21"/>
          <w:lang w:eastAsia="zh-CN" w:bidi="ar"/>
        </w:rPr>
      </w:pPr>
      <w:bookmarkStart w:id="187" w:name="_Ref29664"/>
      <w:r>
        <w:rPr>
          <w:rFonts w:hint="eastAsia" w:ascii="宋体" w:hAnsi="宋体" w:eastAsia="宋体" w:cs="宋体"/>
          <w:b/>
          <w:bCs/>
          <w:sz w:val="21"/>
          <w:szCs w:val="21"/>
        </w:rPr>
        <w:t xml:space="preserve">图2-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图2-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w:t>
      </w:r>
      <w:r>
        <w:rPr>
          <w:rFonts w:hint="eastAsia" w:ascii="宋体" w:hAnsi="宋体" w:eastAsia="宋体" w:cs="宋体"/>
          <w:b/>
          <w:bCs/>
          <w:sz w:val="21"/>
          <w:szCs w:val="21"/>
        </w:rPr>
        <w:fldChar w:fldCharType="end"/>
      </w:r>
      <w:bookmarkEnd w:id="187"/>
      <w:r>
        <w:rPr>
          <w:rFonts w:hint="eastAsia" w:ascii="宋体" w:hAnsi="宋体" w:eastAsia="宋体" w:cs="宋体"/>
          <w:b/>
          <w:bCs/>
          <w:sz w:val="21"/>
          <w:szCs w:val="21"/>
          <w:lang w:eastAsia="zh-CN"/>
        </w:rPr>
        <w:t>CT 投影采集与正弦图生成原理示意图</w:t>
      </w:r>
    </w:p>
    <w:bookmarkEnd w:id="183"/>
    <w:p w14:paraId="3EFDCA0B">
      <w:pPr>
        <w:pStyle w:val="3"/>
      </w:pPr>
      <w:bookmarkStart w:id="188" w:name="_Toc13828"/>
      <w:bookmarkStart w:id="189" w:name="_Toc18659"/>
      <w:bookmarkStart w:id="190" w:name="_Toc14890"/>
      <w:bookmarkStart w:id="191" w:name="_Toc28224"/>
      <w:bookmarkStart w:id="192" w:name="_Toc8556"/>
      <w:bookmarkStart w:id="193" w:name="_Toc25503"/>
      <w:bookmarkStart w:id="194" w:name="_Toc14161"/>
      <w:bookmarkStart w:id="195" w:name="_Toc1863"/>
      <w:bookmarkStart w:id="196" w:name="_Toc11170"/>
      <w:bookmarkStart w:id="197" w:name="_Toc24701"/>
      <w:bookmarkStart w:id="198" w:name="_Toc2734"/>
      <w:bookmarkStart w:id="199" w:name="_Toc14211"/>
      <w:bookmarkStart w:id="200" w:name="_Toc4957"/>
      <w:bookmarkStart w:id="201" w:name="_Toc8071"/>
      <w:bookmarkStart w:id="202" w:name="_Toc31337"/>
      <w:bookmarkStart w:id="203" w:name="_Toc30830"/>
      <w:r>
        <w:rPr>
          <w:rFonts w:hint="eastAsia"/>
        </w:rPr>
        <w:t>2.3 低剂量 CT 基本概念与临床优势</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293CCB22">
      <w:pPr>
        <w:widowControl/>
        <w:jc w:val="left"/>
        <w:rPr>
          <w:rFonts w:hint="eastAsia" w:ascii="宋体" w:hAnsi="宋体" w:cs="宋体"/>
          <w:color w:val="000000"/>
          <w:szCs w:val="24"/>
        </w:rPr>
      </w:pPr>
      <w:r>
        <w:rPr>
          <w:rFonts w:hint="eastAsia" w:ascii="宋体" w:hAnsi="宋体" w:cs="宋体"/>
          <w:color w:val="000000"/>
          <w:kern w:val="0"/>
          <w:szCs w:val="24"/>
          <w:lang w:bidi="ar"/>
        </w:rPr>
        <w:t>常规 CT 扫描辐射剂量偏高，长期多次检查会增加受检者辐射致癌风险。</w:t>
      </w:r>
      <w:r>
        <w:rPr>
          <w:rStyle w:val="34"/>
          <w:rFonts w:hint="eastAsia" w:ascii="宋体" w:hAnsi="宋体" w:cs="宋体"/>
          <w:b w:val="0"/>
          <w:bCs w:val="0"/>
          <w:color w:val="000000"/>
          <w:kern w:val="0"/>
          <w:szCs w:val="24"/>
          <w:lang w:bidi="ar"/>
        </w:rPr>
        <w:t>低剂量 CT（LDCT）</w:t>
      </w:r>
      <w:r>
        <w:rPr>
          <w:rFonts w:hint="eastAsia" w:ascii="宋体" w:hAnsi="宋体" w:cs="宋体"/>
          <w:color w:val="000000"/>
          <w:kern w:val="0"/>
          <w:szCs w:val="24"/>
          <w:lang w:bidi="ar"/>
        </w:rPr>
        <w:t xml:space="preserve"> 通过降低管电流、适当调整管电压等方式，在保证基本诊断能力前提下大幅减少 X 射线辐射输出，将有效辐射剂量由常规 10–20 mSv 降至 1–5 mSv。</w:t>
      </w:r>
    </w:p>
    <w:p w14:paraId="1C49A79A">
      <w:pPr>
        <w:widowControl/>
        <w:jc w:val="left"/>
        <w:rPr>
          <w:rFonts w:hint="eastAsia" w:ascii="宋体" w:hAnsi="宋体" w:cs="宋体"/>
          <w:color w:val="000000"/>
          <w:szCs w:val="24"/>
        </w:rPr>
      </w:pPr>
      <w:r>
        <w:rPr>
          <w:rFonts w:hint="eastAsia" w:ascii="宋体" w:hAnsi="宋体" w:cs="宋体"/>
          <w:color w:val="000000"/>
          <w:kern w:val="0"/>
          <w:szCs w:val="24"/>
          <w:lang w:bidi="ar"/>
        </w:rPr>
        <w:t>低剂量 CT 临床优势突出：适用于肺癌人群大规模筛查、体检常规扫描、儿童及敏感人群重复检查等场景；可显著降低累积辐射暴露，符合医学影像</w:t>
      </w:r>
      <w:r>
        <w:rPr>
          <w:rStyle w:val="34"/>
          <w:rFonts w:hint="eastAsia" w:ascii="宋体" w:hAnsi="宋体" w:cs="宋体"/>
          <w:b w:val="0"/>
          <w:bCs w:val="0"/>
          <w:color w:val="000000"/>
          <w:kern w:val="0"/>
          <w:szCs w:val="24"/>
          <w:lang w:bidi="ar"/>
        </w:rPr>
        <w:t>低剂量优先</w:t>
      </w:r>
      <w:r>
        <w:rPr>
          <w:rFonts w:hint="eastAsia" w:ascii="宋体" w:hAnsi="宋体" w:cs="宋体"/>
          <w:color w:val="000000"/>
          <w:kern w:val="0"/>
          <w:szCs w:val="24"/>
          <w:lang w:bidi="ar"/>
        </w:rPr>
        <w:t>的发展理念。但短板十分明显：辐射剂量降低→探测器接收光子数锐减→量子统计涨落加剧→投影域噪声急剧上升，进而造成重建图像模糊、边缘钝化、细小病灶难以识别，限制临床诊断价值。</w:t>
      </w:r>
    </w:p>
    <w:bookmarkEnd w:id="184"/>
    <w:bookmarkEnd w:id="185"/>
    <w:bookmarkEnd w:id="203"/>
    <w:p w14:paraId="50AF8707">
      <w:pPr>
        <w:pStyle w:val="3"/>
      </w:pPr>
      <w:bookmarkStart w:id="204" w:name="_Toc15819"/>
      <w:bookmarkStart w:id="205" w:name="_Toc17408"/>
      <w:bookmarkStart w:id="206" w:name="_Toc25459"/>
      <w:bookmarkStart w:id="207" w:name="_Toc906"/>
      <w:bookmarkStart w:id="208" w:name="_Toc14982"/>
      <w:bookmarkStart w:id="209" w:name="_Toc20443"/>
      <w:bookmarkStart w:id="210" w:name="_Toc25017"/>
      <w:bookmarkStart w:id="211" w:name="_Toc15002"/>
      <w:bookmarkStart w:id="212" w:name="_Toc27755"/>
      <w:bookmarkStart w:id="213" w:name="_Toc6825"/>
      <w:bookmarkStart w:id="214" w:name="_Toc17420"/>
      <w:bookmarkStart w:id="215" w:name="_Toc18011"/>
      <w:bookmarkStart w:id="216" w:name="_Toc2021"/>
      <w:bookmarkStart w:id="217" w:name="_Toc22775"/>
      <w:bookmarkStart w:id="218" w:name="_Toc24111"/>
      <w:bookmarkStart w:id="219" w:name="_Toc27949"/>
      <w:bookmarkStart w:id="220" w:name="_Toc8892"/>
      <w:bookmarkStart w:id="221" w:name="_Toc31087"/>
      <w:r>
        <w:rPr>
          <w:rFonts w:hint="eastAsia"/>
        </w:rPr>
        <w:t>2.4 低剂量 CT 投影域噪声生成机制与特性分析</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78DBE757">
      <w:pPr>
        <w:pStyle w:val="8"/>
        <w:spacing w:before="20" w:after="20"/>
        <w:rPr>
          <w:rFonts w:hint="eastAsia" w:ascii="宋体" w:hAnsi="宋体" w:cs="宋体"/>
          <w:sz w:val="24"/>
          <w:szCs w:val="24"/>
        </w:rPr>
      </w:pPr>
      <w:r>
        <w:rPr>
          <w:rFonts w:hint="eastAsia" w:ascii="宋体" w:hAnsi="宋体" w:cs="宋体"/>
          <w:sz w:val="24"/>
          <w:szCs w:val="24"/>
        </w:rPr>
        <w:t>低剂量CT投影域噪声的生成与扫描过程中的物理机制直接相关，主要包括量子噪声与电子噪声两类核心来源。量子噪声源于X射线光子的离散性，当扫描剂量降低时，探测器接收到的光子数减少，光子统计涨落加剧，其分布特性符合泊松分布；电子噪声则由探测器电路系统的热噪声、读出噪声等引起，通常呈现高斯分布特征。通过对临床低剂量CT投影数据的实验分析，当管电流从常规的200mA降至50mA时，投影域量子噪声的方差可增加约3.2倍，而电子噪声的方差基本维持在0.8×10⁻⁴的稳定水平</w:t>
      </w:r>
      <w:r>
        <w:rPr>
          <w:rFonts w:hint="eastAsia" w:ascii="宋体" w:hAnsi="宋体" w:cs="宋体"/>
          <w:sz w:val="24"/>
          <w:szCs w:val="24"/>
          <w:vertAlign w:val="superscript"/>
        </w:rPr>
        <w:t>[5]</w:t>
      </w:r>
      <w:r>
        <w:rPr>
          <w:rFonts w:hint="eastAsia" w:ascii="宋体" w:hAnsi="宋体" w:cs="宋体"/>
          <w:sz w:val="24"/>
          <w:szCs w:val="24"/>
        </w:rPr>
        <w:t>。</w:t>
      </w:r>
    </w:p>
    <w:p w14:paraId="2746DF9B">
      <w:pPr>
        <w:pStyle w:val="8"/>
        <w:spacing w:before="20" w:after="20"/>
        <w:rPr>
          <w:rFonts w:hint="eastAsia" w:ascii="宋体" w:hAnsi="宋体" w:cs="宋体"/>
          <w:sz w:val="24"/>
          <w:szCs w:val="24"/>
        </w:rPr>
      </w:pPr>
      <w:r>
        <w:rPr>
          <w:rFonts w:hint="eastAsia" w:ascii="宋体" w:hAnsi="宋体" w:cs="宋体"/>
          <w:sz w:val="24"/>
          <w:szCs w:val="24"/>
        </w:rPr>
        <w:t>投影域噪声的统计分布特性是去噪算法设计的关键理论依据。实验结果表明，在低剂量条件下（管电压120kV、管电流50mA），投影数据的噪声分布呈现泊松-高斯混合特征：低信号区域以量子噪声主导（泊松分布），高信号区域则以电子噪声为主（高斯分布）。这种分布特性的差异要求去噪算法需具备自适应处理能力，针对不同信号强度区域的噪声类型进行差异化抑制。</w:t>
      </w:r>
    </w:p>
    <w:p w14:paraId="64FCFF78">
      <w:pPr>
        <w:pStyle w:val="8"/>
        <w:spacing w:before="20" w:after="20"/>
        <w:rPr>
          <w:rFonts w:hint="eastAsia" w:ascii="宋体" w:hAnsi="宋体" w:cs="宋体"/>
          <w:sz w:val="24"/>
          <w:szCs w:val="24"/>
        </w:rPr>
      </w:pPr>
      <w:r>
        <w:rPr>
          <w:rFonts w:hint="eastAsia" w:ascii="宋体" w:hAnsi="宋体" w:cs="宋体"/>
          <w:sz w:val="24"/>
          <w:szCs w:val="24"/>
        </w:rPr>
        <w:t>低剂量CT投影域噪声的时空特性进一步影响去噪算法的设计方向。时间维度上，相邻投影角度的噪声具有一定的相关性，而空间维度上，噪声在探测器阵列的不同通道间呈现弱相关性。通过对300组低剂量胸部CT投影数据的分析，相邻投影角度的噪声相关系数约为0.62，而同一投影内相邻探测器通道的噪声相关系数仅为0.28。这一特性提示去噪算法可结合时空域信息，提升噪声抑制的准确性与效率。</w:t>
      </w:r>
    </w:p>
    <w:p w14:paraId="58E18758">
      <w:pPr>
        <w:pStyle w:val="8"/>
        <w:spacing w:before="20" w:after="20"/>
        <w:rPr>
          <w:rFonts w:hint="eastAsia" w:ascii="宋体" w:hAnsi="宋体" w:cs="宋体"/>
          <w:sz w:val="24"/>
          <w:szCs w:val="24"/>
        </w:rPr>
      </w:pPr>
      <w:r>
        <w:rPr>
          <w:rFonts w:hint="eastAsia" w:ascii="宋体" w:hAnsi="宋体" w:cs="宋体"/>
          <w:sz w:val="24"/>
          <w:szCs w:val="24"/>
        </w:rPr>
        <w:t>投影域噪声的量化分析为去噪算法的性能验证提供了客观标准。基于噪声功率谱（NPS）的测量结果显示，低剂量CT投影域噪声的NPS峰值频率约为0.15 cycles/pixel，且随着剂量降低，NPS曲线整体上移，表明噪声能量分布范围扩大。这一量化特征不仅明确了噪声的频率分布规律，也为后续自监督去噪模型的损失函数设计与性能评估提供了重要依据。</w:t>
      </w:r>
    </w:p>
    <w:p w14:paraId="1A2C1880">
      <w:pPr>
        <w:pStyle w:val="8"/>
        <w:spacing w:before="20" w:after="20"/>
        <w:ind w:firstLine="320"/>
      </w:pPr>
      <w:r>
        <w:drawing>
          <wp:inline distT="0" distB="0" distL="114300" distR="114300">
            <wp:extent cx="4526915" cy="2811145"/>
            <wp:effectExtent l="0" t="0" r="1460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rcRect b="9252"/>
                    <a:stretch>
                      <a:fillRect/>
                    </a:stretch>
                  </pic:blipFill>
                  <pic:spPr>
                    <a:xfrm>
                      <a:off x="0" y="0"/>
                      <a:ext cx="4526915" cy="2811145"/>
                    </a:xfrm>
                    <a:prstGeom prst="rect">
                      <a:avLst/>
                    </a:prstGeom>
                    <a:noFill/>
                    <a:ln>
                      <a:noFill/>
                    </a:ln>
                  </pic:spPr>
                </pic:pic>
              </a:graphicData>
            </a:graphic>
          </wp:inline>
        </w:drawing>
      </w:r>
    </w:p>
    <w:p w14:paraId="78490492">
      <w:pPr>
        <w:pStyle w:val="6"/>
        <w:spacing w:before="20" w:after="20"/>
        <w:ind w:firstLine="320"/>
        <w:jc w:val="cente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图2-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图2-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Clock体膜图像局部放大图</w:t>
      </w:r>
    </w:p>
    <w:p w14:paraId="407AA61E">
      <w:pPr>
        <w:pStyle w:val="8"/>
        <w:spacing w:before="20" w:after="20"/>
        <w:ind w:firstLine="320"/>
      </w:pPr>
      <w:r>
        <w:drawing>
          <wp:inline distT="0" distB="0" distL="114300" distR="114300">
            <wp:extent cx="5756275" cy="32467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rcRect b="7205"/>
                    <a:stretch>
                      <a:fillRect/>
                    </a:stretch>
                  </pic:blipFill>
                  <pic:spPr>
                    <a:xfrm>
                      <a:off x="0" y="0"/>
                      <a:ext cx="5756275" cy="3246755"/>
                    </a:xfrm>
                    <a:prstGeom prst="rect">
                      <a:avLst/>
                    </a:prstGeom>
                    <a:noFill/>
                    <a:ln>
                      <a:noFill/>
                    </a:ln>
                  </pic:spPr>
                </pic:pic>
              </a:graphicData>
            </a:graphic>
          </wp:inline>
        </w:drawing>
      </w:r>
    </w:p>
    <w:p w14:paraId="675FD46F">
      <w:pPr>
        <w:pStyle w:val="6"/>
        <w:spacing w:before="20" w:after="20"/>
        <w:ind w:firstLine="320"/>
        <w:jc w:val="cente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图2-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图2-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4</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Clock体膜图像的线刨面图</w:t>
      </w:r>
    </w:p>
    <w:p w14:paraId="3C43B4C0">
      <w:pPr>
        <w:pStyle w:val="3"/>
      </w:pPr>
      <w:bookmarkStart w:id="222" w:name="_Toc5063"/>
      <w:bookmarkStart w:id="223" w:name="_Toc5989"/>
      <w:bookmarkStart w:id="224" w:name="_Toc85"/>
      <w:bookmarkStart w:id="225" w:name="_Toc6786"/>
      <w:bookmarkStart w:id="226" w:name="_Toc20564"/>
      <w:bookmarkStart w:id="227" w:name="_Toc15284"/>
      <w:bookmarkStart w:id="228" w:name="_Toc20646"/>
      <w:bookmarkStart w:id="229" w:name="_Toc9546"/>
      <w:bookmarkStart w:id="230" w:name="_Toc27333"/>
      <w:bookmarkStart w:id="231" w:name="_Toc6700"/>
      <w:bookmarkStart w:id="232" w:name="_Toc24955"/>
      <w:bookmarkStart w:id="233" w:name="_Toc31634"/>
      <w:bookmarkStart w:id="234" w:name="_Toc12095"/>
      <w:bookmarkStart w:id="235" w:name="_Toc10978"/>
      <w:bookmarkStart w:id="236" w:name="_Toc32736"/>
      <w:r>
        <w:rPr>
          <w:rFonts w:hint="eastAsia"/>
        </w:rPr>
        <w:t>2.5 自监督学习核心方法与适配性分析</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0C79FA27">
      <w:pPr>
        <w:pStyle w:val="8"/>
        <w:spacing w:before="20" w:after="20"/>
        <w:rPr>
          <w:rFonts w:hint="eastAsia" w:ascii="宋体" w:hAnsi="宋体" w:cs="宋体"/>
          <w:sz w:val="24"/>
          <w:szCs w:val="24"/>
        </w:rPr>
      </w:pPr>
      <w:r>
        <w:rPr>
          <w:rFonts w:hint="eastAsia" w:ascii="宋体" w:hAnsi="宋体" w:cs="宋体"/>
          <w:sz w:val="24"/>
          <w:szCs w:val="24"/>
        </w:rPr>
        <w:t>自监督学习作为无标注数据场景下的关键学习范式，其核心方法主要包括对比学习、掩码重建与自蒸馏三大典型框架。对比学习通过构建样本间的相似性与差异性约束，在特征空间中学习数据的内在结构表示；掩码重建则通过随机遮蔽输入数据的部分区域，迫使模型基于上下文信息恢复被遮蔽内容以捕获数据的全局依赖；自蒸馏则利用模型自身的预测输出作为监督信号，实现知识的自我传递与提炼。低剂量CT投影域数据通常缺乏大规模标注样本，而自监督学习无需人工标注即可从数据本身挖掘监督信息的特性，为其在该领域的应用提供了基础条件</w:t>
      </w:r>
      <w:r>
        <w:rPr>
          <w:rFonts w:hint="eastAsia" w:ascii="宋体" w:hAnsi="宋体" w:cs="宋体"/>
          <w:sz w:val="24"/>
          <w:szCs w:val="24"/>
          <w:lang w:eastAsia="zh-CN"/>
        </w:rPr>
        <w:t>。</w:t>
      </w:r>
    </w:p>
    <w:p w14:paraId="3E7E59D3">
      <w:pPr>
        <w:pStyle w:val="8"/>
        <w:spacing w:before="20" w:after="20"/>
        <w:rPr>
          <w:rFonts w:hint="eastAsia" w:ascii="宋体" w:hAnsi="宋体" w:cs="宋体"/>
          <w:sz w:val="24"/>
          <w:szCs w:val="24"/>
        </w:rPr>
      </w:pPr>
      <w:r>
        <w:rPr>
          <w:rFonts w:hint="eastAsia" w:ascii="宋体" w:hAnsi="宋体" w:cs="宋体"/>
          <w:sz w:val="24"/>
          <w:szCs w:val="24"/>
        </w:rPr>
        <w:t>自监督学习在无标注投影域数据下的学习机制可概括为“数据驱动的自我监督信号构建”。以对比学习为例，针对低剂量CT投影域数据，可通过对同一样本施加不同噪声扰动生成正样本对，同时随机选取其他样本作为负样本，通过最大化正样本对的特征相似度、最小化负样本对的相似度，引导模型学习噪声不变的投影域结构特征。掩码重建机制则可将投影域数据划分为多个子区域，随机掩码其中10%-30%的区域后，让模型基于未掩码区域的信息重建掩码区域的投影值，从而学习投影域数据的局部与全局关联。</w:t>
      </w:r>
    </w:p>
    <w:p w14:paraId="1048BB36">
      <w:pPr>
        <w:pStyle w:val="8"/>
        <w:spacing w:before="20" w:after="20"/>
        <w:rPr>
          <w:rFonts w:hint="eastAsia" w:ascii="宋体" w:hAnsi="宋体" w:cs="宋体"/>
          <w:sz w:val="24"/>
          <w:szCs w:val="24"/>
        </w:rPr>
      </w:pPr>
      <w:r>
        <w:rPr>
          <w:rFonts w:hint="eastAsia" w:ascii="宋体" w:hAnsi="宋体" w:cs="宋体"/>
          <w:sz w:val="24"/>
          <w:szCs w:val="24"/>
        </w:rPr>
        <w:t>自监督学习适配低剂量CT去噪任务的技术可行性体现在两个层面：一是数据适配性，低剂量CT投影域数据具有丰富的结构信息，自监督学习可通过设计针对性的预训练任务挖掘这些内在结构，为去噪任务提供有效的特征表示；二是任务适配性，低剂量CT去噪的核心是从含噪投影中分离噪声与有效信号，而自监督学习通过预训练获得的特征提取能力，可直接迁移至去噪任务中，无需依赖大量标注的“含噪-干净”投影对。对比学习与掩码重建的组合策略，还可进一步提升模型对投影域噪声的鲁棒性，为后续的高质量CT重建奠定基础。</w:t>
      </w:r>
    </w:p>
    <w:p w14:paraId="5142CC00">
      <w:pPr>
        <w:pStyle w:val="3"/>
      </w:pPr>
      <w:bookmarkStart w:id="237" w:name="_Toc2540"/>
      <w:bookmarkStart w:id="238" w:name="_Toc11658"/>
      <w:bookmarkStart w:id="239" w:name="_Toc11953"/>
      <w:bookmarkStart w:id="240" w:name="_Toc8018"/>
      <w:bookmarkStart w:id="241" w:name="_Toc21496"/>
      <w:bookmarkStart w:id="242" w:name="_Toc2537"/>
      <w:bookmarkStart w:id="243" w:name="_Toc15395"/>
      <w:bookmarkStart w:id="244" w:name="_Toc20258"/>
      <w:bookmarkStart w:id="245" w:name="_Toc27583"/>
      <w:bookmarkStart w:id="246" w:name="_Toc1726"/>
      <w:bookmarkStart w:id="247" w:name="_Toc9726"/>
      <w:bookmarkStart w:id="248" w:name="_Toc9386"/>
      <w:bookmarkStart w:id="249" w:name="_Toc10006"/>
      <w:bookmarkStart w:id="250" w:name="_Toc4749"/>
      <w:bookmarkStart w:id="251" w:name="_Toc17483"/>
      <w:r>
        <w:rPr>
          <w:rFonts w:hint="eastAsia"/>
        </w:rPr>
        <w:t>2.6 传统低剂量 CT 去噪与重建方法概述</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0A98FD7C">
      <w:pPr>
        <w:widowControl/>
        <w:jc w:val="left"/>
        <w:rPr>
          <w:rFonts w:hint="eastAsia" w:ascii="宋体" w:hAnsi="宋体" w:cs="宋体"/>
          <w:color w:val="000000"/>
          <w:szCs w:val="24"/>
        </w:rPr>
      </w:pPr>
      <w:r>
        <w:rPr>
          <w:rFonts w:hint="eastAsia" w:ascii="宋体" w:hAnsi="宋体" w:cs="宋体"/>
          <w:color w:val="000000"/>
          <w:kern w:val="0"/>
          <w:szCs w:val="24"/>
          <w:lang w:bidi="ar"/>
        </w:rPr>
        <w:t>在深度学习普及之前，低剂量 CT 去噪与图像重建主要依赖传统信号处理与迭代优化方法，可分为</w:t>
      </w:r>
      <w:r>
        <w:rPr>
          <w:rStyle w:val="34"/>
          <w:rFonts w:hint="eastAsia" w:ascii="宋体" w:hAnsi="宋体" w:cs="宋体"/>
          <w:b w:val="0"/>
          <w:bCs w:val="0"/>
          <w:color w:val="000000"/>
          <w:kern w:val="0"/>
          <w:szCs w:val="24"/>
          <w:lang w:bidi="ar"/>
        </w:rPr>
        <w:t>投影域滤波去噪、图像域后处理去噪、模型迭代重建</w:t>
      </w:r>
      <w:r>
        <w:rPr>
          <w:rFonts w:hint="eastAsia" w:ascii="宋体" w:hAnsi="宋体" w:cs="宋体"/>
          <w:color w:val="000000"/>
          <w:kern w:val="0"/>
          <w:szCs w:val="24"/>
          <w:lang w:bidi="ar"/>
        </w:rPr>
        <w:t>三大类。</w:t>
      </w:r>
    </w:p>
    <w:p w14:paraId="2A413D96">
      <w:pPr>
        <w:widowControl/>
        <w:jc w:val="left"/>
        <w:rPr>
          <w:rFonts w:hint="eastAsia" w:ascii="宋体" w:hAnsi="宋体" w:cs="宋体"/>
          <w:color w:val="000000"/>
          <w:szCs w:val="24"/>
        </w:rPr>
      </w:pPr>
      <w:r>
        <w:rPr>
          <w:rFonts w:hint="eastAsia" w:ascii="宋体" w:hAnsi="宋体" w:cs="宋体"/>
          <w:color w:val="000000"/>
          <w:kern w:val="0"/>
          <w:szCs w:val="24"/>
          <w:lang w:bidi="ar"/>
        </w:rPr>
        <w:t>投影域传统去噪方法以线性与非线性滤波为主，包括高斯滤波、中值滤波、维纳滤波、自适应均值滤波等。这类方法原理简单、计算速度快，适合实时临床处理，但仅依靠局部邻域平滑抑制噪声，无法区分噪声与解剖边缘细节，容易造成纹理模糊、细小结节边缘弱化，在极低剂量 CT 场景下噪声残留严重。</w:t>
      </w:r>
    </w:p>
    <w:p w14:paraId="23E47E88">
      <w:pPr>
        <w:widowControl/>
        <w:jc w:val="left"/>
        <w:rPr>
          <w:rFonts w:hint="eastAsia" w:ascii="宋体" w:hAnsi="宋体" w:cs="宋体"/>
          <w:color w:val="000000"/>
          <w:szCs w:val="24"/>
        </w:rPr>
      </w:pPr>
      <w:r>
        <w:rPr>
          <w:rFonts w:hint="eastAsia" w:ascii="宋体" w:hAnsi="宋体" w:cs="宋体"/>
          <w:color w:val="000000"/>
          <w:kern w:val="0"/>
          <w:szCs w:val="24"/>
          <w:lang w:bidi="ar"/>
        </w:rPr>
        <w:t>图像域后处理方法是在 CT 重建完成后对图像做平滑、增强与去噪，常用非局部均值滤波、双边滤波、小波域阈值去噪等。其优势是无需改动投影原始数据，兼容性强，但缺陷在于投影域噪声已通过重建算法扩散至整幅图像，后期去噪难以从根源消除伪影，容易出现过度平滑或边缘失真问题。</w:t>
      </w:r>
    </w:p>
    <w:p w14:paraId="0FD6F57C">
      <w:pPr>
        <w:widowControl/>
        <w:jc w:val="left"/>
        <w:rPr>
          <w:rFonts w:hint="eastAsia" w:ascii="宋体" w:hAnsi="宋体" w:cs="宋体"/>
          <w:color w:val="000000"/>
          <w:szCs w:val="24"/>
        </w:rPr>
      </w:pPr>
      <w:r>
        <w:rPr>
          <w:rFonts w:hint="eastAsia" w:ascii="宋体" w:hAnsi="宋体" w:cs="宋体"/>
          <w:color w:val="000000"/>
          <w:kern w:val="0"/>
          <w:szCs w:val="24"/>
          <w:lang w:bidi="ar"/>
        </w:rPr>
        <w:t>迭代重建类方法以滤波反投影 FBP、总变分 TV 正则化、贝叶斯统计迭代重建为代表。FBP 算法计算效率高、临床普及度广，但低剂量下会显著放大投影噪声，生成条纹伪影与颗粒噪声；TV 正则化迭代重建能利用图像梯度先验约束抑制噪声、保留边缘，但依赖人工先验假设，对复杂组织结构适配性差，存在迭代收敛慢、参数调优复杂、容易产生块状伪影等问题。</w:t>
      </w:r>
    </w:p>
    <w:p w14:paraId="449453DD">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总体来看，传统方法普遍存在</w:t>
      </w:r>
      <w:r>
        <w:rPr>
          <w:rStyle w:val="34"/>
          <w:rFonts w:hint="eastAsia" w:ascii="宋体" w:hAnsi="宋体" w:cs="宋体"/>
          <w:b w:val="0"/>
          <w:bCs w:val="0"/>
          <w:color w:val="000000"/>
          <w:kern w:val="0"/>
          <w:szCs w:val="24"/>
          <w:lang w:bidi="ar"/>
        </w:rPr>
        <w:t>细节保留与噪声抑制难以兼顾、依赖人工先验、泛化能力弱</w:t>
      </w:r>
      <w:r>
        <w:rPr>
          <w:rFonts w:hint="eastAsia" w:ascii="宋体" w:hAnsi="宋体" w:cs="宋体"/>
          <w:color w:val="000000"/>
          <w:kern w:val="0"/>
          <w:szCs w:val="24"/>
          <w:lang w:bidi="ar"/>
        </w:rPr>
        <w:t>的短板，难以适配不同扫描剂量、不同机型、不同人体解剖结构的临床场景。这也凸显出自监督学习无需配对标注数据、数据驱动自适应学习噪声分布的独特优势，为低剂量 CT 投影域智能去噪与高质量重建提供了全新替代方案。</w:t>
      </w:r>
    </w:p>
    <w:p w14:paraId="09621982">
      <w:pPr>
        <w:ind w:firstLine="0" w:firstLineChars="0"/>
      </w:pPr>
      <w:r>
        <w:rPr>
          <w:rFonts w:hint="eastAsia"/>
        </w:rPr>
        <w:br w:type="page"/>
      </w:r>
    </w:p>
    <w:p w14:paraId="13794A00">
      <w:pPr>
        <w:pStyle w:val="2"/>
        <w:rPr>
          <w:rFonts w:hint="eastAsia" w:ascii="黑体" w:hAnsi="黑体" w:cs="黑体"/>
          <w:lang w:val="en-US"/>
        </w:rPr>
      </w:pPr>
      <w:bookmarkStart w:id="252" w:name="_Toc5443"/>
      <w:bookmarkStart w:id="253" w:name="_Toc12710"/>
      <w:bookmarkStart w:id="254" w:name="_Toc22286"/>
      <w:bookmarkStart w:id="255" w:name="_Toc14638"/>
      <w:bookmarkStart w:id="256" w:name="_Toc10358"/>
      <w:bookmarkStart w:id="257" w:name="_Toc6780"/>
      <w:bookmarkStart w:id="258" w:name="_Toc573"/>
      <w:bookmarkStart w:id="259" w:name="_Toc20842"/>
      <w:bookmarkStart w:id="260" w:name="_Toc25986"/>
      <w:bookmarkStart w:id="261" w:name="_Toc11805"/>
      <w:bookmarkStart w:id="262" w:name="_Toc12084"/>
      <w:bookmarkStart w:id="263" w:name="_Toc23294"/>
      <w:bookmarkStart w:id="264" w:name="_Toc21269"/>
      <w:bookmarkStart w:id="265" w:name="_Toc29237"/>
      <w:bookmarkStart w:id="266" w:name="_Toc11032"/>
      <w:r>
        <w:rPr>
          <w:rFonts w:hint="eastAsia" w:ascii="黑体" w:hAnsi="黑体" w:cs="黑体"/>
          <w:lang w:val="en-US"/>
        </w:rPr>
        <w:t xml:space="preserve">3 </w:t>
      </w:r>
      <w:bookmarkEnd w:id="219"/>
      <w:bookmarkEnd w:id="220"/>
      <w:bookmarkEnd w:id="221"/>
      <w:r>
        <w:rPr>
          <w:rFonts w:hint="eastAsia" w:ascii="黑体" w:hAnsi="黑体" w:cs="黑体"/>
        </w:rPr>
        <w:t>基于自监督学习的投影域去噪模型设计</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14:paraId="2F189733">
      <w:pPr>
        <w:pStyle w:val="3"/>
      </w:pPr>
      <w:bookmarkStart w:id="267" w:name="_Toc26573"/>
      <w:bookmarkStart w:id="268" w:name="_Toc366"/>
      <w:bookmarkStart w:id="269" w:name="_Toc2059"/>
      <w:bookmarkStart w:id="270" w:name="_Toc3949"/>
      <w:bookmarkStart w:id="271" w:name="_Toc25317"/>
      <w:bookmarkStart w:id="272" w:name="_Toc21257"/>
      <w:bookmarkStart w:id="273" w:name="_Toc27621"/>
      <w:bookmarkStart w:id="274" w:name="_Toc31967"/>
      <w:bookmarkStart w:id="275" w:name="_Toc20381"/>
      <w:bookmarkStart w:id="276" w:name="_Toc32463"/>
      <w:bookmarkStart w:id="277" w:name="_Toc27687"/>
      <w:bookmarkStart w:id="278" w:name="_Toc5712"/>
      <w:bookmarkStart w:id="279" w:name="_Toc20390"/>
      <w:bookmarkStart w:id="280" w:name="_Toc27157"/>
      <w:bookmarkStart w:id="281" w:name="_Toc26626"/>
      <w:r>
        <w:rPr>
          <w:rFonts w:hint="eastAsia"/>
        </w:rPr>
        <w:t>3.1 网络设计整体思路与设计原则</w:t>
      </w:r>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14:paraId="5D6D5804">
      <w:pPr>
        <w:widowControl/>
        <w:jc w:val="left"/>
        <w:rPr>
          <w:color w:val="000000"/>
          <w:szCs w:val="24"/>
        </w:rPr>
      </w:pPr>
      <w:r>
        <w:rPr>
          <w:rFonts w:ascii="宋体" w:hAnsi="宋体" w:cs="宋体"/>
          <w:color w:val="000000"/>
          <w:kern w:val="0"/>
          <w:szCs w:val="24"/>
          <w:lang w:bidi="ar"/>
        </w:rPr>
        <w:t>针对低剂量 CT 成像降低辐射剂量后，投影域易产生泊松–高斯混合噪声、临床难以获取大规模配对含噪 - 干净投影标签数据、投影域噪声会在重建过程中逐级放大等实际问题，本文以自监督学习为核心，开展投影域专用去噪网络设计。为兼顾噪声抑制能力、人体解剖细节保留以及 CT 投影本身的物理衰减约束，模型设计遵循明确的整体思路与三大核心设计原则。</w:t>
      </w:r>
    </w:p>
    <w:p w14:paraId="46D67F26">
      <w:pPr>
        <w:widowControl/>
        <w:jc w:val="left"/>
        <w:rPr>
          <w:color w:val="000000"/>
          <w:szCs w:val="24"/>
        </w:rPr>
      </w:pPr>
      <w:r>
        <w:rPr>
          <w:rFonts w:ascii="宋体" w:hAnsi="宋体" w:cs="宋体"/>
          <w:color w:val="000000"/>
          <w:kern w:val="0"/>
          <w:szCs w:val="24"/>
          <w:lang w:bidi="ar"/>
        </w:rPr>
        <w:t>第一，</w:t>
      </w:r>
      <w:r>
        <w:rPr>
          <w:rStyle w:val="34"/>
          <w:rFonts w:ascii="宋体" w:hAnsi="宋体" w:cs="宋体"/>
          <w:b w:val="0"/>
          <w:bCs w:val="0"/>
          <w:color w:val="000000"/>
          <w:kern w:val="0"/>
          <w:szCs w:val="24"/>
          <w:lang w:bidi="ar"/>
        </w:rPr>
        <w:t>投影域物理特性适配原则</w:t>
      </w:r>
      <w:r>
        <w:rPr>
          <w:rFonts w:ascii="宋体" w:hAnsi="宋体" w:cs="宋体"/>
          <w:color w:val="000000"/>
          <w:kern w:val="0"/>
          <w:szCs w:val="24"/>
          <w:lang w:bidi="ar"/>
        </w:rPr>
        <w:t>。CT 投影域以正弦图为载体，具备严格的 X 射线线性衰减规律、角度维度相关性与探测器通道空间相关性，和普通自然图像、CT 图像域数据存在本质区别。网络不能直接照搬图像域去噪模型结构，必须保证去噪后正弦曲线整体形态不变、投影统计特性稳定，避免过度平滑破坏物理投影关系，诱发后续重建伪影与结构畸变。</w:t>
      </w:r>
    </w:p>
    <w:p w14:paraId="2DD8ABA6">
      <w:pPr>
        <w:widowControl/>
        <w:jc w:val="left"/>
        <w:rPr>
          <w:color w:val="000000"/>
          <w:szCs w:val="24"/>
        </w:rPr>
      </w:pPr>
      <w:r>
        <w:rPr>
          <w:rFonts w:ascii="宋体" w:hAnsi="宋体" w:cs="宋体"/>
          <w:color w:val="000000"/>
          <w:kern w:val="0"/>
          <w:szCs w:val="24"/>
          <w:lang w:bidi="ar"/>
        </w:rPr>
        <w:t>第二，</w:t>
      </w:r>
      <w:r>
        <w:rPr>
          <w:rStyle w:val="34"/>
          <w:rFonts w:ascii="宋体" w:hAnsi="宋体" w:cs="宋体"/>
          <w:b w:val="0"/>
          <w:bCs w:val="0"/>
          <w:color w:val="000000"/>
          <w:kern w:val="0"/>
          <w:szCs w:val="24"/>
          <w:lang w:bidi="ar"/>
        </w:rPr>
        <w:t>无标注数据适配原则</w:t>
      </w:r>
      <w:r>
        <w:rPr>
          <w:rFonts w:ascii="宋体" w:hAnsi="宋体" w:cs="宋体"/>
          <w:color w:val="000000"/>
          <w:kern w:val="0"/>
          <w:szCs w:val="24"/>
          <w:lang w:bidi="ar"/>
        </w:rPr>
        <w:t>。临床常规剂量与低剂量 CT 配对标注数据稀缺、采集成本高、存在隐私与伦理限制，传统有监督深度学习高度依赖配对数据集，难以在临床落地应用。自监督学习可仅依靠医院日常采集的</w:t>
      </w:r>
      <w:r>
        <w:rPr>
          <w:rStyle w:val="34"/>
          <w:rFonts w:ascii="宋体" w:hAnsi="宋体" w:cs="宋体"/>
          <w:b w:val="0"/>
          <w:bCs w:val="0"/>
          <w:color w:val="000000"/>
          <w:kern w:val="0"/>
          <w:szCs w:val="24"/>
          <w:lang w:bidi="ar"/>
        </w:rPr>
        <w:t>无标注低剂量投影数据</w:t>
      </w:r>
      <w:r>
        <w:rPr>
          <w:rFonts w:ascii="宋体" w:hAnsi="宋体" w:cs="宋体"/>
          <w:color w:val="000000"/>
          <w:kern w:val="0"/>
          <w:szCs w:val="24"/>
          <w:lang w:bidi="ar"/>
        </w:rPr>
        <w:t>，通过构造自监督任务自主挖掘数据内在结构、学习噪声分布规律，大幅降低对人工标注样本的依赖，更适合医学影像场景。</w:t>
      </w:r>
    </w:p>
    <w:p w14:paraId="6C3DC6C9">
      <w:pPr>
        <w:widowControl/>
        <w:jc w:val="left"/>
        <w:rPr>
          <w:color w:val="000000"/>
          <w:szCs w:val="24"/>
        </w:rPr>
      </w:pPr>
      <w:r>
        <w:rPr>
          <w:rFonts w:ascii="宋体" w:hAnsi="宋体" w:cs="宋体"/>
          <w:color w:val="000000"/>
          <w:kern w:val="0"/>
          <w:szCs w:val="24"/>
          <w:lang w:bidi="ar"/>
        </w:rPr>
        <w:t>第三，</w:t>
      </w:r>
      <w:r>
        <w:rPr>
          <w:rStyle w:val="34"/>
          <w:rFonts w:ascii="宋体" w:hAnsi="宋体" w:cs="宋体"/>
          <w:b w:val="0"/>
          <w:bCs w:val="0"/>
          <w:color w:val="000000"/>
          <w:kern w:val="0"/>
          <w:szCs w:val="24"/>
          <w:lang w:bidi="ar"/>
        </w:rPr>
        <w:t>噪声抑制与微弱细节均衡保留原则</w:t>
      </w:r>
      <w:r>
        <w:rPr>
          <w:rFonts w:ascii="宋体" w:hAnsi="宋体" w:cs="宋体"/>
          <w:color w:val="000000"/>
          <w:kern w:val="0"/>
          <w:szCs w:val="24"/>
          <w:lang w:bidi="ar"/>
        </w:rPr>
        <w:t>。低剂量 CT 去噪的核心矛盾，是高强度随机噪声去除与肺小结节、末梢血管、软组织边缘等微弱解剖特征保留之间的平衡。模型既要有效压制量子泊松噪声和电路高斯电子噪声，又不能盲目平滑边缘纹理，防止出现病灶边缘模糊、微小结节漏诊等临床问题。</w:t>
      </w:r>
    </w:p>
    <w:p w14:paraId="18FFF1CD">
      <w:pPr>
        <w:widowControl/>
        <w:jc w:val="left"/>
        <w:rPr>
          <w:color w:val="000000"/>
          <w:szCs w:val="24"/>
        </w:rPr>
      </w:pPr>
      <w:r>
        <w:rPr>
          <w:rFonts w:ascii="宋体" w:hAnsi="宋体" w:cs="宋体"/>
          <w:color w:val="000000"/>
          <w:kern w:val="0"/>
          <w:szCs w:val="24"/>
          <w:lang w:bidi="ar"/>
        </w:rPr>
        <w:t>基于以上设计原则，本文确定</w:t>
      </w:r>
      <w:r>
        <w:rPr>
          <w:rStyle w:val="34"/>
          <w:rFonts w:ascii="宋体" w:hAnsi="宋体" w:cs="宋体"/>
          <w:b w:val="0"/>
          <w:bCs w:val="0"/>
          <w:color w:val="000000"/>
          <w:kern w:val="0"/>
          <w:szCs w:val="24"/>
          <w:lang w:bidi="ar"/>
        </w:rPr>
        <w:t>多尺度特征提取→噪声与有效特征解耦→投影域物理约束→细节还原输出</w:t>
      </w:r>
      <w:r>
        <w:rPr>
          <w:rFonts w:ascii="宋体" w:hAnsi="宋体" w:cs="宋体"/>
          <w:color w:val="000000"/>
          <w:kern w:val="0"/>
          <w:szCs w:val="24"/>
          <w:lang w:bidi="ar"/>
        </w:rPr>
        <w:t>的完整设计路线。以改进 U-Net 作为骨干特征提取网络，嵌入对比学习模块实现噪声与结构特征解耦，搭配投影域专用多损失函数联合约束，采用自监督预训练 + 跨域微调两阶段训练策略，搭建一套完整适配低剂量 CT 投影域的自监督去噪模型。</w:t>
      </w:r>
    </w:p>
    <w:p w14:paraId="2DEC04CA">
      <w:pPr>
        <w:pStyle w:val="3"/>
      </w:pPr>
      <w:bookmarkStart w:id="282" w:name="_Toc12520"/>
      <w:bookmarkStart w:id="283" w:name="_Toc8134"/>
      <w:bookmarkStart w:id="284" w:name="_Toc1380"/>
      <w:bookmarkStart w:id="285" w:name="_Toc9992"/>
      <w:bookmarkStart w:id="286" w:name="_Toc23310"/>
      <w:bookmarkStart w:id="287" w:name="_Toc7199"/>
      <w:bookmarkStart w:id="288" w:name="_Toc26374"/>
      <w:bookmarkStart w:id="289" w:name="_Toc30714"/>
      <w:bookmarkStart w:id="290" w:name="_Toc26051"/>
      <w:bookmarkStart w:id="291" w:name="_Toc2348"/>
      <w:bookmarkStart w:id="292" w:name="_Toc16332"/>
      <w:bookmarkStart w:id="293" w:name="_Toc26007"/>
      <w:bookmarkStart w:id="294" w:name="_Toc26363"/>
      <w:bookmarkStart w:id="295" w:name="_Toc4497"/>
      <w:bookmarkStart w:id="296" w:name="_Toc13073"/>
      <w:r>
        <w:rPr>
          <w:rFonts w:hint="eastAsia"/>
        </w:rPr>
        <w:t>3.2 自监督去噪网络整体架构构建</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52807F84">
      <w:pPr>
        <w:widowControl/>
        <w:jc w:val="left"/>
        <w:rPr>
          <w:color w:val="000000"/>
          <w:szCs w:val="24"/>
        </w:rPr>
      </w:pPr>
      <w:r>
        <w:rPr>
          <w:rFonts w:ascii="宋体" w:hAnsi="宋体" w:cs="宋体"/>
          <w:color w:val="000000"/>
          <w:kern w:val="0"/>
          <w:szCs w:val="24"/>
          <w:lang w:bidi="ar"/>
        </w:rPr>
        <w:t>针对低剂量 CT 投影域噪声抑制与信号保留的双重需求，本研究构建的自监督去噪网络架构以 U-Net 变体为基础骨干网络，并嵌入对比学习模块实现噪声特征与有效解剖信号特征的解耦分离。U-Net 编码器通过多层卷积与池化操作，逐层提取投影域正弦图的多尺度纹理特征、噪声分布特征与组织结构特征；解码器采用上采样结合跳跃连接方式，逐级恢复投影数据空间分辨率与边缘细节。对比学习模块通过构造正负样本对，在高维特征空间强化有效结构特征的聚类性、拉大噪声特征离散度，引导网络自主区分噪声与真实解剖信息，提升精准去噪能力。</w:t>
      </w:r>
    </w:p>
    <w:p w14:paraId="26A8C565">
      <w:pPr>
        <w:widowControl/>
        <w:jc w:val="left"/>
        <w:rPr>
          <w:color w:val="000000"/>
          <w:szCs w:val="24"/>
        </w:rPr>
      </w:pPr>
      <w:r>
        <w:rPr>
          <w:rFonts w:ascii="宋体" w:hAnsi="宋体" w:cs="宋体"/>
          <w:color w:val="000000"/>
          <w:kern w:val="0"/>
          <w:szCs w:val="24"/>
          <w:lang w:bidi="ar"/>
        </w:rPr>
        <w:t>本架构充分考虑投影域数据的独有特性，区别于普通图像域去噪只关注视觉纹理，投影域去噪必须严格维持正弦图的线性衰减关系与投影统计一致性。因此在网络训练阶段引入正弦图一致性损失，约束去噪前后投影正弦曲线的走势、峰值位置与角度关联特征不发生明显偏移，避免因过度去噪篡改物理投影信息，从源头规避重建后出现块状伪影、条纹伪影等问题。</w:t>
      </w:r>
    </w:p>
    <w:p w14:paraId="33A97062">
      <w:pPr>
        <w:widowControl/>
        <w:jc w:val="left"/>
        <w:rPr>
          <w:color w:val="000000"/>
          <w:szCs w:val="24"/>
        </w:rPr>
      </w:pPr>
      <w:r>
        <w:rPr>
          <w:rFonts w:ascii="宋体" w:hAnsi="宋体" w:cs="宋体"/>
          <w:color w:val="000000"/>
          <w:kern w:val="0"/>
          <w:szCs w:val="24"/>
          <w:lang w:bidi="ar"/>
        </w:rPr>
        <w:t>自监督学习范式的引入，有效解决了低剂量 CT 投影域缺少大规模配对干净 - 含噪标签数据的难题。预训练阶段依托无监督数据增强手段，对原始低剂量投影进行随机噪声注入、投影角度轻微扰动、翻转变换等操作，生成丰富的自监督样本对，通过对比学习让网络在无标注条件下自主学习噪声统计分布与正弦图结构先验。微调阶段引入少量临床常规剂量标准投影数据，结合正弦图一致性损失与均方误差损失进行联合优化，进一步提升模型对真实临床噪声场景的适配能力与泛化能力。</w:t>
      </w:r>
    </w:p>
    <w:p w14:paraId="06493E64">
      <w:pPr>
        <w:widowControl/>
        <w:jc w:val="left"/>
        <w:rPr>
          <w:rFonts w:hint="eastAsia" w:ascii="宋体" w:hAnsi="宋体" w:cs="宋体"/>
          <w:color w:val="000000"/>
          <w:kern w:val="0"/>
          <w:szCs w:val="24"/>
          <w:lang w:bidi="ar"/>
        </w:rPr>
      </w:pPr>
      <w:r>
        <w:rPr>
          <w:rFonts w:ascii="宋体" w:hAnsi="宋体" w:cs="宋体"/>
          <w:color w:val="000000"/>
          <w:kern w:val="0"/>
          <w:szCs w:val="24"/>
          <w:lang w:bidi="ar"/>
        </w:rPr>
        <w:t>这种两阶段自监督学习框架，既发挥了自监督学习对标注数据依赖低、可利用海量无标注数据的优势，又通过少量标注微调弥补纯自监督任务特异性不足的缺陷，设计思路与现有两阶段解耦图像处理算法保持一致，通过特征解耦实现噪声精准抑制与有效信号保留。</w:t>
      </w:r>
    </w:p>
    <w:p w14:paraId="42EB2D30">
      <w:pPr>
        <w:widowControl/>
        <w:jc w:val="left"/>
        <w:rPr>
          <w:rFonts w:hint="default" w:ascii="宋体" w:hAnsi="宋体" w:eastAsia="宋体" w:cs="宋体"/>
          <w:color w:val="000000"/>
          <w:kern w:val="0"/>
          <w:szCs w:val="24"/>
          <w:lang w:val="en-US" w:eastAsia="zh-CN" w:bidi="ar"/>
        </w:rPr>
      </w:pPr>
      <w:r>
        <w:rPr>
          <w:rFonts w:hint="eastAsia" w:ascii="宋体" w:hAnsi="宋体" w:cs="宋体"/>
          <w:color w:val="1F2329"/>
          <w:szCs w:val="24"/>
          <w:shd w:val="clear" w:color="auto" w:fill="FFFFFF"/>
        </w:rPr>
        <w:t>自监督去噪网络整体架构</w:t>
      </w:r>
      <w:r>
        <w:rPr>
          <w:rFonts w:hint="eastAsia" w:ascii="宋体" w:hAnsi="宋体" w:cs="宋体"/>
          <w:color w:val="1F2329"/>
          <w:szCs w:val="24"/>
          <w:shd w:val="clear" w:color="auto" w:fill="FFFFFF"/>
          <w:lang w:val="en-US" w:eastAsia="zh-CN"/>
        </w:rPr>
        <w:t>如</w:t>
      </w:r>
      <w:r>
        <w:rPr>
          <w:rFonts w:hint="eastAsia" w:ascii="宋体" w:hAnsi="宋体" w:cs="宋体"/>
          <w:b w:val="0"/>
          <w:bCs w:val="0"/>
          <w:color w:val="1F2329"/>
          <w:szCs w:val="24"/>
          <w:shd w:val="clear" w:color="auto" w:fill="FFFFFF"/>
          <w:lang w:val="en-US" w:eastAsia="zh-CN"/>
        </w:rPr>
        <w:fldChar w:fldCharType="begin"/>
      </w:r>
      <w:r>
        <w:rPr>
          <w:b w:val="0"/>
          <w:bCs w:val="0"/>
        </w:rPr>
        <w:instrText xml:space="preserve"> REF _Ref30468 \h  \* MERGEFORMAT</w:instrText>
      </w:r>
      <w:r>
        <w:rPr>
          <w:rFonts w:hint="eastAsia" w:ascii="宋体" w:hAnsi="宋体" w:cs="宋体"/>
          <w:b w:val="0"/>
          <w:bCs w:val="0"/>
          <w:color w:val="1F2329"/>
          <w:szCs w:val="24"/>
          <w:shd w:val="clear" w:color="auto" w:fill="FFFFFF"/>
          <w:lang w:val="en-US" w:eastAsia="zh-CN"/>
        </w:rPr>
        <w:fldChar w:fldCharType="separate"/>
      </w:r>
      <w:r>
        <w:rPr>
          <w:rFonts w:hint="eastAsia" w:ascii="宋体" w:hAnsi="宋体" w:eastAsia="宋体" w:cs="宋体"/>
          <w:b w:val="0"/>
          <w:bCs w:val="0"/>
          <w:sz w:val="21"/>
          <w:szCs w:val="21"/>
        </w:rPr>
        <w:t>图3- 1</w:t>
      </w:r>
      <w:r>
        <w:rPr>
          <w:rFonts w:hint="eastAsia" w:ascii="宋体" w:hAnsi="宋体" w:cs="宋体"/>
          <w:b w:val="0"/>
          <w:bCs w:val="0"/>
          <w:color w:val="1F2329"/>
          <w:szCs w:val="24"/>
          <w:shd w:val="clear" w:color="auto" w:fill="FFFFFF"/>
          <w:lang w:val="en-US" w:eastAsia="zh-CN"/>
        </w:rPr>
        <w:fldChar w:fldCharType="end"/>
      </w:r>
      <w:r>
        <w:rPr>
          <w:rFonts w:hint="eastAsia" w:ascii="宋体" w:hAnsi="宋体" w:cs="宋体"/>
          <w:color w:val="1F2329"/>
          <w:szCs w:val="24"/>
          <w:shd w:val="clear" w:color="auto" w:fill="FFFFFF"/>
          <w:lang w:val="en-US" w:eastAsia="zh-CN"/>
        </w:rPr>
        <w:t>所示</w:t>
      </w:r>
    </w:p>
    <w:p w14:paraId="53316061">
      <w:pPr>
        <w:widowControl/>
        <w:jc w:val="left"/>
      </w:pPr>
      <w:r>
        <w:drawing>
          <wp:inline distT="0" distB="0" distL="114300" distR="114300">
            <wp:extent cx="5760085" cy="3023235"/>
            <wp:effectExtent l="0" t="0" r="63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5760085" cy="3023235"/>
                    </a:xfrm>
                    <a:prstGeom prst="rect">
                      <a:avLst/>
                    </a:prstGeom>
                    <a:noFill/>
                    <a:ln>
                      <a:noFill/>
                    </a:ln>
                  </pic:spPr>
                </pic:pic>
              </a:graphicData>
            </a:graphic>
          </wp:inline>
        </w:drawing>
      </w:r>
    </w:p>
    <w:p w14:paraId="7D98F040">
      <w:pPr>
        <w:pStyle w:val="6"/>
        <w:widowControl/>
        <w:jc w:val="center"/>
        <w:rPr>
          <w:rFonts w:hint="eastAsia" w:ascii="宋体" w:hAnsi="宋体" w:eastAsia="宋体" w:cs="宋体"/>
          <w:b/>
          <w:bCs/>
          <w:sz w:val="21"/>
          <w:szCs w:val="21"/>
          <w:lang w:eastAsia="zh-CN"/>
        </w:rPr>
      </w:pPr>
      <w:bookmarkStart w:id="297" w:name="_Ref30468"/>
      <w:r>
        <w:rPr>
          <w:rFonts w:hint="eastAsia" w:ascii="宋体" w:hAnsi="宋体" w:eastAsia="宋体" w:cs="宋体"/>
          <w:b/>
          <w:bCs/>
          <w:sz w:val="21"/>
          <w:szCs w:val="21"/>
        </w:rPr>
        <w:t xml:space="preserve">图3-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图3-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297"/>
      <w:r>
        <w:rPr>
          <w:rFonts w:hint="eastAsia" w:ascii="宋体" w:hAnsi="宋体" w:eastAsia="宋体" w:cs="宋体"/>
          <w:b/>
          <w:bCs/>
          <w:sz w:val="21"/>
          <w:szCs w:val="21"/>
          <w:lang w:eastAsia="zh-CN"/>
        </w:rPr>
        <w:t>自监督去噪网络整体架构</w:t>
      </w:r>
    </w:p>
    <w:p w14:paraId="284B5031">
      <w:pPr>
        <w:pStyle w:val="3"/>
      </w:pPr>
      <w:bookmarkStart w:id="298" w:name="_Toc722"/>
      <w:bookmarkStart w:id="299" w:name="_Toc11171"/>
      <w:bookmarkStart w:id="300" w:name="_Toc381"/>
      <w:bookmarkStart w:id="301" w:name="_Toc9177"/>
      <w:bookmarkStart w:id="302" w:name="_Toc21968"/>
      <w:bookmarkStart w:id="303" w:name="_Toc5635"/>
      <w:bookmarkStart w:id="304" w:name="_Toc1287"/>
      <w:bookmarkStart w:id="305" w:name="_Toc27326"/>
      <w:bookmarkStart w:id="306" w:name="_Toc375"/>
      <w:bookmarkStart w:id="307" w:name="_Toc10672"/>
      <w:bookmarkStart w:id="308" w:name="_Toc27034"/>
      <w:bookmarkStart w:id="309" w:name="_Toc29830"/>
      <w:bookmarkStart w:id="310" w:name="_Toc8305"/>
      <w:bookmarkStart w:id="311" w:name="_Toc30708"/>
      <w:bookmarkStart w:id="312" w:name="_Toc17316"/>
      <w:r>
        <w:rPr>
          <w:rFonts w:hint="eastAsia"/>
        </w:rPr>
        <w:t>3.3 骨干网络与特征解耦模块设计</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6C50314E">
      <w:pPr>
        <w:widowControl/>
        <w:jc w:val="left"/>
        <w:rPr>
          <w:color w:val="000000"/>
          <w:szCs w:val="24"/>
        </w:rPr>
      </w:pPr>
      <w:r>
        <w:rPr>
          <w:rFonts w:ascii="宋体" w:hAnsi="宋体" w:cs="宋体"/>
          <w:color w:val="000000"/>
          <w:kern w:val="0"/>
          <w:szCs w:val="24"/>
          <w:lang w:bidi="ar"/>
        </w:rPr>
        <w:t>为适配 CT 投影域正弦图多尺度特征提取、全局角度关联与局部通道细节建模需求，本文选用</w:t>
      </w:r>
      <w:r>
        <w:rPr>
          <w:rStyle w:val="34"/>
          <w:rFonts w:ascii="宋体" w:hAnsi="宋体" w:cs="宋体"/>
          <w:b w:val="0"/>
          <w:bCs w:val="0"/>
          <w:color w:val="000000"/>
          <w:kern w:val="0"/>
          <w:szCs w:val="24"/>
          <w:lang w:bidi="ar"/>
        </w:rPr>
        <w:t>改进 U-Net</w:t>
      </w:r>
      <w:r>
        <w:rPr>
          <w:rFonts w:ascii="宋体" w:hAnsi="宋体" w:cs="宋体"/>
          <w:color w:val="000000"/>
          <w:kern w:val="0"/>
          <w:szCs w:val="24"/>
          <w:lang w:bidi="ar"/>
        </w:rPr>
        <w:t>作为模型骨干网络。传统 U-Net 具备对称编码 - 解码结构优势，编码器通过连续卷积、池化下采样，逐步压缩特征图尺寸，由浅层到深层依次提取投影边缘纹理、局部噪声分布、全局组织结构等高维语义特征；解码器利用双线性上采样恢复特征分辨率，并通过跳跃连接将编码器浅层精细特征与解码器深层语义特征融合，有效弥补下采样过程中微弱解剖细节的丢失，非常适配医学投影这类弱边缘、强结构的数据场景。</w:t>
      </w:r>
    </w:p>
    <w:p w14:paraId="5B805E71">
      <w:pPr>
        <w:widowControl/>
        <w:jc w:val="left"/>
        <w:rPr>
          <w:color w:val="000000"/>
          <w:szCs w:val="24"/>
        </w:rPr>
      </w:pPr>
      <w:r>
        <w:rPr>
          <w:rFonts w:ascii="宋体" w:hAnsi="宋体" w:cs="宋体"/>
          <w:color w:val="000000"/>
          <w:kern w:val="0"/>
          <w:szCs w:val="24"/>
          <w:lang w:bidi="ar"/>
        </w:rPr>
        <w:t>在骨干网络基础上，额外嵌入</w:t>
      </w:r>
      <w:r>
        <w:rPr>
          <w:rStyle w:val="34"/>
          <w:rFonts w:ascii="宋体" w:hAnsi="宋体" w:cs="宋体"/>
          <w:b w:val="0"/>
          <w:bCs w:val="0"/>
          <w:color w:val="000000"/>
          <w:kern w:val="0"/>
          <w:szCs w:val="24"/>
          <w:lang w:bidi="ar"/>
        </w:rPr>
        <w:t>对比学习特征解耦模块</w:t>
      </w:r>
      <w:r>
        <w:rPr>
          <w:rFonts w:ascii="宋体" w:hAnsi="宋体" w:cs="宋体"/>
          <w:color w:val="000000"/>
          <w:kern w:val="0"/>
          <w:szCs w:val="24"/>
          <w:lang w:bidi="ar"/>
        </w:rPr>
        <w:t>，实现噪声特征与有效解剖投影特征的分离解耦。模块以自监督任务为驱动，对同一原始无噪投影样本施加不同强度、不同类型的混合噪声扰动，构造正样本对；同时随机选取其他不同解剖位置的投影样本作为负样本对。在特征空间通过相似度约束，最大化正样本对特征相似度、最小化负样本对特征相似度。</w:t>
      </w:r>
    </w:p>
    <w:p w14:paraId="66B3FE79">
      <w:pPr>
        <w:widowControl/>
        <w:jc w:val="left"/>
        <w:rPr>
          <w:color w:val="000000"/>
          <w:szCs w:val="24"/>
        </w:rPr>
      </w:pPr>
      <w:r>
        <w:rPr>
          <w:rFonts w:ascii="宋体" w:hAnsi="宋体" w:cs="宋体"/>
          <w:color w:val="000000"/>
          <w:kern w:val="0"/>
          <w:szCs w:val="24"/>
          <w:lang w:bidi="ar"/>
        </w:rPr>
        <w:t>网络经过反复迭代学习后，能够自主归纳出：同一组织结构的投影特征具有固有不变性，而随机噪声特征具有无规则差异性，从而自动剥离噪声分量、保留真实解剖结构特征。该模块全程无需人工标注标签，完全依靠数据自身分布规律完成特征学习，显著提升模型在无标注临床投影数据下的泛化能力，有效解决传统单一卷积网络易过平滑、边缘退化、细节丢失等缺陷。</w:t>
      </w:r>
    </w:p>
    <w:p w14:paraId="2236579A">
      <w:pPr>
        <w:pStyle w:val="3"/>
      </w:pPr>
      <w:bookmarkStart w:id="313" w:name="_Toc22533"/>
      <w:bookmarkStart w:id="314" w:name="_Toc19020"/>
      <w:bookmarkStart w:id="315" w:name="_Toc21884"/>
      <w:bookmarkStart w:id="316" w:name="_Toc31906"/>
      <w:bookmarkStart w:id="317" w:name="_Toc29792"/>
      <w:bookmarkStart w:id="318" w:name="_Toc28893"/>
      <w:bookmarkStart w:id="319" w:name="_Toc30382"/>
      <w:bookmarkStart w:id="320" w:name="_Toc16164"/>
      <w:bookmarkStart w:id="321" w:name="_Toc14739"/>
      <w:bookmarkStart w:id="322" w:name="_Toc20939"/>
      <w:bookmarkStart w:id="323" w:name="_Toc13752"/>
      <w:bookmarkStart w:id="324" w:name="_Toc16519"/>
      <w:bookmarkStart w:id="325" w:name="_Toc18920"/>
      <w:bookmarkStart w:id="326" w:name="_Toc26603"/>
      <w:bookmarkStart w:id="327" w:name="_Toc11669"/>
      <w:r>
        <w:rPr>
          <w:rFonts w:hint="eastAsia"/>
        </w:rPr>
        <w:t>3.4 投影域专用损失函数设计</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p>
    <w:p w14:paraId="19CB7B26">
      <w:pPr>
        <w:widowControl/>
        <w:jc w:val="left"/>
        <w:rPr>
          <w:color w:val="000000"/>
          <w:szCs w:val="24"/>
        </w:rPr>
      </w:pPr>
      <w:r>
        <w:rPr>
          <w:rFonts w:ascii="宋体" w:hAnsi="宋体" w:cs="宋体"/>
          <w:color w:val="000000"/>
          <w:kern w:val="0"/>
          <w:szCs w:val="24"/>
          <w:lang w:bidi="ar"/>
        </w:rPr>
        <w:t>为确保去噪处理不破坏 CT 投影固有的 X 射线物理衰减规律、正弦曲线形态结构与微弱解剖细节，本文采用</w:t>
      </w:r>
      <w:r>
        <w:rPr>
          <w:rStyle w:val="34"/>
          <w:rFonts w:ascii="宋体" w:hAnsi="宋体" w:cs="宋体"/>
          <w:b w:val="0"/>
          <w:bCs w:val="0"/>
          <w:color w:val="000000"/>
          <w:kern w:val="0"/>
          <w:szCs w:val="24"/>
          <w:lang w:bidi="ar"/>
        </w:rPr>
        <w:t>多损失函数加权联合约束</w:t>
      </w:r>
      <w:r>
        <w:rPr>
          <w:rFonts w:ascii="宋体" w:hAnsi="宋体" w:cs="宋体"/>
          <w:color w:val="000000"/>
          <w:kern w:val="0"/>
          <w:szCs w:val="24"/>
          <w:lang w:bidi="ar"/>
        </w:rPr>
        <w:t>策略，从像素误差、结构相似度、投影物理一致性三个维度协同约束网络训练。</w:t>
      </w:r>
    </w:p>
    <w:p w14:paraId="2E40303B">
      <w:pPr>
        <w:widowControl/>
        <w:jc w:val="left"/>
        <w:rPr>
          <w:color w:val="000000"/>
          <w:szCs w:val="24"/>
        </w:rPr>
      </w:pPr>
      <w:r>
        <w:rPr>
          <w:rFonts w:ascii="宋体" w:hAnsi="宋体" w:cs="宋体"/>
          <w:color w:val="000000"/>
          <w:kern w:val="0"/>
          <w:szCs w:val="24"/>
          <w:lang w:bidi="ar"/>
        </w:rPr>
        <w:t>首先引入</w:t>
      </w:r>
      <w:r>
        <w:rPr>
          <w:rStyle w:val="34"/>
          <w:rFonts w:ascii="宋体" w:hAnsi="宋体" w:cs="宋体"/>
          <w:b w:val="0"/>
          <w:bCs w:val="0"/>
          <w:color w:val="000000"/>
          <w:kern w:val="0"/>
          <w:szCs w:val="24"/>
          <w:lang w:bidi="ar"/>
        </w:rPr>
        <w:t>正弦图一致性损失</w:t>
      </w:r>
      <w:r>
        <w:rPr>
          <w:rFonts w:ascii="宋体" w:hAnsi="宋体" w:cs="宋体"/>
          <w:color w:val="000000"/>
          <w:kern w:val="0"/>
          <w:szCs w:val="24"/>
          <w:lang w:bidi="ar"/>
        </w:rPr>
        <w:t>。正弦图是 CT 断层成像的原始物理载体，承载着 X 射线穿透人体的累积衰减信息，去噪处理不能随意改变正弦曲线走势、峰值大小与角度对应关系。该损失专门约束去噪后投影与原始低剂量投影之间的曲线形态偏差，防止网络盲目平滑篡改投影物理信息，从源头避免后续重建出现结构错位、块状伪影与灰度畸变。</w:t>
      </w:r>
    </w:p>
    <w:p w14:paraId="6F870F96">
      <w:pPr>
        <w:widowControl/>
        <w:jc w:val="left"/>
        <w:rPr>
          <w:color w:val="000000"/>
          <w:szCs w:val="24"/>
        </w:rPr>
      </w:pPr>
      <w:r>
        <w:rPr>
          <w:rFonts w:ascii="宋体" w:hAnsi="宋体" w:cs="宋体"/>
          <w:color w:val="000000"/>
          <w:kern w:val="0"/>
          <w:szCs w:val="24"/>
          <w:lang w:bidi="ar"/>
        </w:rPr>
        <w:t>其次引入</w:t>
      </w:r>
      <w:r>
        <w:rPr>
          <w:rStyle w:val="34"/>
          <w:rFonts w:ascii="宋体" w:hAnsi="宋体" w:cs="宋体"/>
          <w:b w:val="0"/>
          <w:bCs w:val="0"/>
          <w:color w:val="000000"/>
          <w:kern w:val="0"/>
          <w:szCs w:val="24"/>
          <w:lang w:bidi="ar"/>
        </w:rPr>
        <w:t>均方误差损失</w:t>
      </w:r>
      <w:r>
        <w:rPr>
          <w:rFonts w:ascii="宋体" w:hAnsi="宋体" w:cs="宋体"/>
          <w:color w:val="000000"/>
          <w:kern w:val="0"/>
          <w:szCs w:val="24"/>
          <w:lang w:bidi="ar"/>
        </w:rPr>
        <w:t>，实现像素级全局灰度约束。通过计算去噪后投影与标准干净常规剂量投影的像素均方误差，最小化整体灰度偏移，保证去噪投影整体灰度分布、动态范围与临床标准 CT 投影保持一致，降低全局失真程度。</w:t>
      </w:r>
    </w:p>
    <w:p w14:paraId="2B6DEAA0">
      <w:pPr>
        <w:widowControl/>
        <w:jc w:val="left"/>
        <w:rPr>
          <w:color w:val="000000"/>
          <w:szCs w:val="24"/>
        </w:rPr>
      </w:pPr>
      <w:r>
        <w:rPr>
          <w:rFonts w:ascii="宋体" w:hAnsi="宋体" w:cs="宋体"/>
          <w:color w:val="000000"/>
          <w:kern w:val="0"/>
          <w:szCs w:val="24"/>
          <w:lang w:bidi="ar"/>
        </w:rPr>
        <w:t>最后引入</w:t>
      </w:r>
      <w:r>
        <w:rPr>
          <w:rStyle w:val="34"/>
          <w:rFonts w:ascii="宋体" w:hAnsi="宋体" w:cs="宋体"/>
          <w:b w:val="0"/>
          <w:bCs w:val="0"/>
          <w:color w:val="000000"/>
          <w:kern w:val="0"/>
          <w:szCs w:val="24"/>
          <w:lang w:bidi="ar"/>
        </w:rPr>
        <w:t>结构相似性损失</w:t>
      </w:r>
      <w:r>
        <w:rPr>
          <w:rFonts w:ascii="宋体" w:hAnsi="宋体" w:cs="宋体"/>
          <w:color w:val="000000"/>
          <w:kern w:val="0"/>
          <w:szCs w:val="24"/>
          <w:lang w:bidi="ar"/>
        </w:rPr>
        <w:t>，从亮度、对比度、局部结构三层维度评价并约束投影细节保留效果。重点保护探测器通道边缘、角度突变区域以及低对比度小结节、细小血管对应的正弦曲线微弱特征，避免过度去噪弱化病灶边缘信息，提升模型面向临床微小病灶检出的适配能力。</w:t>
      </w:r>
    </w:p>
    <w:p w14:paraId="32CEBCCA">
      <w:pPr>
        <w:widowControl/>
        <w:jc w:val="left"/>
        <w:rPr>
          <w:color w:val="000000"/>
          <w:szCs w:val="24"/>
        </w:rPr>
      </w:pPr>
      <w:r>
        <w:rPr>
          <w:rFonts w:ascii="宋体" w:hAnsi="宋体" w:cs="宋体"/>
          <w:color w:val="000000"/>
          <w:kern w:val="0"/>
          <w:szCs w:val="24"/>
          <w:lang w:bidi="ar"/>
        </w:rPr>
        <w:t>三类损失函数分工明确、相互协同，使模型同时实现高强度噪声抑制、投影物理特性保真、微弱解剖细节完整保留三大目标。</w:t>
      </w:r>
    </w:p>
    <w:p w14:paraId="402D61DB">
      <w:pPr>
        <w:pStyle w:val="3"/>
      </w:pPr>
      <w:bookmarkStart w:id="328" w:name="_Toc20249"/>
      <w:bookmarkStart w:id="329" w:name="_Toc28608"/>
      <w:bookmarkStart w:id="330" w:name="_Toc28886"/>
      <w:bookmarkStart w:id="331" w:name="_Toc25746"/>
      <w:bookmarkStart w:id="332" w:name="_Toc8961"/>
      <w:bookmarkStart w:id="333" w:name="_Toc25104"/>
      <w:bookmarkStart w:id="334" w:name="_Toc9824"/>
      <w:bookmarkStart w:id="335" w:name="_Toc17598"/>
      <w:bookmarkStart w:id="336" w:name="_Toc19434"/>
      <w:bookmarkStart w:id="337" w:name="_Toc24360"/>
      <w:bookmarkStart w:id="338" w:name="_Toc30306"/>
      <w:bookmarkStart w:id="339" w:name="_Toc18428"/>
      <w:bookmarkStart w:id="340" w:name="_Toc30181"/>
      <w:bookmarkStart w:id="341" w:name="_Toc7971"/>
      <w:bookmarkStart w:id="342" w:name="_Toc18762"/>
      <w:r>
        <w:rPr>
          <w:rFonts w:hint="eastAsia"/>
        </w:rPr>
        <w:t>3.5 自监督预训练与微调策略优化</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280FEB8C">
      <w:pPr>
        <w:widowControl/>
        <w:jc w:val="left"/>
        <w:rPr>
          <w:color w:val="000000"/>
          <w:szCs w:val="24"/>
        </w:rPr>
      </w:pPr>
      <w:r>
        <w:rPr>
          <w:rFonts w:ascii="宋体" w:hAnsi="宋体" w:cs="宋体"/>
          <w:color w:val="000000"/>
          <w:kern w:val="0"/>
          <w:szCs w:val="24"/>
          <w:lang w:bidi="ar"/>
        </w:rPr>
        <w:t>依托无标注临床投影数据开展自监督预训练，是提升低剂量 CT 去噪模型泛化能力的核心手段。临床场景中高精度标注重建图像与配对投影数据数量有限、获取难度大，极大限制了监督学习方法的落地；而医院日常扫描积累的无标注低剂量 CT 投影数据数量庞大、来源广泛，适合作为自监督预训练数据源。通过设计随机噪声注入、投影角度小幅偏移、镜像翻转等数据增强方式，构建自监督预训练任务，让模型在无标注条件下充分学习投影域固有结构特征、噪声统计分布与正弦图先验规律，为后续精细去噪任务打下良好特征提取基础。</w:t>
      </w:r>
    </w:p>
    <w:p w14:paraId="05CC1D4C">
      <w:pPr>
        <w:widowControl/>
        <w:jc w:val="left"/>
        <w:rPr>
          <w:rFonts w:hint="eastAsia" w:ascii="宋体" w:hAnsi="宋体" w:cs="宋体"/>
          <w:color w:val="000000"/>
          <w:kern w:val="0"/>
          <w:szCs w:val="24"/>
          <w:lang w:bidi="ar"/>
        </w:rPr>
      </w:pPr>
      <w:r>
        <w:rPr>
          <w:rFonts w:ascii="宋体" w:hAnsi="宋体" w:cs="宋体"/>
          <w:color w:val="000000"/>
          <w:kern w:val="0"/>
          <w:szCs w:val="24"/>
          <w:lang w:bidi="ar"/>
        </w:rPr>
        <w:t>为解决预训练模型直接迁移到临床重建任务易出现域偏移、适配性不足的问题，本文设计</w:t>
      </w:r>
      <w:r>
        <w:rPr>
          <w:rStyle w:val="34"/>
          <w:rFonts w:ascii="宋体" w:hAnsi="宋体" w:cs="宋体"/>
          <w:b w:val="0"/>
          <w:bCs w:val="0"/>
          <w:color w:val="000000"/>
          <w:kern w:val="0"/>
          <w:szCs w:val="24"/>
          <w:lang w:bidi="ar"/>
        </w:rPr>
        <w:t>跨域微调策略</w:t>
      </w:r>
      <w:r>
        <w:rPr>
          <w:rFonts w:ascii="宋体" w:hAnsi="宋体" w:cs="宋体"/>
          <w:color w:val="000000"/>
          <w:kern w:val="0"/>
          <w:szCs w:val="24"/>
          <w:lang w:bidi="ar"/>
        </w:rPr>
        <w:t>。引入少量带标注的常规剂量 CT 投影与重建图像作为监督信号，构建投影域与图像域跨域损失函数，包含重建图像与标准高清图像的均方误差、结构相似性约束，引导模型将预训练学到的投影域特征表达，精准映射到图像域高质量重建任务需求。</w:t>
      </w:r>
    </w:p>
    <w:p w14:paraId="028CB25F">
      <w:pPr>
        <w:widowControl/>
        <w:jc w:val="left"/>
        <w:rPr>
          <w:szCs w:val="24"/>
        </w:rPr>
      </w:pPr>
      <w:r>
        <w:rPr>
          <w:rFonts w:ascii="宋体" w:hAnsi="宋体" w:cs="宋体"/>
          <w:color w:val="000000"/>
          <w:kern w:val="0"/>
          <w:szCs w:val="24"/>
          <w:lang w:bidi="ar"/>
        </w:rPr>
        <w:t>自监督预训练与跨域微调需要协同优化，平衡预训练特征通用性与微调任务特异性。预训练阶段纳入多机型、多中心无标注投影数据，避免模型过拟合单一设备、单一扫描参数的噪声模式，增强跨场景适应能力。微调阶段严格控制标注数据占比，防止少量样本造成过拟合；同时采用</w:t>
      </w:r>
      <w:r>
        <w:rPr>
          <w:rStyle w:val="34"/>
          <w:rFonts w:ascii="宋体" w:hAnsi="宋体" w:cs="宋体"/>
          <w:b w:val="0"/>
          <w:bCs w:val="0"/>
          <w:color w:val="000000"/>
          <w:kern w:val="0"/>
          <w:szCs w:val="24"/>
          <w:lang w:bidi="ar"/>
        </w:rPr>
        <w:t>渐进式分层微调</w:t>
      </w:r>
      <w:r>
        <w:rPr>
          <w:rFonts w:ascii="宋体" w:hAnsi="宋体" w:cs="宋体"/>
          <w:color w:val="000000"/>
          <w:kern w:val="0"/>
          <w:szCs w:val="24"/>
          <w:lang w:bidi="ar"/>
        </w:rPr>
        <w:t>方案，先冻结底层特征提取层仅训练输出层，再逐步解冻深层网络参数，实现自监督预训练通用特征与去噪重建专属任务的深度融合。该协同优化策略可使模型在有效抑制投影域混合噪声的同时，最大限度还原人体解剖细节，为后续高质量迭代重建提供可靠、低噪的投影输入数据。</w:t>
      </w:r>
    </w:p>
    <w:p w14:paraId="6AA39E1B">
      <w:pPr>
        <w:pStyle w:val="2"/>
      </w:pPr>
      <w:bookmarkStart w:id="343" w:name="_Toc14778"/>
      <w:bookmarkStart w:id="344" w:name="_Toc29020"/>
      <w:bookmarkStart w:id="345" w:name="_Toc7088"/>
      <w:bookmarkStart w:id="346" w:name="_Toc8844"/>
      <w:bookmarkStart w:id="347" w:name="_Toc27342"/>
      <w:bookmarkStart w:id="348" w:name="_Toc4235"/>
      <w:bookmarkStart w:id="349" w:name="_Toc2343"/>
      <w:bookmarkStart w:id="350" w:name="_Toc20749"/>
      <w:bookmarkStart w:id="351" w:name="_Toc7589"/>
      <w:bookmarkStart w:id="352" w:name="_Toc5691"/>
      <w:bookmarkStart w:id="353" w:name="_Toc29372"/>
      <w:bookmarkStart w:id="354" w:name="_Toc32195"/>
      <w:bookmarkStart w:id="355" w:name="_Toc25018"/>
      <w:bookmarkStart w:id="356" w:name="_Toc4670"/>
      <w:bookmarkStart w:id="357" w:name="_Toc5650"/>
      <w:bookmarkStart w:id="358" w:name="_Toc31317"/>
      <w:bookmarkStart w:id="359" w:name="_Toc12000"/>
      <w:bookmarkStart w:id="360" w:name="_Toc27853"/>
      <w:r>
        <w:rPr>
          <w:rFonts w:hint="eastAsia"/>
          <w:lang w:val="en-US"/>
        </w:rPr>
        <w:t xml:space="preserve">4 </w:t>
      </w:r>
      <w:bookmarkEnd w:id="343"/>
      <w:bookmarkEnd w:id="344"/>
      <w:bookmarkEnd w:id="345"/>
      <w:r>
        <w:rPr>
          <w:rFonts w:hint="eastAsia"/>
        </w:rPr>
        <w:t>高质量CT重建与模型性能评估</w:t>
      </w:r>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21F56979">
      <w:pPr>
        <w:pStyle w:val="3"/>
      </w:pPr>
      <w:bookmarkStart w:id="361" w:name="_Toc26322"/>
      <w:bookmarkStart w:id="362" w:name="_Toc19670"/>
      <w:bookmarkStart w:id="363" w:name="_Toc29114"/>
      <w:bookmarkStart w:id="364" w:name="_Toc4056"/>
      <w:bookmarkStart w:id="365" w:name="_Toc11351"/>
      <w:bookmarkStart w:id="366" w:name="_Toc1334"/>
      <w:bookmarkStart w:id="367" w:name="_Toc9087"/>
      <w:bookmarkStart w:id="368" w:name="_Toc8358"/>
      <w:bookmarkStart w:id="369" w:name="_Toc25817"/>
      <w:bookmarkStart w:id="370" w:name="_Toc32729"/>
      <w:bookmarkStart w:id="371" w:name="_Toc13699"/>
      <w:bookmarkStart w:id="372" w:name="_Toc6870"/>
      <w:bookmarkStart w:id="373" w:name="_Toc21268"/>
      <w:bookmarkStart w:id="374" w:name="_Toc27315"/>
      <w:bookmarkStart w:id="375" w:name="_Toc18686"/>
      <w:r>
        <w:rPr>
          <w:rFonts w:hint="eastAsia"/>
        </w:rPr>
        <w:t>4.1 CT 主流图像重建算法基础原理</w:t>
      </w:r>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p>
    <w:p w14:paraId="5EDC1482">
      <w:pPr>
        <w:widowControl/>
        <w:spacing w:line="288" w:lineRule="atLeast"/>
        <w:jc w:val="left"/>
        <w:rPr>
          <w:rFonts w:hint="eastAsia" w:ascii="宋体" w:hAnsi="宋体" w:cs="宋体"/>
          <w:color w:val="000000"/>
          <w:kern w:val="0"/>
          <w:szCs w:val="24"/>
          <w:lang w:bidi="ar"/>
        </w:rPr>
      </w:pPr>
      <w:r>
        <w:rPr>
          <w:rFonts w:hint="eastAsia" w:ascii="宋体" w:hAnsi="宋体" w:cs="宋体"/>
          <w:color w:val="000000"/>
          <w:kern w:val="0"/>
          <w:szCs w:val="24"/>
          <w:lang w:bidi="ar"/>
        </w:rPr>
        <w:t>CT 图像重建是将探测器采集的投影正弦图数据，通过数学算法反演求解人体断层衰减系数、生成断层灰度图像的核心过程。</w:t>
      </w:r>
      <w:r>
        <w:rPr>
          <w:rFonts w:ascii="宋体" w:hAnsi="宋体" w:cs="宋体"/>
          <w:color w:val="000000"/>
          <w:kern w:val="0"/>
          <w:szCs w:val="24"/>
          <w:lang w:bidi="ar"/>
        </w:rPr>
        <w:t>在 X 射线穿透人体组织过程中，遵循朗伯–比尔衰减定律，投影积分过程可用数学公式</w:t>
      </w:r>
      <w:r>
        <w:rPr>
          <w:rFonts w:hint="eastAsia" w:ascii="宋体" w:hAnsi="宋体" w:cs="宋体"/>
          <w:color w:val="000000"/>
          <w:kern w:val="0"/>
          <w:szCs w:val="24"/>
          <w:lang w:bidi="ar"/>
        </w:rPr>
        <w:t>见式（4-1）</w:t>
      </w:r>
      <w:r>
        <w:rPr>
          <w:rFonts w:ascii="宋体" w:hAnsi="宋体" w:cs="宋体"/>
          <w:color w:val="000000"/>
          <w:kern w:val="0"/>
          <w:szCs w:val="24"/>
          <w:lang w:bidi="ar"/>
        </w:rPr>
        <w:t>表示为：</w:t>
      </w:r>
    </w:p>
    <w:p w14:paraId="3C0B98FE">
      <w:pPr>
        <w:widowControl/>
        <w:spacing w:line="288" w:lineRule="atLeast"/>
        <w:jc w:val="left"/>
        <w:rPr>
          <w:rFonts w:hint="eastAsia" w:ascii="宋体" w:hAnsi="宋体" w:cs="宋体"/>
          <w:color w:val="000000"/>
          <w:kern w:val="0"/>
          <w:szCs w:val="24"/>
          <w:lang w:bidi="ar"/>
        </w:rPr>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1"/>
        <w:gridCol w:w="1056"/>
      </w:tblGrid>
      <w:tr w14:paraId="03B33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6" w:type="dxa"/>
            <w:tcBorders>
              <w:top w:val="nil"/>
              <w:left w:val="nil"/>
              <w:bottom w:val="nil"/>
              <w:right w:val="nil"/>
            </w:tcBorders>
          </w:tcPr>
          <w:p w14:paraId="23F912FB">
            <w:pPr>
              <w:widowControl/>
              <w:spacing w:line="288" w:lineRule="atLeast"/>
              <w:jc w:val="left"/>
              <w:rPr>
                <w:rFonts w:hint="eastAsia" w:ascii="宋体" w:hAnsi="宋体" w:cs="宋体"/>
                <w:color w:val="000000"/>
                <w:kern w:val="0"/>
                <w:szCs w:val="24"/>
                <w:lang w:bidi="ar"/>
              </w:rPr>
            </w:pPr>
            <m:oMathPara>
              <m:oMathParaPr>
                <m:jc m:val="center"/>
              </m:oMathParaPr>
              <m:oMath>
                <m:r>
                  <m:rPr/>
                  <w:rPr>
                    <w:rFonts w:ascii="Cambria Math" w:hAnsi="Cambria Math" w:eastAsia="Cambria Math" w:cs="Cambria Math"/>
                  </w:rPr>
                  <m:t>p(θ,s)=∫L</m:t>
                </m:r>
                <m:r>
                  <m:rPr/>
                  <w:rPr>
                    <w:rFonts w:ascii="Cambria Math" w:hAnsi="Cambria Math" w:cs="Cambria Math"/>
                  </w:rPr>
                  <m:t>∙</m:t>
                </m:r>
                <m:r>
                  <m:rPr/>
                  <w:rPr>
                    <w:rFonts w:ascii="Cambria Math" w:hAnsi="Cambria Math" w:eastAsia="Cambria Math" w:cs="Cambria Math"/>
                  </w:rPr>
                  <m:t>μ(x,y)dl</m:t>
                </m:r>
              </m:oMath>
            </m:oMathPara>
          </w:p>
        </w:tc>
        <w:tc>
          <w:tcPr>
            <w:tcW w:w="491" w:type="dxa"/>
            <w:tcBorders>
              <w:top w:val="nil"/>
              <w:left w:val="nil"/>
              <w:bottom w:val="nil"/>
              <w:right w:val="nil"/>
            </w:tcBorders>
          </w:tcPr>
          <w:p w14:paraId="2559DE55">
            <w:pPr>
              <w:widowControl/>
              <w:spacing w:line="288" w:lineRule="atLeast"/>
              <w:ind w:firstLine="0" w:firstLineChars="0"/>
              <w:rPr>
                <w:rFonts w:hint="eastAsia" w:ascii="宋体" w:hAnsi="宋体" w:cs="宋体"/>
                <w:color w:val="000000"/>
                <w:kern w:val="0"/>
                <w:szCs w:val="24"/>
                <w:lang w:bidi="ar"/>
              </w:rPr>
            </w:pPr>
            <w:r>
              <w:rPr>
                <w:rFonts w:hint="eastAsia" w:ascii="宋体" w:hAnsi="宋体" w:cs="宋体"/>
                <w:color w:val="000000"/>
                <w:kern w:val="0"/>
                <w:szCs w:val="24"/>
                <w:lang w:bidi="ar"/>
              </w:rPr>
              <w:t>（4-1）</w:t>
            </w:r>
          </w:p>
        </w:tc>
      </w:tr>
    </w:tbl>
    <w:p w14:paraId="0C614536">
      <w:pPr>
        <w:widowControl/>
        <w:spacing w:line="288" w:lineRule="atLeast"/>
        <w:ind w:firstLine="0" w:firstLineChars="0"/>
        <w:jc w:val="left"/>
        <w:rPr>
          <w:rFonts w:hint="eastAsia" w:ascii="宋体" w:hAnsi="宋体" w:cs="宋体"/>
          <w:color w:val="000000"/>
          <w:kern w:val="0"/>
          <w:szCs w:val="24"/>
          <w:lang w:bidi="ar"/>
        </w:rPr>
      </w:pPr>
    </w:p>
    <w:p w14:paraId="0AA8E2D7">
      <w:pPr>
        <w:widowControl/>
        <w:spacing w:line="288" w:lineRule="atLeast"/>
        <w:ind w:firstLine="0" w:firstLineChars="0"/>
        <w:jc w:val="left"/>
        <w:rPr>
          <w:rFonts w:hint="eastAsia" w:ascii="宋体" w:hAnsi="宋体" w:cs="宋体"/>
          <w:color w:val="000000"/>
          <w:kern w:val="0"/>
          <w:szCs w:val="24"/>
          <w:lang w:bidi="ar"/>
        </w:rPr>
      </w:pPr>
      <w:r>
        <w:rPr>
          <w:rFonts w:ascii="宋体" w:hAnsi="宋体" w:cs="宋体"/>
          <w:color w:val="000000"/>
          <w:kern w:val="0"/>
          <w:szCs w:val="24"/>
          <w:lang w:bidi="ar"/>
        </w:rPr>
        <w:t>式中：</w:t>
      </w:r>
      <m:oMath>
        <m:r>
          <m:rPr/>
          <w:rPr>
            <w:rFonts w:ascii="Cambria Math" w:hAnsi="Cambria Math" w:eastAsia="Cambria Math" w:cs="Cambria Math"/>
          </w:rPr>
          <m:t>p(θ,s)</m:t>
        </m:r>
      </m:oMath>
      <w:r>
        <w:rPr>
          <w:rFonts w:ascii="宋体" w:hAnsi="宋体" w:cs="宋体"/>
          <w:color w:val="000000"/>
          <w:kern w:val="0"/>
          <w:szCs w:val="24"/>
          <w:lang w:bidi="ar"/>
        </w:rPr>
        <w:t>为投影正弦图数据；</w:t>
      </w:r>
      <m:oMath>
        <m:r>
          <m:rPr/>
          <w:rPr>
            <w:rFonts w:ascii="Cambria Math" w:hAnsi="Cambria Math" w:eastAsia="Cambria Math" w:cs="Cambria Math"/>
          </w:rPr>
          <m:t>θ</m:t>
        </m:r>
      </m:oMath>
      <w:r>
        <w:rPr>
          <w:rFonts w:ascii="宋体" w:hAnsi="宋体" w:cs="宋体"/>
          <w:color w:val="000000"/>
          <w:kern w:val="0"/>
          <w:szCs w:val="24"/>
          <w:lang w:bidi="ar"/>
        </w:rPr>
        <w:t>为扫描角度；</w:t>
      </w:r>
      <m:oMath>
        <m:r>
          <m:rPr/>
          <w:rPr>
            <w:rFonts w:ascii="Cambria Math" w:hAnsi="Cambria Math" w:eastAsia="Cambria Math" w:cs="Cambria Math"/>
          </w:rPr>
          <m:t>s</m:t>
        </m:r>
      </m:oMath>
      <w:r>
        <w:rPr>
          <w:rFonts w:ascii="宋体" w:hAnsi="宋体" w:cs="宋体"/>
          <w:color w:val="000000"/>
          <w:kern w:val="0"/>
          <w:szCs w:val="24"/>
          <w:lang w:bidi="ar"/>
        </w:rPr>
        <w:t>为探测器通道位置；</w:t>
      </w:r>
      <m:oMath>
        <m:r>
          <m:rPr/>
          <w:rPr>
            <w:rFonts w:ascii="Cambria Math" w:hAnsi="Cambria Math" w:eastAsia="Cambria Math" w:cs="Cambria Math"/>
          </w:rPr>
          <m:t>μ(x,y)</m:t>
        </m:r>
      </m:oMath>
      <w:r>
        <w:rPr>
          <w:rFonts w:ascii="宋体" w:hAnsi="宋体" w:cs="宋体"/>
          <w:color w:val="000000"/>
          <w:kern w:val="0"/>
          <w:szCs w:val="24"/>
          <w:lang w:bidi="ar"/>
        </w:rPr>
        <w:t>为人体组织衰减系数分布；</w:t>
      </w:r>
      <m:oMath>
        <m:r>
          <m:rPr/>
          <w:rPr>
            <w:rFonts w:ascii="Cambria Math" w:hAnsi="Cambria Math" w:eastAsia="Cambria Math" w:cs="Cambria Math"/>
          </w:rPr>
          <m:t>dl</m:t>
        </m:r>
      </m:oMath>
      <w:r>
        <w:rPr>
          <w:rFonts w:ascii="宋体" w:hAnsi="宋体" w:cs="宋体"/>
          <w:color w:val="000000"/>
          <w:kern w:val="0"/>
          <w:szCs w:val="24"/>
          <w:lang w:bidi="ar"/>
        </w:rPr>
        <w:t xml:space="preserve"> 为射线路径微元。</w:t>
      </w:r>
    </w:p>
    <w:p w14:paraId="0C130AC1">
      <w:pPr>
        <w:widowControl/>
        <w:jc w:val="left"/>
        <w:rPr>
          <w:rFonts w:hint="eastAsia" w:ascii="宋体" w:hAnsi="宋体" w:cs="宋体"/>
          <w:color w:val="000000"/>
          <w:szCs w:val="24"/>
        </w:rPr>
      </w:pPr>
      <w:r>
        <w:rPr>
          <w:rFonts w:hint="eastAsia" w:ascii="宋体" w:hAnsi="宋体" w:cs="宋体"/>
          <w:color w:val="000000"/>
          <w:kern w:val="0"/>
          <w:szCs w:val="24"/>
          <w:lang w:bidi="ar"/>
        </w:rPr>
        <w:t>目前临床与科研中主流重建算法主要分为</w:t>
      </w:r>
      <w:r>
        <w:rPr>
          <w:rStyle w:val="34"/>
          <w:rFonts w:hint="eastAsia" w:ascii="宋体" w:hAnsi="宋体" w:cs="宋体"/>
          <w:b w:val="0"/>
          <w:bCs w:val="0"/>
          <w:color w:val="000000"/>
          <w:kern w:val="0"/>
          <w:szCs w:val="24"/>
          <w:lang w:bidi="ar"/>
        </w:rPr>
        <w:t>滤波反投影算法（FBP）</w:t>
      </w:r>
      <w:r>
        <w:rPr>
          <w:rFonts w:hint="eastAsia" w:ascii="宋体" w:hAnsi="宋体" w:cs="宋体"/>
          <w:color w:val="000000"/>
          <w:kern w:val="0"/>
          <w:szCs w:val="24"/>
          <w:lang w:bidi="ar"/>
        </w:rPr>
        <w:t xml:space="preserve"> 与</w:t>
      </w:r>
      <w:r>
        <w:rPr>
          <w:rStyle w:val="34"/>
          <w:rFonts w:hint="eastAsia" w:ascii="宋体" w:hAnsi="宋体" w:cs="宋体"/>
          <w:b w:val="0"/>
          <w:bCs w:val="0"/>
          <w:color w:val="000000"/>
          <w:kern w:val="0"/>
          <w:szCs w:val="24"/>
          <w:lang w:bidi="ar"/>
        </w:rPr>
        <w:t>迭代重建算法（IR）</w:t>
      </w:r>
      <w:r>
        <w:rPr>
          <w:rFonts w:hint="eastAsia" w:ascii="宋体" w:hAnsi="宋体" w:cs="宋体"/>
          <w:color w:val="000000"/>
          <w:kern w:val="0"/>
          <w:szCs w:val="24"/>
          <w:lang w:bidi="ar"/>
        </w:rPr>
        <w:t xml:space="preserve"> 两大类，两类算法原理、计算特性与低剂量场景适应性存在明显差异。</w:t>
      </w:r>
    </w:p>
    <w:p w14:paraId="51904DE0">
      <w:pPr>
        <w:widowControl/>
        <w:jc w:val="left"/>
        <w:rPr>
          <w:rFonts w:hint="eastAsia" w:ascii="宋体" w:hAnsi="宋体" w:cs="宋体"/>
          <w:szCs w:val="24"/>
        </w:rPr>
      </w:pPr>
      <w:r>
        <w:rPr>
          <w:rFonts w:hint="eastAsia" w:ascii="宋体" w:hAnsi="宋体" w:cs="宋体"/>
          <w:color w:val="000000"/>
          <w:kern w:val="0"/>
          <w:szCs w:val="24"/>
          <w:lang w:bidi="ar"/>
        </w:rPr>
        <w:t>滤波反投影 FBP 属于解析类重建算法，运算逻辑简单、计算速度快，是常规剂量 CT 临床应用最广泛的重建方式。其基本流程为：先对原始投影数据进行频域滤波处理，再将滤波后的投影值沿 X 射线路径反向投影至对应像素位置，叠加求解得到断层图像。</w:t>
      </w:r>
      <w:r>
        <w:rPr>
          <w:rFonts w:ascii="宋体" w:hAnsi="宋体" w:cs="宋体"/>
          <w:szCs w:val="24"/>
        </w:rPr>
        <w:t>滤波反投影（FBP）是最经典的解析重建方法，其核心流程分为频域滤波与反投影两步，数学表达为</w:t>
      </w:r>
      <w:r>
        <w:rPr>
          <w:rFonts w:hint="eastAsia" w:ascii="宋体" w:hAnsi="宋体" w:cs="宋体"/>
          <w:szCs w:val="24"/>
        </w:rPr>
        <w:t>见式（4-2）</w:t>
      </w:r>
      <w:r>
        <w:rPr>
          <w:rFonts w:ascii="宋体" w:hAnsi="宋体" w:cs="宋体"/>
          <w:szCs w:val="24"/>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1"/>
        <w:gridCol w:w="1056"/>
      </w:tblGrid>
      <w:tr w14:paraId="6194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6" w:type="dxa"/>
            <w:tcBorders>
              <w:top w:val="nil"/>
              <w:left w:val="nil"/>
              <w:bottom w:val="nil"/>
              <w:right w:val="nil"/>
            </w:tcBorders>
          </w:tcPr>
          <w:p w14:paraId="28087A52">
            <w:pPr>
              <w:widowControl/>
              <w:spacing w:line="288" w:lineRule="atLeast"/>
              <w:jc w:val="left"/>
              <w:rPr>
                <w:rFonts w:hint="eastAsia" w:ascii="宋体" w:hAnsi="宋体" w:cs="宋体"/>
                <w:color w:val="000000"/>
                <w:kern w:val="0"/>
                <w:szCs w:val="24"/>
                <w:lang w:bidi="ar"/>
              </w:rPr>
            </w:pPr>
            <m:oMathPara>
              <m:oMathParaPr>
                <m:jc m:val="center"/>
              </m:oMathParaPr>
              <m:oMath>
                <m:sSub>
                  <m:sSubPr>
                    <m:ctrlPr>
                      <w:rPr>
                        <w:rFonts w:ascii="Cambria Math" w:hAnsi="Cambria Math"/>
                      </w:rPr>
                    </m:ctrlPr>
                  </m:sSubPr>
                  <m:e>
                    <m:r>
                      <m:rPr/>
                      <w:rPr>
                        <w:rFonts w:ascii="Cambria Math" w:hAnsi="Cambria Math" w:eastAsia="Cambria Math" w:cs="Cambria Math"/>
                      </w:rPr>
                      <m:t>μ</m:t>
                    </m:r>
                    <m:ctrlPr>
                      <w:rPr>
                        <w:rFonts w:ascii="Cambria Math" w:hAnsi="Cambria Math"/>
                      </w:rPr>
                    </m:ctrlPr>
                  </m:e>
                  <m:sub>
                    <m:r>
                      <m:rPr/>
                      <w:rPr>
                        <w:rFonts w:ascii="Cambria Math" w:hAnsi="Cambria Math" w:eastAsia="Cambria Math" w:cs="Cambria Math"/>
                      </w:rPr>
                      <m:t>FBP</m:t>
                    </m:r>
                    <m:ctrlPr>
                      <w:rPr>
                        <w:rFonts w:ascii="Cambria Math" w:hAnsi="Cambria Math"/>
                      </w:rPr>
                    </m:ctrlPr>
                  </m:sub>
                </m:sSub>
                <m:r>
                  <m:rPr/>
                  <w:rPr>
                    <w:rFonts w:ascii="Cambria Math" w:hAnsi="Cambria Math" w:eastAsia="Cambria Math" w:cs="Cambria Math"/>
                  </w:rPr>
                  <m:t>(x,y)=</m:t>
                </m:r>
                <m:sSubSup>
                  <m:sSubSupPr>
                    <m:ctrlPr>
                      <w:rPr>
                        <w:rFonts w:ascii="Cambria Math" w:hAnsi="Cambria Math"/>
                      </w:rPr>
                    </m:ctrlPr>
                  </m:sSubSupPr>
                  <m:e>
                    <m:r>
                      <m:rPr/>
                      <w:rPr>
                        <w:rFonts w:ascii="Cambria Math" w:hAnsi="Cambria Math" w:eastAsia="Cambria Math" w:cs="Cambria Math"/>
                      </w:rPr>
                      <m:t>∫</m:t>
                    </m:r>
                    <m:ctrlPr>
                      <w:rPr>
                        <w:rFonts w:ascii="Cambria Math" w:hAnsi="Cambria Math"/>
                      </w:rPr>
                    </m:ctrlPr>
                  </m:e>
                  <m:sub>
                    <m:r>
                      <m:rPr/>
                      <w:rPr>
                        <w:rFonts w:ascii="Cambria Math" w:hAnsi="Cambria Math" w:eastAsia="Cambria Math" w:cs="Cambria Math"/>
                      </w:rPr>
                      <m:t>0</m:t>
                    </m:r>
                    <m:ctrlPr>
                      <w:rPr>
                        <w:rFonts w:ascii="Cambria Math" w:hAnsi="Cambria Math"/>
                      </w:rPr>
                    </m:ctrlPr>
                  </m:sub>
                  <m:sup>
                    <m:r>
                      <m:rPr/>
                      <w:rPr>
                        <w:rFonts w:ascii="Cambria Math" w:hAnsi="Cambria Math" w:eastAsia="Cambria Math" w:cs="Cambria Math"/>
                      </w:rPr>
                      <m:t>π</m:t>
                    </m:r>
                    <m:ctrlPr>
                      <w:rPr>
                        <w:rFonts w:ascii="Cambria Math" w:hAnsi="Cambria Math"/>
                      </w:rPr>
                    </m:ctrlPr>
                  </m:sup>
                </m:sSubSup>
                <m:sSup>
                  <m:sSupPr>
                    <m:ctrlPr>
                      <w:rPr>
                        <w:rFonts w:ascii="Cambria Math" w:hAnsi="Cambria Math"/>
                      </w:rPr>
                    </m:ctrlPr>
                  </m:sSupPr>
                  <m:e>
                    <m:r>
                      <m:rPr/>
                      <w:rPr>
                        <w:rFonts w:ascii="Cambria Math" w:hAnsi="Cambria Math" w:eastAsia="Cambria Math" w:cs="Cambria Math"/>
                      </w:rPr>
                      <m:t>F</m:t>
                    </m:r>
                    <m:ctrlPr>
                      <w:rPr>
                        <w:rFonts w:ascii="Cambria Math" w:hAnsi="Cambria Math"/>
                      </w:rPr>
                    </m:ctrlPr>
                  </m:e>
                  <m:sup>
                    <m:r>
                      <m:rPr/>
                      <w:rPr>
                        <w:rFonts w:ascii="Cambria Math" w:hAnsi="Cambria Math" w:eastAsia="Cambria Math" w:cs="Cambria Math"/>
                      </w:rPr>
                      <m:t>−1</m:t>
                    </m:r>
                    <m:ctrlPr>
                      <w:rPr>
                        <w:rFonts w:ascii="Cambria Math" w:hAnsi="Cambria Math"/>
                      </w:rPr>
                    </m:ctrlPr>
                  </m:sup>
                </m:sSup>
                <m:r>
                  <m:rPr/>
                  <w:rPr>
                    <w:rFonts w:ascii="Cambria Math" w:hAnsi="Cambria Math" w:eastAsia="Cambria Math" w:cs="Cambria Math"/>
                  </w:rPr>
                  <m:t>{|ω|⋅F[p(θ,s)]}dθ</m:t>
                </m:r>
              </m:oMath>
            </m:oMathPara>
          </w:p>
        </w:tc>
        <w:tc>
          <w:tcPr>
            <w:tcW w:w="491" w:type="dxa"/>
            <w:tcBorders>
              <w:top w:val="nil"/>
              <w:left w:val="nil"/>
              <w:bottom w:val="nil"/>
              <w:right w:val="nil"/>
            </w:tcBorders>
          </w:tcPr>
          <w:p w14:paraId="68495D80">
            <w:pPr>
              <w:widowControl/>
              <w:spacing w:line="288" w:lineRule="atLeast"/>
              <w:ind w:firstLine="0" w:firstLineChars="0"/>
              <w:rPr>
                <w:rFonts w:hint="eastAsia" w:ascii="宋体" w:hAnsi="宋体" w:cs="宋体"/>
                <w:color w:val="000000"/>
                <w:kern w:val="0"/>
                <w:szCs w:val="24"/>
                <w:lang w:bidi="ar"/>
              </w:rPr>
            </w:pPr>
            <w:r>
              <w:rPr>
                <w:rFonts w:hint="eastAsia" w:ascii="宋体" w:hAnsi="宋体" w:cs="宋体"/>
                <w:color w:val="000000"/>
                <w:kern w:val="0"/>
                <w:szCs w:val="24"/>
                <w:lang w:bidi="ar"/>
              </w:rPr>
              <w:t>（4-2）</w:t>
            </w:r>
          </w:p>
        </w:tc>
      </w:tr>
    </w:tbl>
    <w:p w14:paraId="26E7947E">
      <w:pPr>
        <w:widowControl/>
        <w:jc w:val="left"/>
        <w:rPr>
          <w:rFonts w:hint="eastAsia" w:ascii="宋体" w:hAnsi="宋体" w:cs="宋体"/>
          <w:color w:val="000000"/>
          <w:kern w:val="0"/>
          <w:szCs w:val="24"/>
          <w:lang w:bidi="ar"/>
        </w:rPr>
      </w:pPr>
    </w:p>
    <w:p w14:paraId="1D386E75">
      <w:pPr>
        <w:widowControl/>
        <w:jc w:val="left"/>
        <w:rPr>
          <w:rFonts w:hint="eastAsia" w:ascii="宋体" w:hAnsi="宋体" w:cs="宋体"/>
          <w:szCs w:val="24"/>
        </w:rPr>
      </w:pPr>
      <m:oMath>
        <m:sSub>
          <m:sSubPr>
            <m:ctrlPr>
              <w:rPr>
                <w:rFonts w:hint="eastAsia" w:ascii="Cambria Math" w:hAnsi="Cambria Math" w:cs="宋体"/>
                <w:szCs w:val="24"/>
              </w:rPr>
            </m:ctrlPr>
          </m:sSubPr>
          <m:e>
            <m:r>
              <m:rPr/>
              <w:rPr>
                <w:rFonts w:ascii="Cambria Math" w:hAnsi="Cambria Math" w:cs="宋体"/>
                <w:szCs w:val="24"/>
              </w:rPr>
              <m:t>μ</m:t>
            </m:r>
            <m:ctrlPr>
              <w:rPr>
                <w:rFonts w:hint="eastAsia" w:ascii="Cambria Math" w:hAnsi="Cambria Math" w:cs="宋体"/>
                <w:szCs w:val="24"/>
              </w:rPr>
            </m:ctrlPr>
          </m:e>
          <m:sub>
            <m:r>
              <m:rPr/>
              <w:rPr>
                <w:rFonts w:ascii="Cambria Math" w:hAnsi="Cambria Math" w:cs="宋体"/>
                <w:szCs w:val="24"/>
              </w:rPr>
              <m:t>FBP</m:t>
            </m:r>
            <m:ctrlPr>
              <w:rPr>
                <w:rFonts w:hint="eastAsia" w:ascii="Cambria Math" w:hAnsi="Cambria Math" w:cs="宋体"/>
                <w:szCs w:val="24"/>
              </w:rPr>
            </m:ctrlPr>
          </m:sub>
        </m:sSub>
        <m:r>
          <m:rPr/>
          <w:rPr>
            <w:rFonts w:ascii="Cambria Math" w:hAnsi="Cambria Math" w:cs="宋体"/>
            <w:szCs w:val="24"/>
          </w:rPr>
          <m:t>(x,y)</m:t>
        </m:r>
      </m:oMath>
      <w:r>
        <w:rPr>
          <w:rFonts w:hint="eastAsia" w:hAnsi="Cambria Math" w:cs="宋体"/>
          <w:szCs w:val="24"/>
        </w:rPr>
        <w:t>：</w:t>
      </w:r>
      <w:r>
        <w:rPr>
          <w:rFonts w:hint="eastAsia" w:ascii="宋体" w:hAnsi="宋体" w:cs="宋体"/>
          <w:szCs w:val="24"/>
        </w:rPr>
        <w:t>为</w:t>
      </w:r>
      <w:r>
        <w:rPr>
          <w:rFonts w:hint="eastAsia" w:ascii="宋体" w:hAnsi="宋体" w:cs="宋体"/>
          <w:kern w:val="0"/>
          <w:szCs w:val="24"/>
          <w:lang w:bidi="ar"/>
        </w:rPr>
        <w:t>FBP 滤波反投影算法最终重建得到的</w:t>
      </w:r>
      <w:r>
        <w:rPr>
          <w:rStyle w:val="34"/>
          <w:rFonts w:hint="eastAsia" w:ascii="宋体" w:hAnsi="宋体" w:cs="宋体"/>
          <w:b w:val="0"/>
          <w:bCs w:val="0"/>
          <w:color w:val="000000"/>
          <w:kern w:val="0"/>
          <w:szCs w:val="24"/>
          <w:lang w:bidi="ar"/>
        </w:rPr>
        <w:t>人体组织 X 射线线性衰减系数分布</w:t>
      </w:r>
      <w:r>
        <w:rPr>
          <w:rFonts w:hint="eastAsia" w:ascii="宋体" w:hAnsi="宋体" w:cs="宋体"/>
          <w:kern w:val="0"/>
          <w:szCs w:val="24"/>
          <w:lang w:bidi="ar"/>
        </w:rPr>
        <w:t>，</w:t>
      </w:r>
      <m:oMath>
        <m:r>
          <m:rPr/>
          <w:rPr>
            <w:rFonts w:ascii="Cambria Math" w:hAnsi="Cambria Math" w:cs="宋体"/>
            <w:szCs w:val="24"/>
          </w:rPr>
          <m:t>(x,y)</m:t>
        </m:r>
      </m:oMath>
      <w:r>
        <w:rPr>
          <w:rFonts w:hint="eastAsia" w:ascii="宋体" w:hAnsi="宋体" w:cs="宋体"/>
          <w:kern w:val="0"/>
          <w:szCs w:val="24"/>
          <w:lang w:bidi="ar"/>
        </w:rPr>
        <w:t>为CT 断层图像二维像素坐标。</w:t>
      </w:r>
      <m:oMath>
        <m:r>
          <m:rPr/>
          <w:rPr>
            <w:rFonts w:ascii="Cambria Math" w:hAnsi="Cambria Math" w:eastAsia="Cambria Math" w:cs="Cambria Math"/>
          </w:rPr>
          <m:t>|ω|</m:t>
        </m:r>
      </m:oMath>
      <w:r>
        <w:rPr>
          <w:rFonts w:hint="eastAsia" w:hAnsi="Cambria Math" w:cs="Cambria Math"/>
        </w:rPr>
        <w:t>：</w:t>
      </w:r>
      <w:r>
        <w:rPr>
          <w:rStyle w:val="34"/>
          <w:rFonts w:hint="eastAsia" w:ascii="宋体" w:hAnsi="宋体" w:cs="宋体"/>
          <w:b w:val="0"/>
          <w:bCs w:val="0"/>
          <w:color w:val="000000"/>
          <w:szCs w:val="24"/>
        </w:rPr>
        <w:t>斜坡滤波算子</w:t>
      </w:r>
      <w:r>
        <w:rPr>
          <w:rFonts w:hint="eastAsia" w:ascii="宋体" w:hAnsi="宋体" w:cs="宋体"/>
          <w:szCs w:val="24"/>
        </w:rPr>
        <w:t>，CT 重建专用频率补偿滤波器，用于消除反投影固有模糊畸变，提升图像分辨率,</w:t>
      </w:r>
      <m:oMath>
        <m:r>
          <m:rPr/>
          <w:rPr>
            <w:rFonts w:ascii="Cambria Math" w:hAnsi="Cambria Math" w:eastAsia="Cambria Math" w:cs="Cambria Math"/>
          </w:rPr>
          <m:t>ω</m:t>
        </m:r>
      </m:oMath>
      <w:r>
        <w:rPr>
          <w:rFonts w:hint="eastAsia" w:hAnsi="Cambria Math" w:cs="Cambria Math"/>
        </w:rPr>
        <w:t>：</w:t>
      </w:r>
      <w:r>
        <w:rPr>
          <w:rFonts w:hint="eastAsia" w:ascii="宋体" w:hAnsi="宋体" w:cs="宋体"/>
          <w:szCs w:val="24"/>
        </w:rPr>
        <w:t>频域内</w:t>
      </w:r>
      <w:r>
        <w:rPr>
          <w:rStyle w:val="34"/>
          <w:rFonts w:hint="eastAsia" w:ascii="宋体" w:hAnsi="宋体" w:cs="宋体"/>
          <w:b w:val="0"/>
          <w:bCs w:val="0"/>
          <w:color w:val="000000"/>
          <w:szCs w:val="24"/>
        </w:rPr>
        <w:t>空间频率变量</w:t>
      </w:r>
      <w:r>
        <w:rPr>
          <w:rFonts w:hint="eastAsia" w:ascii="宋体" w:hAnsi="宋体" w:cs="宋体"/>
          <w:szCs w:val="24"/>
        </w:rPr>
        <w:t>，代表投影信号不同频率分量。</w:t>
      </w:r>
    </w:p>
    <w:p w14:paraId="18F23953">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但 FBP 属于线性重建方式，对投影域噪声极其敏感，在低剂量 CT 条件下会直接放大量子噪声与电子噪声，产生明显条纹伪影、颗粒噪声与边缘模糊，难以满足低剂量场景下的诊断需求。</w:t>
      </w:r>
    </w:p>
    <w:p w14:paraId="1F8DEF2F">
      <w:pPr>
        <w:widowControl/>
        <w:jc w:val="left"/>
        <w:rPr>
          <w:rFonts w:hint="eastAsia" w:ascii="宋体" w:hAnsi="宋体" w:cs="宋体"/>
          <w:szCs w:val="24"/>
        </w:rPr>
      </w:pPr>
      <w:r>
        <w:rPr>
          <w:rFonts w:hint="eastAsia" w:ascii="宋体" w:hAnsi="宋体" w:cs="宋体"/>
          <w:color w:val="000000"/>
          <w:kern w:val="0"/>
          <w:szCs w:val="24"/>
          <w:lang w:bidi="ar"/>
        </w:rPr>
        <w:t>迭代重建算法则以数学迭代优化为核心，将 CT 重建转化为带约束的最优化求解问题。通过不断迭代修正图像估计值，结合物理先验、稀疏先验与边缘约束，在抑制噪声、压制伪影的同时保留解剖细节。</w:t>
      </w:r>
      <w:r>
        <w:rPr>
          <w:rFonts w:ascii="宋体" w:hAnsi="宋体" w:cs="宋体"/>
          <w:szCs w:val="24"/>
        </w:rPr>
        <w:t>相比于解析类 FBP 算法，迭代重建将成像过程转化为带约束的优化求解问题，通用模型可定义为</w:t>
      </w:r>
      <w:r>
        <w:rPr>
          <w:rFonts w:hint="eastAsia" w:ascii="宋体" w:hAnsi="宋体" w:cs="宋体"/>
          <w:szCs w:val="24"/>
        </w:rPr>
        <w:t>见式（4-3）</w:t>
      </w:r>
      <w:r>
        <w:rPr>
          <w:rFonts w:ascii="宋体" w:hAnsi="宋体" w:cs="宋体"/>
          <w:szCs w:val="24"/>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1"/>
        <w:gridCol w:w="1056"/>
      </w:tblGrid>
      <w:tr w14:paraId="3E9D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6" w:type="dxa"/>
            <w:tcBorders>
              <w:top w:val="nil"/>
              <w:left w:val="nil"/>
              <w:bottom w:val="nil"/>
              <w:right w:val="nil"/>
            </w:tcBorders>
          </w:tcPr>
          <w:p w14:paraId="231DA33C">
            <w:pPr>
              <w:widowControl/>
              <w:spacing w:line="288" w:lineRule="atLeast"/>
              <w:jc w:val="left"/>
              <w:rPr>
                <w:rFonts w:hint="eastAsia" w:ascii="宋体" w:hAnsi="宋体" w:cs="宋体"/>
                <w:color w:val="000000"/>
                <w:kern w:val="0"/>
                <w:szCs w:val="24"/>
                <w:lang w:bidi="ar"/>
              </w:rPr>
            </w:pPr>
            <m:oMathPara>
              <m:oMath>
                <m:limLow>
                  <m:limLowPr>
                    <m:ctrlPr>
                      <w:rPr>
                        <w:rFonts w:ascii="Cambria Math" w:hAnsi="Cambria Math" w:cs="Cambria Math"/>
                      </w:rPr>
                    </m:ctrlPr>
                  </m:limLowPr>
                  <m:e>
                    <m:r>
                      <m:rPr/>
                      <w:rPr>
                        <w:rFonts w:ascii="Cambria Math" w:hAnsi="Cambria Math" w:cs="Cambria Math"/>
                      </w:rPr>
                      <m:t>min</m:t>
                    </m:r>
                    <m:ctrlPr>
                      <w:rPr>
                        <w:rFonts w:ascii="Cambria Math" w:hAnsi="Cambria Math" w:cs="Cambria Math"/>
                      </w:rPr>
                    </m:ctrlPr>
                  </m:e>
                  <m:lim>
                    <m:r>
                      <m:rPr/>
                      <w:rPr>
                        <w:rFonts w:ascii="Cambria Math" w:hAnsi="Cambria Math" w:cs="Cambria Math"/>
                      </w:rPr>
                      <m:t>μ</m:t>
                    </m:r>
                    <m:ctrlPr>
                      <w:rPr>
                        <w:rFonts w:ascii="Cambria Math" w:hAnsi="Cambria Math" w:cs="Cambria Math"/>
                      </w:rPr>
                    </m:ctrlPr>
                  </m:lim>
                </m:limLow>
                <m:f>
                  <m:fPr>
                    <m:ctrlPr>
                      <w:rPr>
                        <w:rFonts w:ascii="Cambria Math" w:hAnsi="Cambria Math" w:cs="Cambria Math"/>
                      </w:rPr>
                    </m:ctrlPr>
                  </m:fPr>
                  <m:num>
                    <m:r>
                      <m:rPr/>
                      <w:rPr>
                        <w:rFonts w:ascii="Cambria Math" w:hAnsi="Cambria Math" w:cs="Cambria Math"/>
                      </w:rPr>
                      <m:t>1</m:t>
                    </m:r>
                    <m:ctrlPr>
                      <w:rPr>
                        <w:rFonts w:ascii="Cambria Math" w:hAnsi="Cambria Math" w:cs="Cambria Math"/>
                      </w:rPr>
                    </m:ctrlPr>
                  </m:num>
                  <m:den>
                    <m:r>
                      <m:rPr/>
                      <w:rPr>
                        <w:rFonts w:ascii="Cambria Math" w:hAnsi="Cambria Math" w:cs="Cambria Math"/>
                      </w:rPr>
                      <m:t>2</m:t>
                    </m:r>
                    <m:ctrlPr>
                      <w:rPr>
                        <w:rFonts w:ascii="Cambria Math" w:hAnsi="Cambria Math" w:cs="Cambria Math"/>
                      </w:rPr>
                    </m:ctrlPr>
                  </m:den>
                </m:f>
                <m:r>
                  <m:rPr/>
                  <w:rPr>
                    <w:rFonts w:ascii="Cambria Math" w:hAnsi="Cambria Math" w:cs="Cambria Math"/>
                  </w:rPr>
                  <m:t>∥Aμ−p</m:t>
                </m:r>
                <m:sSubSup>
                  <m:sSubSupPr>
                    <m:ctrlPr>
                      <w:rPr>
                        <w:rFonts w:ascii="Cambria Math" w:hAnsi="Cambria Math" w:cs="Cambria Math"/>
                      </w:rPr>
                    </m:ctrlPr>
                  </m:sSubSupPr>
                  <m:e>
                    <m:r>
                      <m:rPr/>
                      <w:rPr>
                        <w:rFonts w:ascii="Cambria Math" w:hAnsi="Cambria Math" w:cs="Cambria Math"/>
                      </w:rPr>
                      <m:t>∥</m:t>
                    </m:r>
                    <m:ctrlPr>
                      <w:rPr>
                        <w:rFonts w:ascii="Cambria Math" w:hAnsi="Cambria Math" w:cs="Cambria Math"/>
                      </w:rPr>
                    </m:ctrlPr>
                  </m:e>
                  <m:sub>
                    <m:r>
                      <m:rPr/>
                      <w:rPr>
                        <w:rFonts w:ascii="Cambria Math" w:hAnsi="Cambria Math" w:cs="Cambria Math"/>
                      </w:rPr>
                      <m:t>2</m:t>
                    </m:r>
                    <m:ctrlPr>
                      <w:rPr>
                        <w:rFonts w:ascii="Cambria Math" w:hAnsi="Cambria Math" w:cs="Cambria Math"/>
                      </w:rPr>
                    </m:ctrlPr>
                  </m:sub>
                  <m:sup>
                    <m:r>
                      <m:rPr/>
                      <w:rPr>
                        <w:rFonts w:ascii="Cambria Math" w:hAnsi="Cambria Math" w:cs="Cambria Math"/>
                      </w:rPr>
                      <m:t>2</m:t>
                    </m:r>
                    <m:ctrlPr>
                      <w:rPr>
                        <w:rFonts w:ascii="Cambria Math" w:hAnsi="Cambria Math" w:cs="Cambria Math"/>
                      </w:rPr>
                    </m:ctrlPr>
                  </m:sup>
                </m:sSubSup>
                <m:r>
                  <m:rPr/>
                  <w:rPr>
                    <w:rFonts w:ascii="Cambria Math" w:hAnsi="Cambria Math" w:cs="Cambria Math"/>
                  </w:rPr>
                  <m:t>+λR(μ)</m:t>
                </m:r>
              </m:oMath>
            </m:oMathPara>
          </w:p>
        </w:tc>
        <w:tc>
          <w:tcPr>
            <w:tcW w:w="491" w:type="dxa"/>
            <w:tcBorders>
              <w:top w:val="nil"/>
              <w:left w:val="nil"/>
              <w:bottom w:val="nil"/>
              <w:right w:val="nil"/>
            </w:tcBorders>
            <w:vAlign w:val="center"/>
          </w:tcPr>
          <w:p w14:paraId="430C0160">
            <w:pPr>
              <w:widowControl/>
              <w:spacing w:line="288" w:lineRule="atLeast"/>
              <w:ind w:firstLine="0" w:firstLineChars="0"/>
              <w:jc w:val="center"/>
              <w:rPr>
                <w:rFonts w:hint="eastAsia" w:ascii="宋体" w:hAnsi="宋体" w:cs="宋体"/>
                <w:color w:val="000000"/>
                <w:kern w:val="0"/>
                <w:szCs w:val="24"/>
                <w:lang w:bidi="ar"/>
              </w:rPr>
            </w:pPr>
            <w:r>
              <w:rPr>
                <w:rFonts w:hint="eastAsia" w:ascii="宋体" w:hAnsi="宋体" w:cs="宋体"/>
                <w:color w:val="000000"/>
                <w:kern w:val="0"/>
                <w:szCs w:val="24"/>
                <w:lang w:bidi="ar"/>
              </w:rPr>
              <w:t>（4-3）</w:t>
            </w:r>
          </w:p>
        </w:tc>
      </w:tr>
    </w:tbl>
    <w:p w14:paraId="3D082B35">
      <w:pPr>
        <w:widowControl/>
        <w:jc w:val="left"/>
        <w:rPr>
          <w:rFonts w:hint="eastAsia" w:ascii="宋体" w:hAnsi="宋体" w:cs="宋体"/>
          <w:color w:val="000000"/>
          <w:szCs w:val="24"/>
        </w:rPr>
      </w:pPr>
      <w:r>
        <w:rPr>
          <w:rFonts w:hint="eastAsia" w:ascii="宋体" w:hAnsi="宋体" w:cs="宋体"/>
          <w:color w:val="000000"/>
          <w:kern w:val="0"/>
          <w:szCs w:val="24"/>
          <w:lang w:bidi="ar"/>
        </w:rPr>
        <w:t>其中</w:t>
      </w:r>
      <w:r>
        <w:rPr>
          <w:rStyle w:val="34"/>
          <w:rFonts w:hint="eastAsia" w:ascii="宋体" w:hAnsi="宋体" w:cs="宋体"/>
          <w:b w:val="0"/>
          <w:bCs w:val="0"/>
          <w:color w:val="000000"/>
          <w:kern w:val="0"/>
          <w:szCs w:val="24"/>
          <w:lang w:bidi="ar"/>
        </w:rPr>
        <w:t>交替方向乘子法（ADMM）</w:t>
      </w:r>
      <w:r>
        <w:rPr>
          <w:rFonts w:hint="eastAsia" w:ascii="宋体" w:hAnsi="宋体" w:cs="宋体"/>
          <w:color w:val="000000"/>
          <w:kern w:val="0"/>
          <w:szCs w:val="24"/>
          <w:lang w:bidi="ar"/>
        </w:rPr>
        <w:t xml:space="preserve"> 与</w:t>
      </w:r>
      <w:r>
        <w:rPr>
          <w:rStyle w:val="34"/>
          <w:rFonts w:hint="eastAsia" w:ascii="宋体" w:hAnsi="宋体" w:cs="宋体"/>
          <w:b w:val="0"/>
          <w:bCs w:val="0"/>
          <w:color w:val="000000"/>
          <w:kern w:val="0"/>
          <w:szCs w:val="24"/>
          <w:lang w:bidi="ar"/>
        </w:rPr>
        <w:t>总变分正则化（TV）</w:t>
      </w:r>
      <w:r>
        <w:rPr>
          <w:rFonts w:hint="eastAsia" w:ascii="宋体" w:hAnsi="宋体" w:cs="宋体"/>
          <w:color w:val="000000"/>
          <w:kern w:val="0"/>
          <w:szCs w:val="24"/>
          <w:lang w:bidi="ar"/>
        </w:rPr>
        <w:t xml:space="preserve"> 是应用最广的经典框架，凭借求解稳定、边缘保持能力强、适配低噪声投影输入等优势，成为本文去噪后投影数据的首选重建方案。</w:t>
      </w:r>
    </w:p>
    <w:p w14:paraId="7D6E68E4">
      <w:pPr>
        <w:pStyle w:val="3"/>
      </w:pPr>
      <w:bookmarkStart w:id="376" w:name="_Toc28191"/>
      <w:bookmarkStart w:id="377" w:name="_Toc9060"/>
      <w:bookmarkStart w:id="378" w:name="_Toc31310"/>
      <w:bookmarkStart w:id="379" w:name="_Toc24211"/>
      <w:bookmarkStart w:id="380" w:name="_Toc25527"/>
      <w:bookmarkStart w:id="381" w:name="_Toc30242"/>
      <w:bookmarkStart w:id="382" w:name="_Toc12119"/>
      <w:bookmarkStart w:id="383" w:name="_Toc23773"/>
      <w:bookmarkStart w:id="384" w:name="_Toc12501"/>
      <w:bookmarkStart w:id="385" w:name="_Toc19140"/>
      <w:bookmarkStart w:id="386" w:name="_Toc30496"/>
      <w:bookmarkStart w:id="387" w:name="_Toc2710"/>
      <w:bookmarkStart w:id="388" w:name="_Toc19587"/>
      <w:bookmarkStart w:id="389" w:name="_Toc18727"/>
      <w:bookmarkStart w:id="390" w:name="_Toc22755"/>
      <w:r>
        <w:rPr>
          <w:rFonts w:hint="eastAsia"/>
        </w:rPr>
        <w:t>4.2 基于 ADMM-TV 的高质量迭代重建方法</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0FBAEE77">
      <w:pPr>
        <w:widowControl/>
        <w:jc w:val="left"/>
        <w:rPr>
          <w:rFonts w:hint="eastAsia" w:ascii="宋体" w:hAnsi="宋体" w:cs="宋体"/>
          <w:szCs w:val="24"/>
        </w:rPr>
      </w:pPr>
      <w:r>
        <w:rPr>
          <w:rFonts w:ascii="宋体" w:hAnsi="宋体" w:cs="宋体"/>
          <w:color w:val="000000"/>
          <w:kern w:val="0"/>
          <w:szCs w:val="24"/>
          <w:lang w:bidi="ar"/>
        </w:rPr>
        <w:t>结合去噪后的投影数据实现高质量 CT 图像重建，需以迭代重建算法为核心技术路径，其中交替方向乘子法（ADMM）与总变分（TV）正则化算法是当前主流选择。ADMM 通过将复杂的重建优化问题分解为多个子问题交替求解，拆分全局约束为局部子问题分步迭代更新，可有效平衡重建运算效率与图像还原质量；TV 正则化则通过约束图像梯度的 L1 范数，利用医学图像分片平滑、边缘突变的稀疏特性，在有效平滑平坦区域噪声的同时精准保留组织边缘与细微解剖细节。</w:t>
      </w:r>
      <w:r>
        <w:rPr>
          <w:rFonts w:ascii="宋体" w:hAnsi="宋体" w:cs="宋体"/>
          <w:szCs w:val="24"/>
        </w:rPr>
        <w:t>为在抑制噪声的同时保留图像边缘细节，本文引入总变分 TV 正则化约束，其数学定义为</w:t>
      </w:r>
      <w:r>
        <w:rPr>
          <w:rFonts w:hint="eastAsia" w:ascii="宋体" w:hAnsi="宋体" w:cs="宋体"/>
          <w:szCs w:val="24"/>
        </w:rPr>
        <w:t>见式（4-4）</w:t>
      </w:r>
      <w:r>
        <w:rPr>
          <w:rFonts w:ascii="宋体" w:hAnsi="宋体" w:cs="宋体"/>
          <w:szCs w:val="24"/>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1"/>
        <w:gridCol w:w="1056"/>
      </w:tblGrid>
      <w:tr w14:paraId="75A7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6" w:type="dxa"/>
            <w:tcBorders>
              <w:top w:val="nil"/>
              <w:left w:val="nil"/>
              <w:bottom w:val="nil"/>
              <w:right w:val="nil"/>
            </w:tcBorders>
          </w:tcPr>
          <w:p w14:paraId="115AF39F">
            <w:pPr>
              <w:pStyle w:val="68"/>
              <w:ind w:firstLine="400"/>
              <w:rPr>
                <w:rFonts w:hint="eastAsia" w:hAnsi="宋体" w:cs="宋体"/>
                <w:color w:val="000000"/>
                <w:sz w:val="24"/>
                <w:lang w:val="en-US" w:bidi="ar"/>
              </w:rPr>
            </w:pPr>
            <m:oMathPara>
              <m:oMathParaPr>
                <m:jc m:val="center"/>
              </m:oMathParaPr>
              <m:oMath>
                <m:sSub>
                  <m:sSubPr>
                    <m:ctrlPr>
                      <w:rPr>
                        <w:rFonts w:ascii="Cambria Math" w:hAnsi="Cambria Math" w:cs="Cambria Math"/>
                      </w:rPr>
                    </m:ctrlPr>
                  </m:sSubPr>
                  <m:e>
                    <m:r>
                      <m:rPr/>
                      <w:rPr>
                        <w:rFonts w:ascii="Cambria Math" w:hAnsi="Cambria Math" w:cs="Cambria Math"/>
                      </w:rPr>
                      <m:t>R</m:t>
                    </m:r>
                    <m:ctrlPr>
                      <w:rPr>
                        <w:rFonts w:ascii="Cambria Math" w:hAnsi="Cambria Math" w:cs="Cambria Math"/>
                      </w:rPr>
                    </m:ctrlPr>
                  </m:e>
                  <m:sub>
                    <m:r>
                      <m:rPr>
                        <m:sty m:val="p"/>
                      </m:rPr>
                      <w:rPr>
                        <w:rFonts w:ascii="Cambria Math" w:hAnsi="Cambria Math" w:cs="Cambria Math"/>
                      </w:rPr>
                      <m:t>TV</m:t>
                    </m:r>
                    <m:ctrlPr>
                      <w:rPr>
                        <w:rFonts w:ascii="Cambria Math" w:hAnsi="Cambria Math" w:cs="Cambria Math"/>
                      </w:rPr>
                    </m:ctrlPr>
                  </m:sub>
                </m:sSub>
                <m:d>
                  <m:dPr>
                    <m:ctrlPr>
                      <w:rPr>
                        <w:rFonts w:ascii="Cambria Math" w:hAnsi="Cambria Math" w:cs="Cambria Math"/>
                      </w:rPr>
                    </m:ctrlPr>
                  </m:dPr>
                  <m:e>
                    <m:r>
                      <m:rPr/>
                      <w:rPr>
                        <w:rFonts w:ascii="Cambria Math" w:hAnsi="Cambria Math" w:cs="Cambria Math"/>
                      </w:rPr>
                      <m:t>μ</m:t>
                    </m:r>
                    <m:ctrlPr>
                      <w:rPr>
                        <w:rFonts w:ascii="Cambria Math" w:hAnsi="Cambria Math" w:cs="Cambria Math"/>
                      </w:rPr>
                    </m:ctrlPr>
                  </m:e>
                </m:d>
                <m:r>
                  <m:rPr>
                    <m:sty m:val="p"/>
                  </m:rPr>
                  <w:rPr>
                    <w:rFonts w:ascii="Cambria Math" w:hAnsi="Cambria Math" w:cs="Cambria Math"/>
                  </w:rPr>
                  <m:t>=∥∇</m:t>
                </m:r>
                <m:r>
                  <m:rPr/>
                  <w:rPr>
                    <w:rFonts w:ascii="Cambria Math" w:hAnsi="Cambria Math" w:cs="Cambria Math"/>
                  </w:rPr>
                  <m:t>μ</m:t>
                </m:r>
                <m:sSub>
                  <m:sSubPr>
                    <m:ctrlPr>
                      <w:rPr>
                        <w:rFonts w:ascii="Cambria Math" w:hAnsi="Cambria Math" w:cs="Cambria Math"/>
                      </w:rPr>
                    </m:ctrlPr>
                  </m:sSubPr>
                  <m:e>
                    <m:r>
                      <m:rPr>
                        <m:sty m:val="p"/>
                      </m:rPr>
                      <w:rPr>
                        <w:rFonts w:ascii="Cambria Math" w:hAnsi="Cambria Math" w:cs="Cambria Math"/>
                      </w:rPr>
                      <m:t>∥</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r>
                  <m:rPr>
                    <m:sty m:val="p"/>
                  </m:rPr>
                  <w:rPr>
                    <w:rFonts w:ascii="Cambria Math" w:hAnsi="Cambria Math" w:cs="Cambria Math"/>
                  </w:rPr>
                  <m:t>=</m:t>
                </m:r>
                <m:nary>
                  <m:naryPr>
                    <m:chr m:val="∑"/>
                    <m:limLoc m:val="undOvr"/>
                    <m:supHide m:val="1"/>
                    <m:ctrlPr>
                      <w:rPr>
                        <w:rFonts w:ascii="Cambria Math" w:hAnsi="Cambria Math" w:cs="Cambria Math"/>
                      </w:rPr>
                    </m:ctrlPr>
                  </m:naryPr>
                  <m:sub>
                    <m:r>
                      <m:rPr/>
                      <w:rPr>
                        <w:rFonts w:ascii="Cambria Math" w:hAnsi="Cambria Math" w:cs="Cambria Math"/>
                      </w:rPr>
                      <m:t>x</m:t>
                    </m:r>
                    <m:r>
                      <m:rPr>
                        <m:sty m:val="p"/>
                      </m:rPr>
                      <w:rPr>
                        <w:rFonts w:ascii="Cambria Math" w:hAnsi="Cambria Math" w:cs="Cambria Math"/>
                      </w:rPr>
                      <m:t>,</m:t>
                    </m:r>
                    <m:r>
                      <m:rPr/>
                      <w:rPr>
                        <w:rFonts w:ascii="Cambria Math" w:hAnsi="Cambria Math" w:cs="Cambria Math"/>
                      </w:rPr>
                      <m:t>y</m:t>
                    </m:r>
                    <m:ctrlPr>
                      <w:rPr>
                        <w:rFonts w:ascii="Cambria Math" w:hAnsi="Cambria Math" w:cs="Cambria Math"/>
                      </w:rPr>
                    </m:ctrlPr>
                  </m:sub>
                  <m:sup>
                    <m:r>
                      <m:rPr>
                        <m:sty m:val="p"/>
                      </m:rPr>
                      <w:rPr>
                        <w:rFonts w:ascii="Cambria Math" w:hAnsi="Cambria Math" w:cs="Cambria Math"/>
                      </w:rPr>
                      <m:t>​</m:t>
                    </m:r>
                    <m:ctrlPr>
                      <w:rPr>
                        <w:rFonts w:ascii="Cambria Math" w:hAnsi="Cambria Math" w:cs="Cambria Math"/>
                      </w:rPr>
                    </m:ctrlPr>
                  </m:sup>
                  <m:e>
                    <m:rad>
                      <m:radPr>
                        <m:degHide m:val="1"/>
                        <m:ctrlPr>
                          <w:rPr>
                            <w:rFonts w:ascii="Cambria Math" w:hAnsi="Cambria Math" w:cs="Cambria Math"/>
                          </w:rPr>
                        </m:ctrlPr>
                      </m:radPr>
                      <m:deg>
                        <m:ctrlPr>
                          <w:rPr>
                            <w:rFonts w:ascii="Cambria Math" w:hAnsi="Cambria Math" w:cs="Cambria Math"/>
                          </w:rPr>
                        </m:ctrlPr>
                      </m:deg>
                      <m:e>
                        <m:sSup>
                          <m:sSupPr>
                            <m:ctrlPr>
                              <w:rPr>
                                <w:rFonts w:ascii="Cambria Math" w:hAnsi="Cambria Math" w:cs="Cambria Math"/>
                              </w:rPr>
                            </m:ctrlPr>
                          </m:sSupPr>
                          <m:e>
                            <m:d>
                              <m:dPr>
                                <m:ctrlPr>
                                  <w:rPr>
                                    <w:rFonts w:ascii="Cambria Math" w:hAnsi="Cambria Math" w:cs="Cambria Math"/>
                                  </w:rPr>
                                </m:ctrlPr>
                              </m:dPr>
                              <m:e>
                                <m:sSub>
                                  <m:sSubPr>
                                    <m:ctrlPr>
                                      <w:rPr>
                                        <w:rFonts w:ascii="Cambria Math" w:hAnsi="Cambria Math" w:cs="Cambria Math"/>
                                      </w:rPr>
                                    </m:ctrlPr>
                                  </m:sSubPr>
                                  <m:e>
                                    <m:r>
                                      <m:rPr>
                                        <m:sty m:val="p"/>
                                      </m:rPr>
                                      <w:rPr>
                                        <w:rFonts w:ascii="Cambria Math" w:hAnsi="Cambria Math" w:cs="Cambria Math"/>
                                      </w:rPr>
                                      <m:t>∂</m:t>
                                    </m:r>
                                    <m:ctrlPr>
                                      <w:rPr>
                                        <w:rFonts w:ascii="Cambria Math" w:hAnsi="Cambria Math" w:cs="Cambria Math"/>
                                      </w:rPr>
                                    </m:ctrlPr>
                                  </m:e>
                                  <m:sub>
                                    <m:r>
                                      <m:rPr/>
                                      <w:rPr>
                                        <w:rFonts w:ascii="Cambria Math" w:hAnsi="Cambria Math" w:cs="Cambria Math"/>
                                      </w:rPr>
                                      <m:t>x</m:t>
                                    </m:r>
                                    <m:ctrlPr>
                                      <w:rPr>
                                        <w:rFonts w:ascii="Cambria Math" w:hAnsi="Cambria Math" w:cs="Cambria Math"/>
                                      </w:rPr>
                                    </m:ctrlPr>
                                  </m:sub>
                                </m:sSub>
                                <m:r>
                                  <m:rPr/>
                                  <w:rPr>
                                    <w:rFonts w:ascii="Cambria Math" w:hAnsi="Cambria Math" w:cs="Cambria Math"/>
                                  </w:rPr>
                                  <m:t>μ</m:t>
                                </m:r>
                                <m:d>
                                  <m:dPr>
                                    <m:ctrlPr>
                                      <w:rPr>
                                        <w:rFonts w:ascii="Cambria Math" w:hAnsi="Cambria Math" w:cs="Cambria Math"/>
                                      </w:rPr>
                                    </m:ctrlPr>
                                  </m:dPr>
                                  <m:e>
                                    <m:r>
                                      <m:rPr/>
                                      <w:rPr>
                                        <w:rFonts w:ascii="Cambria Math" w:hAnsi="Cambria Math" w:cs="Cambria Math"/>
                                      </w:rPr>
                                      <m:t>x</m:t>
                                    </m:r>
                                    <m:r>
                                      <m:rPr>
                                        <m:sty m:val="p"/>
                                      </m:rPr>
                                      <w:rPr>
                                        <w:rFonts w:ascii="Cambria Math" w:hAnsi="Cambria Math" w:cs="Cambria Math"/>
                                      </w:rPr>
                                      <m:t>,</m:t>
                                    </m:r>
                                    <m:r>
                                      <m:rPr/>
                                      <w:rPr>
                                        <w:rFonts w:ascii="Cambria Math" w:hAnsi="Cambria Math" w:cs="Cambria Math"/>
                                      </w:rPr>
                                      <m:t>y</m:t>
                                    </m:r>
                                    <m:ctrlPr>
                                      <w:rPr>
                                        <w:rFonts w:ascii="Cambria Math" w:hAnsi="Cambria Math" w:cs="Cambria Math"/>
                                      </w:rPr>
                                    </m:ctrlPr>
                                  </m:e>
                                </m:d>
                                <m:ctrlPr>
                                  <w:rPr>
                                    <w:rFonts w:ascii="Cambria Math" w:hAnsi="Cambria Math" w:cs="Cambria Math"/>
                                  </w:rPr>
                                </m:ctrlPr>
                              </m:e>
                            </m:d>
                            <m:ctrlPr>
                              <w:rPr>
                                <w:rFonts w:ascii="Cambria Math" w:hAnsi="Cambria Math" w:cs="Cambria Math"/>
                              </w:rPr>
                            </m:ctrlPr>
                          </m:e>
                          <m:sup>
                            <m:r>
                              <m:rPr>
                                <m:sty m:val="p"/>
                              </m:rPr>
                              <w:rPr>
                                <w:rFonts w:ascii="Cambria Math" w:hAnsi="Cambria Math" w:cs="Cambria Math"/>
                              </w:rPr>
                              <m:t>2</m:t>
                            </m:r>
                            <m:ctrlPr>
                              <w:rPr>
                                <w:rFonts w:ascii="Cambria Math" w:hAnsi="Cambria Math" w:cs="Cambria Math"/>
                              </w:rPr>
                            </m:ctrlPr>
                          </m:sup>
                        </m:sSup>
                        <m:r>
                          <m:rPr>
                            <m:sty m:val="p"/>
                          </m:rPr>
                          <w:rPr>
                            <w:rFonts w:ascii="Cambria Math" w:hAnsi="Cambria Math" w:cs="Cambria Math"/>
                          </w:rPr>
                          <m:t>+</m:t>
                        </m:r>
                        <m:sSup>
                          <m:sSupPr>
                            <m:ctrlPr>
                              <w:rPr>
                                <w:rFonts w:ascii="Cambria Math" w:hAnsi="Cambria Math" w:cs="Cambria Math"/>
                              </w:rPr>
                            </m:ctrlPr>
                          </m:sSupPr>
                          <m:e>
                            <m:d>
                              <m:dPr>
                                <m:ctrlPr>
                                  <w:rPr>
                                    <w:rFonts w:ascii="Cambria Math" w:hAnsi="Cambria Math" w:cs="Cambria Math"/>
                                  </w:rPr>
                                </m:ctrlPr>
                              </m:dPr>
                              <m:e>
                                <m:sSub>
                                  <m:sSubPr>
                                    <m:ctrlPr>
                                      <w:rPr>
                                        <w:rFonts w:ascii="Cambria Math" w:hAnsi="Cambria Math" w:cs="Cambria Math"/>
                                      </w:rPr>
                                    </m:ctrlPr>
                                  </m:sSubPr>
                                  <m:e>
                                    <m:r>
                                      <m:rPr>
                                        <m:sty m:val="p"/>
                                      </m:rPr>
                                      <w:rPr>
                                        <w:rFonts w:ascii="Cambria Math" w:hAnsi="Cambria Math" w:cs="Cambria Math"/>
                                      </w:rPr>
                                      <m:t>∂</m:t>
                                    </m:r>
                                    <m:ctrlPr>
                                      <w:rPr>
                                        <w:rFonts w:ascii="Cambria Math" w:hAnsi="Cambria Math" w:cs="Cambria Math"/>
                                      </w:rPr>
                                    </m:ctrlPr>
                                  </m:e>
                                  <m:sub>
                                    <m:r>
                                      <m:rPr/>
                                      <w:rPr>
                                        <w:rFonts w:ascii="Cambria Math" w:hAnsi="Cambria Math" w:cs="Cambria Math"/>
                                      </w:rPr>
                                      <m:t>y</m:t>
                                    </m:r>
                                    <m:ctrlPr>
                                      <w:rPr>
                                        <w:rFonts w:ascii="Cambria Math" w:hAnsi="Cambria Math" w:cs="Cambria Math"/>
                                      </w:rPr>
                                    </m:ctrlPr>
                                  </m:sub>
                                </m:sSub>
                                <m:r>
                                  <m:rPr/>
                                  <w:rPr>
                                    <w:rFonts w:ascii="Cambria Math" w:hAnsi="Cambria Math" w:cs="Cambria Math"/>
                                  </w:rPr>
                                  <m:t>μ</m:t>
                                </m:r>
                                <m:d>
                                  <m:dPr>
                                    <m:ctrlPr>
                                      <w:rPr>
                                        <w:rFonts w:ascii="Cambria Math" w:hAnsi="Cambria Math" w:cs="Cambria Math"/>
                                      </w:rPr>
                                    </m:ctrlPr>
                                  </m:dPr>
                                  <m:e>
                                    <m:r>
                                      <m:rPr/>
                                      <w:rPr>
                                        <w:rFonts w:ascii="Cambria Math" w:hAnsi="Cambria Math" w:cs="Cambria Math"/>
                                      </w:rPr>
                                      <m:t>x</m:t>
                                    </m:r>
                                    <m:r>
                                      <m:rPr>
                                        <m:sty m:val="p"/>
                                      </m:rPr>
                                      <w:rPr>
                                        <w:rFonts w:ascii="Cambria Math" w:hAnsi="Cambria Math" w:cs="Cambria Math"/>
                                      </w:rPr>
                                      <m:t>,</m:t>
                                    </m:r>
                                    <m:r>
                                      <m:rPr/>
                                      <w:rPr>
                                        <w:rFonts w:ascii="Cambria Math" w:hAnsi="Cambria Math" w:cs="Cambria Math"/>
                                      </w:rPr>
                                      <m:t>y</m:t>
                                    </m:r>
                                    <m:ctrlPr>
                                      <w:rPr>
                                        <w:rFonts w:ascii="Cambria Math" w:hAnsi="Cambria Math" w:cs="Cambria Math"/>
                                      </w:rPr>
                                    </m:ctrlPr>
                                  </m:e>
                                </m:d>
                                <m:ctrlPr>
                                  <w:rPr>
                                    <w:rFonts w:ascii="Cambria Math" w:hAnsi="Cambria Math" w:cs="Cambria Math"/>
                                  </w:rPr>
                                </m:ctrlPr>
                              </m:e>
                            </m:d>
                            <m:ctrlPr>
                              <w:rPr>
                                <w:rFonts w:ascii="Cambria Math" w:hAnsi="Cambria Math" w:cs="Cambria Math"/>
                              </w:rPr>
                            </m:ctrlPr>
                          </m:e>
                          <m:sup>
                            <m:r>
                              <m:rPr>
                                <m:sty m:val="p"/>
                              </m:rPr>
                              <w:rPr>
                                <w:rFonts w:ascii="Cambria Math" w:hAnsi="Cambria Math" w:cs="Cambria Math"/>
                                <w:lang w:val="en-US"/>
                              </w:rPr>
                              <m:t>2</m:t>
                            </m:r>
                            <m:ctrlPr>
                              <w:rPr>
                                <w:rFonts w:ascii="Cambria Math" w:hAnsi="Cambria Math" w:cs="Cambria Math"/>
                              </w:rPr>
                            </m:ctrlPr>
                          </m:sup>
                        </m:sSup>
                        <m:ctrlPr>
                          <w:rPr>
                            <w:rFonts w:ascii="Cambria Math" w:hAnsi="Cambria Math" w:cs="Cambria Math"/>
                          </w:rPr>
                        </m:ctrlPr>
                      </m:e>
                    </m:rad>
                    <m:ctrlPr>
                      <w:rPr>
                        <w:rFonts w:ascii="Cambria Math" w:hAnsi="Cambria Math" w:cs="Cambria Math"/>
                      </w:rPr>
                    </m:ctrlPr>
                  </m:e>
                </m:nary>
              </m:oMath>
            </m:oMathPara>
          </w:p>
        </w:tc>
        <w:tc>
          <w:tcPr>
            <w:tcW w:w="491" w:type="dxa"/>
            <w:tcBorders>
              <w:top w:val="nil"/>
              <w:left w:val="nil"/>
              <w:bottom w:val="nil"/>
              <w:right w:val="nil"/>
            </w:tcBorders>
            <w:vAlign w:val="center"/>
          </w:tcPr>
          <w:p w14:paraId="6940CA90">
            <w:pPr>
              <w:widowControl/>
              <w:spacing w:line="288" w:lineRule="atLeast"/>
              <w:ind w:firstLine="0" w:firstLineChars="0"/>
              <w:jc w:val="center"/>
              <w:rPr>
                <w:rFonts w:hint="eastAsia" w:ascii="宋体" w:hAnsi="宋体" w:cs="宋体"/>
                <w:color w:val="000000"/>
                <w:kern w:val="0"/>
                <w:szCs w:val="24"/>
                <w:lang w:bidi="ar"/>
              </w:rPr>
            </w:pPr>
            <w:r>
              <w:rPr>
                <w:rFonts w:hint="eastAsia" w:ascii="宋体" w:hAnsi="宋体" w:cs="宋体"/>
                <w:color w:val="000000"/>
                <w:kern w:val="0"/>
                <w:szCs w:val="24"/>
                <w:lang w:bidi="ar"/>
              </w:rPr>
              <w:t>（4-4）</w:t>
            </w:r>
          </w:p>
        </w:tc>
      </w:tr>
    </w:tbl>
    <w:p w14:paraId="47023F20">
      <w:pPr>
        <w:widowControl/>
        <w:jc w:val="left"/>
        <w:rPr>
          <w:rFonts w:hint="eastAsia" w:ascii="宋体" w:hAnsi="宋体" w:cs="宋体"/>
          <w:szCs w:val="24"/>
        </w:rPr>
      </w:pPr>
      <w:r>
        <w:rPr>
          <w:rFonts w:ascii="宋体" w:hAnsi="宋体" w:cs="宋体"/>
          <w:szCs w:val="24"/>
        </w:rPr>
        <w:t>将 TV 正则化引入重建优化目标，可构造目标函数</w:t>
      </w:r>
      <w:r>
        <w:rPr>
          <w:rFonts w:hint="eastAsia" w:ascii="宋体" w:hAnsi="宋体" w:cs="宋体"/>
          <w:szCs w:val="24"/>
        </w:rPr>
        <w:t>见式（4-5）</w:t>
      </w:r>
      <w:r>
        <w:rPr>
          <w:rFonts w:ascii="宋体" w:hAnsi="宋体" w:cs="宋体"/>
          <w:szCs w:val="24"/>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1"/>
        <w:gridCol w:w="1056"/>
      </w:tblGrid>
      <w:tr w14:paraId="34B2E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6" w:type="dxa"/>
            <w:tcBorders>
              <w:top w:val="nil"/>
              <w:left w:val="nil"/>
              <w:bottom w:val="nil"/>
              <w:right w:val="nil"/>
            </w:tcBorders>
          </w:tcPr>
          <w:p w14:paraId="3C3C90DB">
            <w:pPr>
              <w:pStyle w:val="68"/>
              <w:ind w:firstLine="400"/>
              <w:rPr>
                <w:rFonts w:hint="eastAsia" w:hAnsi="宋体" w:cs="宋体"/>
                <w:color w:val="000000"/>
                <w:sz w:val="24"/>
                <w:lang w:val="en-US" w:bidi="ar"/>
              </w:rPr>
            </w:pPr>
            <m:oMathPara>
              <m:oMathParaPr>
                <m:jc m:val="center"/>
              </m:oMathParaPr>
              <m:oMath>
                <m:limLow>
                  <m:limLowPr>
                    <m:ctrlPr>
                      <w:rPr>
                        <w:rFonts w:ascii="Cambria Math" w:hAnsi="Cambria Math" w:cs="Cambria Math"/>
                      </w:rPr>
                    </m:ctrlPr>
                  </m:limLowPr>
                  <m:e>
                    <m:r>
                      <m:rPr>
                        <m:sty m:val="p"/>
                      </m:rPr>
                      <w:rPr>
                        <w:rFonts w:ascii="Cambria Math" w:hAnsi="Cambria Math" w:cs="Cambria Math"/>
                      </w:rPr>
                      <m:t>min</m:t>
                    </m:r>
                    <m:ctrlPr>
                      <w:rPr>
                        <w:rFonts w:ascii="Cambria Math" w:hAnsi="Cambria Math" w:cs="Cambria Math"/>
                      </w:rPr>
                    </m:ctrlPr>
                  </m:e>
                  <m:lim>
                    <m:r>
                      <m:rPr/>
                      <w:rPr>
                        <w:rFonts w:ascii="Cambria Math" w:hAnsi="Cambria Math" w:cs="Cambria Math"/>
                      </w:rPr>
                      <m:t>μ</m:t>
                    </m:r>
                    <m:ctrlPr>
                      <w:rPr>
                        <w:rFonts w:ascii="Cambria Math" w:hAnsi="Cambria Math" w:cs="Cambria Math"/>
                      </w:rPr>
                    </m:ctrlPr>
                  </m:lim>
                </m:limLow>
                <m:f>
                  <m:fPr>
                    <m:ctrlPr>
                      <w:rPr>
                        <w:rFonts w:ascii="Cambria Math" w:hAnsi="Cambria Math" w:cs="Cambria Math"/>
                      </w:rPr>
                    </m:ctrlPr>
                  </m:fPr>
                  <m:num>
                    <m:r>
                      <m:rPr>
                        <m:sty m:val="p"/>
                      </m:rPr>
                      <w:rPr>
                        <w:rFonts w:ascii="Cambria Math" w:hAnsi="Cambria Math" w:cs="Cambria Math"/>
                      </w:rPr>
                      <m:t>1</m:t>
                    </m:r>
                    <m:ctrlPr>
                      <w:rPr>
                        <w:rFonts w:ascii="Cambria Math" w:hAnsi="Cambria Math" w:cs="Cambria Math"/>
                      </w:rPr>
                    </m:ctrlPr>
                  </m:num>
                  <m:den>
                    <m:r>
                      <m:rPr>
                        <m:sty m:val="p"/>
                      </m:rPr>
                      <w:rPr>
                        <w:rFonts w:ascii="Cambria Math" w:hAnsi="Cambria Math" w:cs="Cambria Math"/>
                      </w:rPr>
                      <m:t>2</m:t>
                    </m:r>
                    <m:ctrlPr>
                      <w:rPr>
                        <w:rFonts w:ascii="Cambria Math" w:hAnsi="Cambria Math" w:cs="Cambria Math"/>
                      </w:rPr>
                    </m:ctrlPr>
                  </m:den>
                </m:f>
                <m:r>
                  <m:rPr>
                    <m:sty m:val="p"/>
                  </m:rPr>
                  <w:rPr>
                    <w:rFonts w:ascii="Cambria Math" w:hAnsi="Cambria Math" w:cs="Cambria Math"/>
                  </w:rPr>
                  <m:t>∥</m:t>
                </m:r>
                <m:r>
                  <m:rPr/>
                  <w:rPr>
                    <w:rFonts w:ascii="Cambria Math" w:hAnsi="Cambria Math" w:cs="Cambria Math"/>
                  </w:rPr>
                  <m:t>Aμ</m:t>
                </m:r>
                <m:r>
                  <m:rPr>
                    <m:sty m:val="p"/>
                  </m:rPr>
                  <w:rPr>
                    <w:rFonts w:ascii="Cambria Math" w:hAnsi="Cambria Math" w:cs="Cambria Math"/>
                  </w:rPr>
                  <m:t>−</m:t>
                </m:r>
                <m:r>
                  <m:rPr/>
                  <w:rPr>
                    <w:rFonts w:ascii="Cambria Math" w:hAnsi="Cambria Math" w:cs="Cambria Math"/>
                  </w:rPr>
                  <m:t>p</m:t>
                </m:r>
                <m:sSubSup>
                  <m:sSubSupPr>
                    <m:ctrlPr>
                      <w:rPr>
                        <w:rFonts w:ascii="Cambria Math" w:hAnsi="Cambria Math" w:cs="Cambria Math"/>
                      </w:rPr>
                    </m:ctrlPr>
                  </m:sSubSupPr>
                  <m:e>
                    <m:r>
                      <m:rPr>
                        <m:sty m:val="p"/>
                      </m:rPr>
                      <w:rPr>
                        <w:rFonts w:ascii="Cambria Math" w:hAnsi="Cambria Math" w:cs="Cambria Math"/>
                      </w:rPr>
                      <m:t>∥</m:t>
                    </m:r>
                    <m:ctrlPr>
                      <w:rPr>
                        <w:rFonts w:ascii="Cambria Math" w:hAnsi="Cambria Math" w:cs="Cambria Math"/>
                      </w:rPr>
                    </m:ctrlPr>
                  </m:e>
                  <m:sub>
                    <m:r>
                      <m:rPr>
                        <m:sty m:val="p"/>
                      </m:rPr>
                      <w:rPr>
                        <w:rFonts w:ascii="Cambria Math" w:hAnsi="Cambria Math" w:cs="Cambria Math"/>
                      </w:rPr>
                      <m:t>2</m:t>
                    </m:r>
                    <m:ctrlPr>
                      <w:rPr>
                        <w:rFonts w:ascii="Cambria Math" w:hAnsi="Cambria Math" w:cs="Cambria Math"/>
                      </w:rPr>
                    </m:ctrlPr>
                  </m:sub>
                  <m:sup>
                    <m:r>
                      <m:rPr>
                        <m:sty m:val="p"/>
                      </m:rPr>
                      <w:rPr>
                        <w:rFonts w:ascii="Cambria Math" w:hAnsi="Cambria Math" w:cs="Cambria Math"/>
                      </w:rPr>
                      <m:t>2</m:t>
                    </m:r>
                    <m:ctrlPr>
                      <w:rPr>
                        <w:rFonts w:ascii="Cambria Math" w:hAnsi="Cambria Math" w:cs="Cambria Math"/>
                      </w:rPr>
                    </m:ctrlPr>
                  </m:sup>
                </m:sSubSup>
                <m:r>
                  <m:rPr>
                    <m:sty m:val="p"/>
                  </m:rPr>
                  <w:rPr>
                    <w:rFonts w:ascii="Cambria Math" w:hAnsi="Cambria Math" w:cs="Cambria Math"/>
                  </w:rPr>
                  <m:t>+</m:t>
                </m:r>
                <m:r>
                  <m:rPr/>
                  <w:rPr>
                    <w:rFonts w:ascii="Cambria Math" w:hAnsi="Cambria Math" w:cs="Cambria Math"/>
                  </w:rPr>
                  <m:t>λ</m:t>
                </m:r>
                <m:r>
                  <m:rPr>
                    <m:sty m:val="p"/>
                  </m:rPr>
                  <w:rPr>
                    <w:rFonts w:ascii="Cambria Math" w:hAnsi="Cambria Math" w:cs="Cambria Math"/>
                  </w:rPr>
                  <m:t>∥∇</m:t>
                </m:r>
                <m:r>
                  <m:rPr/>
                  <w:rPr>
                    <w:rFonts w:ascii="Cambria Math" w:hAnsi="Cambria Math" w:cs="Cambria Math"/>
                  </w:rPr>
                  <m:t>μ</m:t>
                </m:r>
                <m:sSub>
                  <m:sSubPr>
                    <m:ctrlPr>
                      <w:rPr>
                        <w:rFonts w:ascii="Cambria Math" w:hAnsi="Cambria Math" w:cs="Cambria Math"/>
                      </w:rPr>
                    </m:ctrlPr>
                  </m:sSubPr>
                  <m:e>
                    <m:r>
                      <m:rPr>
                        <m:sty m:val="p"/>
                      </m:rPr>
                      <w:rPr>
                        <w:rFonts w:ascii="Cambria Math" w:hAnsi="Cambria Math" w:cs="Cambria Math"/>
                      </w:rPr>
                      <m:t>∥</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oMath>
            </m:oMathPara>
          </w:p>
        </w:tc>
        <w:tc>
          <w:tcPr>
            <w:tcW w:w="491" w:type="dxa"/>
            <w:tcBorders>
              <w:top w:val="nil"/>
              <w:left w:val="nil"/>
              <w:bottom w:val="nil"/>
              <w:right w:val="nil"/>
            </w:tcBorders>
            <w:vAlign w:val="center"/>
          </w:tcPr>
          <w:p w14:paraId="7A8E006A">
            <w:pPr>
              <w:widowControl/>
              <w:spacing w:line="288" w:lineRule="atLeast"/>
              <w:ind w:firstLine="0" w:firstLineChars="0"/>
              <w:jc w:val="center"/>
              <w:rPr>
                <w:rFonts w:hint="eastAsia" w:ascii="宋体" w:hAnsi="宋体" w:cs="宋体"/>
                <w:color w:val="000000"/>
                <w:kern w:val="0"/>
                <w:szCs w:val="24"/>
                <w:lang w:bidi="ar"/>
              </w:rPr>
            </w:pPr>
            <w:r>
              <w:rPr>
                <w:rFonts w:hint="eastAsia" w:ascii="宋体" w:hAnsi="宋体" w:cs="宋体"/>
                <w:color w:val="000000"/>
                <w:kern w:val="0"/>
                <w:szCs w:val="24"/>
                <w:lang w:bidi="ar"/>
              </w:rPr>
              <w:t>（4-5）</w:t>
            </w:r>
          </w:p>
        </w:tc>
      </w:tr>
    </w:tbl>
    <w:p w14:paraId="4D70F4B5">
      <w:pPr>
        <w:widowControl/>
        <w:jc w:val="left"/>
        <w:rPr>
          <w:rFonts w:hint="eastAsia" w:ascii="宋体" w:hAnsi="宋体" w:cs="宋体"/>
          <w:szCs w:val="24"/>
        </w:rPr>
      </w:pPr>
      <w:r>
        <w:rPr>
          <w:rFonts w:ascii="宋体" w:hAnsi="宋体" w:cs="宋体"/>
          <w:szCs w:val="24"/>
        </w:rPr>
        <w:t>由于该优化目标包含非光滑 L1 范数，直接求解难度较大，因此采用交替方向乘子法（ADMM）进行拆分求解，构造增广拉格朗日函数如下</w:t>
      </w:r>
      <w:r>
        <w:rPr>
          <w:rFonts w:hint="eastAsia" w:ascii="宋体" w:hAnsi="宋体" w:cs="宋体"/>
          <w:szCs w:val="24"/>
        </w:rPr>
        <w:t>见式（4-6）</w:t>
      </w:r>
      <w:r>
        <w:rPr>
          <w:rFonts w:ascii="宋体" w:hAnsi="宋体" w:cs="宋体"/>
          <w:szCs w:val="24"/>
        </w:rPr>
        <w:t>：</w:t>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1"/>
        <w:gridCol w:w="1056"/>
      </w:tblGrid>
      <w:tr w14:paraId="2100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6" w:type="dxa"/>
            <w:tcBorders>
              <w:top w:val="nil"/>
              <w:left w:val="nil"/>
              <w:bottom w:val="nil"/>
              <w:right w:val="nil"/>
            </w:tcBorders>
          </w:tcPr>
          <w:p w14:paraId="0168B20D">
            <w:pPr>
              <w:pStyle w:val="68"/>
              <w:ind w:firstLine="400"/>
              <w:rPr>
                <w:rFonts w:ascii="Cambria Math" w:hAnsi="Cambria Math" w:cs="Cambria Math"/>
              </w:rPr>
            </w:pPr>
            <m:oMathPara>
              <m:oMathParaPr>
                <m:jc m:val="center"/>
              </m:oMathParaPr>
              <m:oMath>
                <m:r>
                  <m:rPr>
                    <m:sty m:val="p"/>
                    <m:scr m:val="script"/>
                  </m:rPr>
                  <w:rPr>
                    <w:rFonts w:ascii="Cambria Math" w:hAnsi="Cambria Math" w:eastAsia="MS Mincho" w:cs="MS Mincho"/>
                  </w:rPr>
                  <m:t>ℒ</m:t>
                </m:r>
                <m:d>
                  <m:dPr>
                    <m:ctrlPr>
                      <w:rPr>
                        <w:rFonts w:ascii="Cambria Math" w:hAnsi="Cambria Math" w:cs="Cambria Math"/>
                      </w:rPr>
                    </m:ctrlPr>
                  </m:dPr>
                  <m:e>
                    <m:r>
                      <m:rPr>
                        <m:sty m:val="b"/>
                      </m:rPr>
                      <w:rPr>
                        <w:rFonts w:ascii="Cambria Math" w:hAnsi="Cambria Math" w:cs="Cambria Math"/>
                      </w:rPr>
                      <m:t>μ</m:t>
                    </m:r>
                    <m:r>
                      <m:rPr>
                        <m:sty m:val="p"/>
                      </m:rPr>
                      <w:rPr>
                        <w:rFonts w:ascii="Cambria Math" w:hAnsi="Cambria Math" w:cs="Cambria Math"/>
                      </w:rPr>
                      <m:t>,</m:t>
                    </m:r>
                    <m:r>
                      <m:rPr>
                        <m:sty m:val="b"/>
                      </m:rPr>
                      <w:rPr>
                        <w:rFonts w:ascii="Cambria Math" w:hAnsi="Cambria Math" w:cs="Cambria Math"/>
                      </w:rPr>
                      <m:t>g</m:t>
                    </m:r>
                    <m:r>
                      <m:rPr>
                        <m:sty m:val="p"/>
                      </m:rPr>
                      <w:rPr>
                        <w:rFonts w:ascii="Cambria Math" w:hAnsi="Cambria Math" w:cs="Cambria Math"/>
                      </w:rPr>
                      <m:t>,</m:t>
                    </m:r>
                    <m:r>
                      <m:rPr>
                        <m:sty m:val="b"/>
                      </m:rPr>
                      <w:rPr>
                        <w:rFonts w:ascii="Cambria Math" w:hAnsi="Cambria Math" w:cs="Cambria Math"/>
                      </w:rPr>
                      <m:t>Λ</m:t>
                    </m:r>
                    <m:ctrlPr>
                      <w:rPr>
                        <w:rFonts w:ascii="Cambria Math" w:hAnsi="Cambria Math" w:cs="Cambria Math"/>
                      </w:rPr>
                    </m:ctrlPr>
                  </m:e>
                </m:d>
                <m:r>
                  <m:rPr>
                    <m:sty m:val="p"/>
                  </m:rPr>
                  <w:rPr>
                    <w:rFonts w:ascii="Cambria Math" w:hAnsi="Cambria Math" w:cs="Cambria Math"/>
                  </w:rPr>
                  <m:t>=</m:t>
                </m:r>
                <m:f>
                  <m:fPr>
                    <m:ctrlPr>
                      <w:rPr>
                        <w:rFonts w:ascii="Cambria Math" w:hAnsi="Cambria Math" w:cs="Cambria Math"/>
                      </w:rPr>
                    </m:ctrlPr>
                  </m:fPr>
                  <m:num>
                    <m:r>
                      <m:rPr>
                        <m:sty m:val="p"/>
                      </m:rPr>
                      <w:rPr>
                        <w:rFonts w:ascii="Cambria Math" w:hAnsi="Cambria Math" w:cs="Cambria Math"/>
                      </w:rPr>
                      <m:t>1</m:t>
                    </m:r>
                    <m:ctrlPr>
                      <w:rPr>
                        <w:rFonts w:ascii="Cambria Math" w:hAnsi="Cambria Math" w:cs="Cambria Math"/>
                      </w:rPr>
                    </m:ctrlPr>
                  </m:num>
                  <m:den>
                    <m:r>
                      <m:rPr>
                        <m:sty m:val="p"/>
                      </m:rPr>
                      <w:rPr>
                        <w:rFonts w:ascii="Cambria Math" w:hAnsi="Cambria Math" w:cs="Cambria Math"/>
                      </w:rPr>
                      <m:t>2</m:t>
                    </m:r>
                    <m:ctrlPr>
                      <w:rPr>
                        <w:rFonts w:ascii="Cambria Math" w:hAnsi="Cambria Math" w:cs="Cambria Math"/>
                      </w:rPr>
                    </m:ctrlPr>
                  </m:den>
                </m:f>
                <m:r>
                  <m:rPr>
                    <m:sty m:val="p"/>
                  </m:rPr>
                  <w:rPr>
                    <w:rFonts w:ascii="Cambria Math" w:hAnsi="Cambria Math" w:cs="Cambria Math"/>
                  </w:rPr>
                  <m:t>∥</m:t>
                </m:r>
                <m:r>
                  <m:rPr/>
                  <w:rPr>
                    <w:rFonts w:ascii="Cambria Math" w:hAnsi="Cambria Math" w:cs="Cambria Math"/>
                  </w:rPr>
                  <m:t>A</m:t>
                </m:r>
                <m:r>
                  <m:rPr>
                    <m:sty m:val="b"/>
                  </m:rPr>
                  <w:rPr>
                    <w:rFonts w:ascii="Cambria Math" w:hAnsi="Cambria Math" w:cs="Cambria Math"/>
                  </w:rPr>
                  <m:t>μ</m:t>
                </m:r>
                <m:r>
                  <m:rPr>
                    <m:sty m:val="p"/>
                  </m:rPr>
                  <w:rPr>
                    <w:rFonts w:ascii="Cambria Math" w:hAnsi="Cambria Math" w:cs="Cambria Math"/>
                  </w:rPr>
                  <m:t>−</m:t>
                </m:r>
                <m:r>
                  <m:rPr>
                    <m:sty m:val="b"/>
                  </m:rPr>
                  <w:rPr>
                    <w:rFonts w:ascii="Cambria Math" w:hAnsi="Cambria Math" w:cs="Cambria Math"/>
                  </w:rPr>
                  <m:t>p</m:t>
                </m:r>
                <m:sSubSup>
                  <m:sSubSupPr>
                    <m:ctrlPr>
                      <w:rPr>
                        <w:rFonts w:ascii="Cambria Math" w:hAnsi="Cambria Math" w:cs="Cambria Math"/>
                      </w:rPr>
                    </m:ctrlPr>
                  </m:sSubSupPr>
                  <m:e>
                    <m:r>
                      <m:rPr>
                        <m:sty m:val="p"/>
                      </m:rPr>
                      <w:rPr>
                        <w:rFonts w:ascii="Cambria Math" w:hAnsi="Cambria Math" w:cs="Cambria Math"/>
                      </w:rPr>
                      <m:t>∥</m:t>
                    </m:r>
                    <m:ctrlPr>
                      <w:rPr>
                        <w:rFonts w:ascii="Cambria Math" w:hAnsi="Cambria Math" w:cs="Cambria Math"/>
                      </w:rPr>
                    </m:ctrlPr>
                  </m:e>
                  <m:sub>
                    <m:r>
                      <m:rPr>
                        <m:sty m:val="p"/>
                      </m:rPr>
                      <w:rPr>
                        <w:rFonts w:ascii="Cambria Math" w:hAnsi="Cambria Math" w:cs="Cambria Math"/>
                      </w:rPr>
                      <m:t>2</m:t>
                    </m:r>
                    <m:ctrlPr>
                      <w:rPr>
                        <w:rFonts w:ascii="Cambria Math" w:hAnsi="Cambria Math" w:cs="Cambria Math"/>
                      </w:rPr>
                    </m:ctrlPr>
                  </m:sub>
                  <m:sup>
                    <m:r>
                      <m:rPr>
                        <m:sty m:val="p"/>
                      </m:rPr>
                      <w:rPr>
                        <w:rFonts w:ascii="Cambria Math" w:hAnsi="Cambria Math" w:cs="Cambria Math"/>
                      </w:rPr>
                      <m:t>2</m:t>
                    </m:r>
                    <m:ctrlPr>
                      <w:rPr>
                        <w:rFonts w:ascii="Cambria Math" w:hAnsi="Cambria Math" w:cs="Cambria Math"/>
                      </w:rPr>
                    </m:ctrlPr>
                  </m:sup>
                </m:sSubSup>
                <m:r>
                  <m:rPr>
                    <m:sty m:val="p"/>
                  </m:rPr>
                  <w:rPr>
                    <w:rFonts w:ascii="Cambria Math" w:hAnsi="Cambria Math" w:cs="Cambria Math"/>
                  </w:rPr>
                  <m:t>+</m:t>
                </m:r>
                <m:r>
                  <m:rPr/>
                  <w:rPr>
                    <w:rFonts w:ascii="Cambria Math" w:hAnsi="Cambria Math" w:cs="Cambria Math"/>
                  </w:rPr>
                  <m:t>λ</m:t>
                </m:r>
                <m:r>
                  <m:rPr>
                    <m:sty m:val="p"/>
                  </m:rPr>
                  <w:rPr>
                    <w:rFonts w:ascii="Cambria Math" w:hAnsi="Cambria Math" w:cs="Cambria Math"/>
                  </w:rPr>
                  <m:t>∥</m:t>
                </m:r>
                <m:r>
                  <m:rPr>
                    <m:sty m:val="b"/>
                  </m:rPr>
                  <w:rPr>
                    <w:rFonts w:ascii="Cambria Math" w:hAnsi="Cambria Math" w:cs="Cambria Math"/>
                  </w:rPr>
                  <m:t>g</m:t>
                </m:r>
                <m:sSub>
                  <m:sSubPr>
                    <m:ctrlPr>
                      <w:rPr>
                        <w:rFonts w:ascii="Cambria Math" w:hAnsi="Cambria Math" w:cs="Cambria Math"/>
                      </w:rPr>
                    </m:ctrlPr>
                  </m:sSubPr>
                  <m:e>
                    <m:r>
                      <m:rPr>
                        <m:sty m:val="p"/>
                      </m:rPr>
                      <w:rPr>
                        <w:rFonts w:ascii="Cambria Math" w:hAnsi="Cambria Math" w:cs="Cambria Math"/>
                      </w:rPr>
                      <m:t>∥</m:t>
                    </m:r>
                    <m:ctrlPr>
                      <w:rPr>
                        <w:rFonts w:ascii="Cambria Math" w:hAnsi="Cambria Math" w:cs="Cambria Math"/>
                      </w:rPr>
                    </m:ctrlPr>
                  </m:e>
                  <m:sub>
                    <m:r>
                      <m:rPr>
                        <m:sty m:val="p"/>
                      </m:rPr>
                      <w:rPr>
                        <w:rFonts w:ascii="Cambria Math" w:hAnsi="Cambria Math" w:cs="Cambria Math"/>
                      </w:rPr>
                      <m:t>1</m:t>
                    </m:r>
                    <m:ctrlPr>
                      <w:rPr>
                        <w:rFonts w:ascii="Cambria Math" w:hAnsi="Cambria Math" w:cs="Cambria Math"/>
                      </w:rPr>
                    </m:ctrlPr>
                  </m:sub>
                </m:sSub>
                <m:r>
                  <m:rPr>
                    <m:sty m:val="p"/>
                  </m:rPr>
                  <w:rPr>
                    <w:rFonts w:ascii="Cambria Math" w:hAnsi="Cambria Math" w:cs="Cambria Math"/>
                  </w:rPr>
                  <m:t>+</m:t>
                </m:r>
                <m:sSup>
                  <m:sSupPr>
                    <m:ctrlPr>
                      <w:rPr>
                        <w:rFonts w:ascii="Cambria Math" w:hAnsi="Cambria Math" w:cs="Cambria Math"/>
                      </w:rPr>
                    </m:ctrlPr>
                  </m:sSupPr>
                  <m:e>
                    <m:r>
                      <m:rPr>
                        <m:sty m:val="b"/>
                      </m:rPr>
                      <w:rPr>
                        <w:rFonts w:ascii="Cambria Math" w:hAnsi="Cambria Math" w:cs="Cambria Math"/>
                      </w:rPr>
                      <m:t>Λ</m:t>
                    </m:r>
                    <m:ctrlPr>
                      <w:rPr>
                        <w:rFonts w:ascii="Cambria Math" w:hAnsi="Cambria Math" w:cs="Cambria Math"/>
                      </w:rPr>
                    </m:ctrlPr>
                  </m:e>
                  <m:sup>
                    <m:r>
                      <m:rPr>
                        <m:sty m:val="p"/>
                      </m:rPr>
                      <w:rPr>
                        <w:rFonts w:ascii="Cambria Math" w:hAnsi="Cambria Math" w:cs="Cambria Math"/>
                      </w:rPr>
                      <m:t>T</m:t>
                    </m:r>
                    <m:ctrlPr>
                      <w:rPr>
                        <w:rFonts w:ascii="Cambria Math" w:hAnsi="Cambria Math" w:cs="Cambria Math"/>
                      </w:rPr>
                    </m:ctrlPr>
                  </m:sup>
                </m:sSup>
                <m:d>
                  <m:dPr>
                    <m:ctrlPr>
                      <w:rPr>
                        <w:rFonts w:ascii="Cambria Math" w:hAnsi="Cambria Math" w:cs="Cambria Math"/>
                      </w:rPr>
                    </m:ctrlPr>
                  </m:dPr>
                  <m:e>
                    <m:r>
                      <m:rPr>
                        <m:sty m:val="p"/>
                      </m:rPr>
                      <w:rPr>
                        <w:rFonts w:ascii="Cambria Math" w:hAnsi="Cambria Math" w:cs="Cambria Math"/>
                      </w:rPr>
                      <m:t>∇</m:t>
                    </m:r>
                    <m:r>
                      <m:rPr>
                        <m:sty m:val="b"/>
                      </m:rPr>
                      <w:rPr>
                        <w:rFonts w:ascii="Cambria Math" w:hAnsi="Cambria Math" w:cs="Cambria Math"/>
                      </w:rPr>
                      <m:t>μ</m:t>
                    </m:r>
                    <m:r>
                      <m:rPr>
                        <m:sty m:val="p"/>
                      </m:rPr>
                      <w:rPr>
                        <w:rFonts w:ascii="Cambria Math" w:hAnsi="Cambria Math" w:cs="Cambria Math"/>
                      </w:rPr>
                      <m:t>−</m:t>
                    </m:r>
                    <m:r>
                      <m:rPr>
                        <m:sty m:val="b"/>
                      </m:rPr>
                      <w:rPr>
                        <w:rFonts w:ascii="Cambria Math" w:hAnsi="Cambria Math" w:cs="Cambria Math"/>
                      </w:rPr>
                      <m:t>g</m:t>
                    </m:r>
                    <m:ctrlPr>
                      <w:rPr>
                        <w:rFonts w:ascii="Cambria Math" w:hAnsi="Cambria Math" w:cs="Cambria Math"/>
                      </w:rPr>
                    </m:ctrlPr>
                  </m:e>
                </m:d>
                <m:r>
                  <m:rPr>
                    <m:sty m:val="p"/>
                  </m:rPr>
                  <w:rPr>
                    <w:rFonts w:ascii="Cambria Math" w:hAnsi="Cambria Math" w:cs="Cambria Math"/>
                  </w:rPr>
                  <m:t>+</m:t>
                </m:r>
                <m:f>
                  <m:fPr>
                    <m:ctrlPr>
                      <w:rPr>
                        <w:rFonts w:ascii="Cambria Math" w:hAnsi="Cambria Math" w:cs="Cambria Math"/>
                      </w:rPr>
                    </m:ctrlPr>
                  </m:fPr>
                  <m:num>
                    <m:r>
                      <m:rPr/>
                      <w:rPr>
                        <w:rFonts w:ascii="Cambria Math" w:hAnsi="Cambria Math" w:cs="Cambria Math"/>
                      </w:rPr>
                      <m:t>ρ</m:t>
                    </m:r>
                    <m:ctrlPr>
                      <w:rPr>
                        <w:rFonts w:ascii="Cambria Math" w:hAnsi="Cambria Math" w:cs="Cambria Math"/>
                      </w:rPr>
                    </m:ctrlPr>
                  </m:num>
                  <m:den>
                    <m:r>
                      <m:rPr>
                        <m:sty m:val="p"/>
                      </m:rPr>
                      <w:rPr>
                        <w:rFonts w:ascii="Cambria Math" w:hAnsi="Cambria Math" w:cs="Cambria Math"/>
                      </w:rPr>
                      <m:t>2</m:t>
                    </m:r>
                    <m:ctrlPr>
                      <w:rPr>
                        <w:rFonts w:ascii="Cambria Math" w:hAnsi="Cambria Math" w:cs="Cambria Math"/>
                      </w:rPr>
                    </m:ctrlPr>
                  </m:den>
                </m:f>
                <m:r>
                  <m:rPr>
                    <m:sty m:val="p"/>
                  </m:rPr>
                  <w:rPr>
                    <w:rFonts w:ascii="Cambria Math" w:hAnsi="Cambria Math" w:cs="Cambria Math"/>
                  </w:rPr>
                  <m:t>∥∇</m:t>
                </m:r>
                <m:r>
                  <m:rPr>
                    <m:sty m:val="b"/>
                  </m:rPr>
                  <w:rPr>
                    <w:rFonts w:ascii="Cambria Math" w:hAnsi="Cambria Math" w:cs="Cambria Math"/>
                  </w:rPr>
                  <m:t>μ</m:t>
                </m:r>
                <m:r>
                  <m:rPr>
                    <m:sty m:val="p"/>
                  </m:rPr>
                  <w:rPr>
                    <w:rFonts w:ascii="Cambria Math" w:hAnsi="Cambria Math" w:cs="Cambria Math"/>
                  </w:rPr>
                  <m:t>−</m:t>
                </m:r>
                <m:r>
                  <m:rPr>
                    <m:sty m:val="b"/>
                  </m:rPr>
                  <w:rPr>
                    <w:rFonts w:ascii="Cambria Math" w:hAnsi="Cambria Math" w:cs="Cambria Math"/>
                  </w:rPr>
                  <m:t>g</m:t>
                </m:r>
                <m:sSubSup>
                  <m:sSubSupPr>
                    <m:ctrlPr>
                      <w:rPr>
                        <w:rFonts w:ascii="Cambria Math" w:hAnsi="Cambria Math" w:cs="Cambria Math"/>
                      </w:rPr>
                    </m:ctrlPr>
                  </m:sSubSupPr>
                  <m:e>
                    <m:r>
                      <m:rPr>
                        <m:sty m:val="p"/>
                      </m:rPr>
                      <w:rPr>
                        <w:rFonts w:ascii="Cambria Math" w:hAnsi="Cambria Math" w:cs="Cambria Math"/>
                      </w:rPr>
                      <m:t>∥</m:t>
                    </m:r>
                    <m:ctrlPr>
                      <w:rPr>
                        <w:rFonts w:ascii="Cambria Math" w:hAnsi="Cambria Math" w:cs="Cambria Math"/>
                      </w:rPr>
                    </m:ctrlPr>
                  </m:e>
                  <m:sub>
                    <m:r>
                      <m:rPr>
                        <m:sty m:val="p"/>
                      </m:rPr>
                      <w:rPr>
                        <w:rFonts w:ascii="Cambria Math" w:hAnsi="Cambria Math" w:cs="Cambria Math"/>
                      </w:rPr>
                      <m:t>2</m:t>
                    </m:r>
                    <m:ctrlPr>
                      <w:rPr>
                        <w:rFonts w:ascii="Cambria Math" w:hAnsi="Cambria Math" w:cs="Cambria Math"/>
                      </w:rPr>
                    </m:ctrlPr>
                  </m:sub>
                  <m:sup>
                    <m:r>
                      <m:rPr>
                        <m:sty m:val="p"/>
                      </m:rPr>
                      <w:rPr>
                        <w:rFonts w:ascii="Cambria Math" w:hAnsi="Cambria Math" w:cs="Cambria Math"/>
                      </w:rPr>
                      <m:t>2</m:t>
                    </m:r>
                    <m:ctrlPr>
                      <w:rPr>
                        <w:rFonts w:ascii="Cambria Math" w:hAnsi="Cambria Math" w:cs="Cambria Math"/>
                      </w:rPr>
                    </m:ctrlPr>
                  </m:sup>
                </m:sSubSup>
              </m:oMath>
            </m:oMathPara>
          </w:p>
          <w:p w14:paraId="28835E96">
            <w:pPr>
              <w:widowControl/>
              <w:spacing w:line="288" w:lineRule="atLeast"/>
              <w:jc w:val="left"/>
              <w:rPr>
                <w:rFonts w:hint="eastAsia" w:ascii="宋体" w:hAnsi="宋体" w:cs="宋体"/>
                <w:color w:val="000000"/>
                <w:kern w:val="0"/>
                <w:szCs w:val="24"/>
                <w:lang w:bidi="ar"/>
              </w:rPr>
            </w:pPr>
          </w:p>
        </w:tc>
        <w:tc>
          <w:tcPr>
            <w:tcW w:w="491" w:type="dxa"/>
            <w:tcBorders>
              <w:top w:val="nil"/>
              <w:left w:val="nil"/>
              <w:bottom w:val="nil"/>
              <w:right w:val="nil"/>
            </w:tcBorders>
            <w:vAlign w:val="center"/>
          </w:tcPr>
          <w:p w14:paraId="52D06D5E">
            <w:pPr>
              <w:widowControl/>
              <w:spacing w:line="288" w:lineRule="atLeast"/>
              <w:ind w:firstLine="0" w:firstLineChars="0"/>
              <w:jc w:val="center"/>
              <w:rPr>
                <w:rFonts w:hint="eastAsia" w:ascii="宋体" w:hAnsi="宋体" w:cs="宋体"/>
                <w:color w:val="000000"/>
                <w:kern w:val="0"/>
                <w:szCs w:val="24"/>
                <w:lang w:bidi="ar"/>
              </w:rPr>
            </w:pPr>
            <w:r>
              <w:rPr>
                <w:rFonts w:hint="eastAsia" w:ascii="宋体" w:hAnsi="宋体" w:cs="宋体"/>
                <w:color w:val="000000"/>
                <w:kern w:val="0"/>
                <w:szCs w:val="24"/>
                <w:lang w:bidi="ar"/>
              </w:rPr>
              <w:t>（4-6）</w:t>
            </w:r>
          </w:p>
        </w:tc>
      </w:tr>
    </w:tbl>
    <w:p w14:paraId="306407B7">
      <w:pPr>
        <w:widowControl/>
        <w:jc w:val="left"/>
        <w:rPr>
          <w:rFonts w:hint="eastAsia" w:ascii="宋体" w:hAnsi="宋体" w:cs="宋体"/>
          <w:color w:val="000000"/>
          <w:kern w:val="0"/>
          <w:szCs w:val="24"/>
          <w:lang w:bidi="ar"/>
        </w:rPr>
      </w:pPr>
      <w:r>
        <w:rPr>
          <w:rFonts w:ascii="宋体" w:hAnsi="宋体" w:cs="宋体"/>
          <w:color w:val="000000"/>
          <w:kern w:val="0"/>
          <w:szCs w:val="24"/>
          <w:lang w:bidi="ar"/>
        </w:rPr>
        <w:t xml:space="preserve">将 ADMM 优化框架与 TV 正则化约束相结合，能够充分发挥二者互补优势，最大化利用去噪后投影数据低噪声、高保真的特性，显著提升重建图像的结构完整性与视觉清晰度。牛善洲等提出的高维 PDE 投影恢复方法也验证了投影域预处理对后续重建的关键作用，其研究显示经投影恢复后，采用迭代重建算法的图像信噪比（SNR）可提升 28% 以上，对比度噪声比（CNR）提升 32%，进一步证明了去噪投影数据与迭代重建算法结合的可行性 </w:t>
      </w:r>
      <w:r>
        <w:rPr>
          <w:rFonts w:ascii="宋体" w:hAnsi="宋体" w:cs="宋体"/>
          <w:color w:val="000000"/>
          <w:kern w:val="0"/>
          <w:szCs w:val="24"/>
          <w:vertAlign w:val="superscript"/>
          <w:lang w:bidi="ar"/>
        </w:rPr>
        <w:t>[13]</w:t>
      </w:r>
      <w:r>
        <w:rPr>
          <w:rFonts w:ascii="宋体" w:hAnsi="宋体" w:cs="宋体"/>
          <w:color w:val="000000"/>
          <w:kern w:val="0"/>
          <w:szCs w:val="24"/>
          <w:lang w:bidi="ar"/>
        </w:rPr>
        <w:t>。</w:t>
      </w:r>
    </w:p>
    <w:p w14:paraId="0888C256">
      <w:pPr>
        <w:widowControl/>
        <w:jc w:val="left"/>
        <w:rPr>
          <w:rFonts w:hint="eastAsia" w:ascii="宋体" w:hAnsi="宋体" w:eastAsia="宋体" w:cs="宋体"/>
          <w:szCs w:val="24"/>
          <w:lang w:eastAsia="zh-CN"/>
        </w:rPr>
      </w:pPr>
      <w:r>
        <w:rPr>
          <w:rFonts w:ascii="宋体" w:hAnsi="宋体" w:cs="宋体"/>
          <w:szCs w:val="24"/>
        </w:rPr>
        <w:t>ADMM-TV 伪代码流程</w:t>
      </w:r>
      <w:r>
        <w:rPr>
          <w:rFonts w:hint="eastAsia" w:ascii="宋体" w:hAnsi="宋体" w:cs="宋体"/>
          <w:szCs w:val="24"/>
          <w:lang w:val="en-US" w:eastAsia="zh-CN"/>
        </w:rPr>
        <w:t>如</w:t>
      </w:r>
      <w:r>
        <w:rPr>
          <w:rFonts w:hint="eastAsia" w:ascii="宋体" w:hAnsi="宋体" w:cs="宋体"/>
          <w:b w:val="0"/>
          <w:bCs w:val="0"/>
          <w:szCs w:val="24"/>
          <w:lang w:val="en-US" w:eastAsia="zh-CN"/>
        </w:rPr>
        <w:fldChar w:fldCharType="begin"/>
      </w:r>
      <w:r>
        <w:rPr>
          <w:b w:val="0"/>
          <w:bCs w:val="0"/>
        </w:rPr>
        <w:instrText xml:space="preserve"> REF _Ref31277 \h  \* MERGEFORMAT</w:instrText>
      </w:r>
      <w:r>
        <w:rPr>
          <w:rFonts w:hint="eastAsia" w:ascii="宋体" w:hAnsi="宋体" w:cs="宋体"/>
          <w:b w:val="0"/>
          <w:bCs w:val="0"/>
          <w:szCs w:val="24"/>
          <w:lang w:val="en-US" w:eastAsia="zh-CN"/>
        </w:rPr>
        <w:fldChar w:fldCharType="separate"/>
      </w:r>
      <w:r>
        <w:rPr>
          <w:rFonts w:hint="eastAsia" w:ascii="宋体" w:hAnsi="宋体" w:eastAsia="宋体" w:cs="宋体"/>
          <w:b w:val="0"/>
          <w:bCs w:val="0"/>
          <w:sz w:val="21"/>
          <w:szCs w:val="21"/>
        </w:rPr>
        <w:t>图 1</w:t>
      </w:r>
      <w:r>
        <w:rPr>
          <w:rFonts w:hint="eastAsia" w:ascii="宋体" w:hAnsi="宋体" w:cs="宋体"/>
          <w:b w:val="0"/>
          <w:bCs w:val="0"/>
          <w:szCs w:val="24"/>
          <w:lang w:val="en-US" w:eastAsia="zh-CN"/>
        </w:rPr>
        <w:fldChar w:fldCharType="end"/>
      </w:r>
      <w:r>
        <w:rPr>
          <w:rFonts w:hint="eastAsia" w:ascii="宋体" w:hAnsi="宋体" w:cs="宋体"/>
          <w:szCs w:val="24"/>
          <w:lang w:val="en-US" w:eastAsia="zh-CN"/>
        </w:rPr>
        <w:t>所示</w:t>
      </w:r>
      <w:r>
        <w:rPr>
          <w:rFonts w:hint="eastAsia" w:ascii="宋体" w:hAnsi="宋体" w:cs="宋体"/>
          <w:szCs w:val="24"/>
          <w:lang w:eastAsia="zh-CN"/>
        </w:rPr>
        <w:t>：</w:t>
      </w:r>
    </w:p>
    <w:p w14:paraId="01942255">
      <w:pPr>
        <w:widowControl/>
        <w:jc w:val="left"/>
        <w:rPr>
          <w:rFonts w:hint="eastAsia" w:ascii="宋体" w:hAnsi="宋体" w:eastAsia="宋体" w:cs="宋体"/>
          <w:szCs w:val="24"/>
          <w:lang w:eastAsia="zh-CN"/>
        </w:rPr>
      </w:pPr>
      <w:r>
        <w:rPr>
          <w:rFonts w:hint="eastAsia" w:ascii="宋体" w:hAnsi="宋体" w:eastAsia="宋体" w:cs="宋体"/>
          <w:szCs w:val="24"/>
          <w:lang w:eastAsia="zh-CN"/>
        </w:rPr>
        <w:drawing>
          <wp:inline distT="0" distB="0" distL="114300" distR="114300">
            <wp:extent cx="5756910" cy="4068445"/>
            <wp:effectExtent l="0" t="0" r="3810" b="635"/>
            <wp:docPr id="1" name="图片 1" descr="微信图片_20260524205734_3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524205734_34_4"/>
                    <pic:cNvPicPr>
                      <a:picLocks noChangeAspect="1"/>
                    </pic:cNvPicPr>
                  </pic:nvPicPr>
                  <pic:blipFill>
                    <a:blip r:embed="rId16"/>
                    <a:stretch>
                      <a:fillRect/>
                    </a:stretch>
                  </pic:blipFill>
                  <pic:spPr>
                    <a:xfrm>
                      <a:off x="0" y="0"/>
                      <a:ext cx="5756910" cy="4068445"/>
                    </a:xfrm>
                    <a:prstGeom prst="rect">
                      <a:avLst/>
                    </a:prstGeom>
                  </pic:spPr>
                </pic:pic>
              </a:graphicData>
            </a:graphic>
          </wp:inline>
        </w:drawing>
      </w:r>
    </w:p>
    <w:p w14:paraId="4EB1D596">
      <w:pPr>
        <w:pStyle w:val="6"/>
        <w:widowControl/>
        <w:jc w:val="center"/>
        <w:rPr>
          <w:rFonts w:hint="eastAsia" w:ascii="宋体" w:hAnsi="宋体" w:eastAsia="宋体" w:cs="宋体"/>
          <w:b/>
          <w:bCs/>
          <w:sz w:val="21"/>
          <w:szCs w:val="21"/>
          <w:lang w:eastAsia="zh-CN"/>
        </w:rPr>
      </w:pPr>
      <w:bookmarkStart w:id="391" w:name="_Ref31277"/>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391"/>
      <w:r>
        <w:rPr>
          <w:rFonts w:hint="eastAsia" w:ascii="宋体" w:hAnsi="宋体" w:eastAsia="宋体" w:cs="宋体"/>
          <w:b/>
          <w:bCs/>
          <w:sz w:val="21"/>
          <w:szCs w:val="21"/>
          <w:lang w:eastAsia="zh-CN"/>
        </w:rPr>
        <w:t>ADMM-TV 伪代码流程图</w:t>
      </w:r>
    </w:p>
    <w:p w14:paraId="2AF5B620">
      <w:pPr>
        <w:pStyle w:val="3"/>
      </w:pPr>
      <w:bookmarkStart w:id="392" w:name="_Toc25598"/>
      <w:bookmarkStart w:id="393" w:name="_Toc13962"/>
      <w:bookmarkStart w:id="394" w:name="_Toc26969"/>
      <w:bookmarkStart w:id="395" w:name="_Toc1331"/>
      <w:bookmarkStart w:id="396" w:name="_Toc3025"/>
      <w:bookmarkStart w:id="397" w:name="_Toc19978"/>
      <w:bookmarkStart w:id="398" w:name="_Toc25191"/>
      <w:bookmarkStart w:id="399" w:name="_Toc13662"/>
      <w:bookmarkStart w:id="400" w:name="_Toc7561"/>
      <w:bookmarkStart w:id="401" w:name="_Toc9445"/>
      <w:bookmarkStart w:id="402" w:name="_Toc17565"/>
      <w:bookmarkStart w:id="403" w:name="_Toc23617"/>
      <w:bookmarkStart w:id="404" w:name="_Toc28777"/>
      <w:bookmarkStart w:id="405" w:name="_Toc23629"/>
      <w:bookmarkStart w:id="406" w:name="_Toc14864"/>
      <w:r>
        <w:rPr>
          <w:rFonts w:hint="eastAsia"/>
        </w:rPr>
        <w:t>4.3 投影域去噪对重建分辨率与对比度的影响分析</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p>
    <w:p w14:paraId="2F58B9A7">
      <w:pPr>
        <w:widowControl/>
        <w:jc w:val="left"/>
        <w:rPr>
          <w:color w:val="000000"/>
          <w:szCs w:val="24"/>
        </w:rPr>
      </w:pPr>
      <w:r>
        <w:rPr>
          <w:rFonts w:ascii="宋体" w:hAnsi="宋体" w:cs="宋体"/>
          <w:color w:val="000000"/>
          <w:kern w:val="0"/>
          <w:szCs w:val="24"/>
          <w:lang w:bidi="ar"/>
        </w:rPr>
        <w:t>投影域作为 CT 成像原始数据层，其噪声水平直接决定后续重建图像的分辨率、对比度与细节表现力，去噪预处理对重建效果具有决定性作用。为量化分析投影去噪带来的性能提升，本节从空间分辨率、组织对比度两个关键维度展开定量分析。</w:t>
      </w:r>
    </w:p>
    <w:p w14:paraId="79D6FA58">
      <w:pPr>
        <w:widowControl/>
        <w:jc w:val="left"/>
        <w:rPr>
          <w:color w:val="000000"/>
          <w:szCs w:val="24"/>
        </w:rPr>
      </w:pPr>
      <w:r>
        <w:rPr>
          <w:rFonts w:ascii="宋体" w:hAnsi="宋体" w:cs="宋体"/>
          <w:color w:val="000000"/>
          <w:kern w:val="0"/>
          <w:szCs w:val="24"/>
          <w:lang w:bidi="ar"/>
        </w:rPr>
        <w:t>实验结果表明，当投影数据经自监督学习模型去噪后，采用 ADMM-TV 联合重建算法得到的图像，其空间分辨率以调制传递函数 MTF@50% 作为评价标准，较含噪投影直接重建提升 15%；组织灰度对比度保持率可达 95% 以上，有效维持不同软组织、肺组织与血管之间的灰度差异。</w:t>
      </w:r>
    </w:p>
    <w:p w14:paraId="474EECC7">
      <w:pPr>
        <w:widowControl/>
        <w:jc w:val="left"/>
        <w:rPr>
          <w:color w:val="000000"/>
          <w:szCs w:val="24"/>
        </w:rPr>
      </w:pPr>
      <w:r>
        <w:rPr>
          <w:rFonts w:ascii="宋体" w:hAnsi="宋体" w:cs="宋体"/>
          <w:color w:val="000000"/>
          <w:kern w:val="0"/>
          <w:szCs w:val="24"/>
          <w:lang w:bidi="ar"/>
        </w:rPr>
        <w:t>反观未经过去噪处理的原始低剂量投影，直接送入重建算法时，MTF@50% 指标下降约 22%，图像空间分辨能力明显退化；同时受噪声随机扰动影响，组织间灰度对比度出现 10%~15% 的失真，容易造成弱对比度病灶边界模糊。究其本质，投影域去噪从源头抑制了泊松量子噪声与高斯电子噪声，阻断噪声在反投影与迭代计算过程中的扩散与放大，为迭代重建算法提供了干净、可靠的原始输入，从而保障了重建图像的分辨率与对比度稳定性。</w:t>
      </w:r>
    </w:p>
    <w:p w14:paraId="39DE789E">
      <w:pPr>
        <w:pStyle w:val="3"/>
      </w:pPr>
      <w:bookmarkStart w:id="407" w:name="_Toc2942"/>
      <w:bookmarkStart w:id="408" w:name="_Toc5708"/>
      <w:bookmarkStart w:id="409" w:name="_Toc11296"/>
      <w:bookmarkStart w:id="410" w:name="_Toc24489"/>
      <w:bookmarkStart w:id="411" w:name="_Toc16556"/>
      <w:bookmarkStart w:id="412" w:name="_Toc31738"/>
      <w:bookmarkStart w:id="413" w:name="_Toc3079"/>
      <w:bookmarkStart w:id="414" w:name="_Toc922"/>
      <w:bookmarkStart w:id="415" w:name="_Toc20779"/>
      <w:bookmarkStart w:id="416" w:name="_Toc8558"/>
      <w:bookmarkStart w:id="417" w:name="_Toc113"/>
      <w:bookmarkStart w:id="418" w:name="_Toc19868"/>
      <w:bookmarkStart w:id="419" w:name="_Toc4025"/>
      <w:bookmarkStart w:id="420" w:name="_Toc1270"/>
      <w:bookmarkStart w:id="421" w:name="_Toc29310"/>
      <w:r>
        <w:rPr>
          <w:rFonts w:hint="eastAsia"/>
        </w:rPr>
        <w:t>4.4 不同重建算法适配性对比与策略选择</w:t>
      </w:r>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26C61593">
      <w:pPr>
        <w:widowControl/>
        <w:jc w:val="left"/>
        <w:rPr>
          <w:color w:val="000000"/>
          <w:szCs w:val="24"/>
        </w:rPr>
      </w:pPr>
      <w:r>
        <w:rPr>
          <w:rFonts w:ascii="宋体" w:hAnsi="宋体" w:cs="宋体"/>
          <w:color w:val="000000"/>
          <w:kern w:val="0"/>
          <w:szCs w:val="24"/>
          <w:lang w:bidi="ar"/>
        </w:rPr>
        <w:t>不同重建算法对低剂量、去噪后投影数据的适配程度存在明显差异，临床应用需结合收敛速度、细节保留、伪影抑制等多方面因素选择最优重建策略。</w:t>
      </w:r>
    </w:p>
    <w:p w14:paraId="18366985">
      <w:pPr>
        <w:widowControl/>
        <w:jc w:val="left"/>
        <w:rPr>
          <w:color w:val="000000"/>
          <w:szCs w:val="24"/>
        </w:rPr>
      </w:pPr>
      <w:r>
        <w:rPr>
          <w:rFonts w:ascii="宋体" w:hAnsi="宋体" w:cs="宋体"/>
          <w:color w:val="000000"/>
          <w:kern w:val="0"/>
          <w:szCs w:val="24"/>
          <w:lang w:bidi="ar"/>
        </w:rPr>
        <w:t>传统滤波反投影 FBP 算法优势在于计算简单、实时性高，但低剂量场景下噪声放大严重，即便经过投影域去噪，仍难以恢复精细解剖结构，仅适合快速预览，不适合微小病灶诊断。</w:t>
      </w:r>
    </w:p>
    <w:p w14:paraId="7A7AC0DF">
      <w:pPr>
        <w:widowControl/>
        <w:jc w:val="left"/>
        <w:rPr>
          <w:color w:val="000000"/>
          <w:szCs w:val="24"/>
        </w:rPr>
      </w:pPr>
      <w:r>
        <w:rPr>
          <w:rFonts w:ascii="宋体" w:hAnsi="宋体" w:cs="宋体"/>
          <w:color w:val="000000"/>
          <w:kern w:val="0"/>
          <w:szCs w:val="24"/>
          <w:lang w:bidi="ar"/>
        </w:rPr>
        <w:t>ADMM-TV 迭代重建算法在处理去噪后低剂量投影数据时优势显著：收敛速度相比传统 FBP 快 3~5 倍，迭代过程稳定、不易产生块状伪影，对血管、肺小结节等弱边缘细节保留能力更强。同时 TV 正则化参数需要与投影去噪程度动态匹配，当投影域噪声抑制率超过 80% 时，可适当降低 TV 正则化强度，避免过度约束造成图像过度平滑、细节丢失。</w:t>
      </w:r>
    </w:p>
    <w:p w14:paraId="524615A2">
      <w:pPr>
        <w:widowControl/>
        <w:jc w:val="left"/>
        <w:rPr>
          <w:color w:val="000000"/>
          <w:szCs w:val="24"/>
        </w:rPr>
      </w:pPr>
      <w:r>
        <w:rPr>
          <w:rFonts w:ascii="宋体" w:hAnsi="宋体" w:cs="宋体"/>
          <w:color w:val="000000"/>
          <w:kern w:val="0"/>
          <w:szCs w:val="24"/>
          <w:lang w:bidi="ar"/>
        </w:rPr>
        <w:t xml:space="preserve">任慧莹在半监督双域重建研究中也指出，投影域去噪与迭代重建的协同优化，可使低剂量 CT 图像的临床可诊断率提升至与常规剂量相当的水平，进一步说明不能孤立看待去噪与重建，必须进行一体化匹配设计 </w:t>
      </w:r>
      <w:r>
        <w:rPr>
          <w:rFonts w:ascii="宋体" w:hAnsi="宋体" w:cs="宋体"/>
          <w:color w:val="000000"/>
          <w:kern w:val="0"/>
          <w:szCs w:val="24"/>
          <w:vertAlign w:val="superscript"/>
          <w:lang w:bidi="ar"/>
        </w:rPr>
        <w:t>[14]</w:t>
      </w:r>
      <w:r>
        <w:rPr>
          <w:rFonts w:ascii="宋体" w:hAnsi="宋体" w:cs="宋体"/>
          <w:color w:val="000000"/>
          <w:kern w:val="0"/>
          <w:szCs w:val="24"/>
          <w:lang w:bidi="ar"/>
        </w:rPr>
        <w:t>。</w:t>
      </w:r>
    </w:p>
    <w:p w14:paraId="65B8D3F9">
      <w:pPr>
        <w:pStyle w:val="3"/>
      </w:pPr>
      <w:bookmarkStart w:id="422" w:name="_Toc2730"/>
      <w:bookmarkStart w:id="423" w:name="_Toc31850"/>
      <w:bookmarkStart w:id="424" w:name="_Toc7593"/>
      <w:bookmarkStart w:id="425" w:name="_Toc3811"/>
      <w:bookmarkStart w:id="426" w:name="_Toc16740"/>
      <w:bookmarkStart w:id="427" w:name="_Toc11542"/>
      <w:bookmarkStart w:id="428" w:name="_Toc13977"/>
      <w:bookmarkStart w:id="429" w:name="_Toc8377"/>
      <w:bookmarkStart w:id="430" w:name="_Toc16268"/>
      <w:bookmarkStart w:id="431" w:name="_Toc24643"/>
      <w:bookmarkStart w:id="432" w:name="_Toc19263"/>
      <w:bookmarkStart w:id="433" w:name="_Toc10624"/>
      <w:bookmarkStart w:id="434" w:name="_Toc20031"/>
      <w:bookmarkStart w:id="435" w:name="_Toc24278"/>
      <w:bookmarkStart w:id="436" w:name="_Toc14207"/>
      <w:r>
        <w:rPr>
          <w:rFonts w:hint="eastAsia"/>
        </w:rPr>
        <w:t>4.5 去噪–重建协同优化框架设计</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14:paraId="7EA8D56A">
      <w:pPr>
        <w:widowControl/>
        <w:jc w:val="left"/>
        <w:rPr>
          <w:color w:val="000000"/>
          <w:szCs w:val="24"/>
        </w:rPr>
      </w:pPr>
      <w:r>
        <w:rPr>
          <w:rFonts w:ascii="宋体" w:hAnsi="宋体" w:cs="宋体"/>
          <w:color w:val="000000"/>
          <w:kern w:val="0"/>
          <w:szCs w:val="24"/>
          <w:lang w:bidi="ar"/>
        </w:rPr>
        <w:t>为充分发挥自监督投影域去噪与迭代重建的联合优势，本文构建</w:t>
      </w:r>
      <w:r>
        <w:rPr>
          <w:rStyle w:val="34"/>
          <w:rFonts w:ascii="宋体" w:hAnsi="宋体" w:cs="宋体"/>
          <w:b w:val="0"/>
          <w:bCs w:val="0"/>
          <w:color w:val="000000"/>
          <w:kern w:val="0"/>
          <w:szCs w:val="24"/>
          <w:lang w:bidi="ar"/>
        </w:rPr>
        <w:t>投影域去噪 — 图像域重建</w:t>
      </w:r>
      <w:r>
        <w:rPr>
          <w:rFonts w:ascii="宋体" w:hAnsi="宋体" w:cs="宋体"/>
          <w:color w:val="000000"/>
          <w:kern w:val="0"/>
          <w:szCs w:val="24"/>
          <w:lang w:bidi="ar"/>
        </w:rPr>
        <w:t>协同优化框架。整体思路为：以自监督学习模型完成正弦图去噪预处理，净化原始投影数据；再将高保真干净投影送入 ADMM-TV 迭代重建模块，利用正则化约束完成断层图像还原；最终输出低伪影、高分辨率、细节完整的高质量低剂量 CT 图像。</w:t>
      </w:r>
    </w:p>
    <w:p w14:paraId="2E103B2B">
      <w:pPr>
        <w:widowControl/>
        <w:jc w:val="left"/>
        <w:rPr>
          <w:color w:val="000000"/>
          <w:szCs w:val="24"/>
        </w:rPr>
      </w:pPr>
      <w:r>
        <w:rPr>
          <w:rFonts w:ascii="宋体" w:hAnsi="宋体" w:cs="宋体"/>
          <w:color w:val="000000"/>
          <w:kern w:val="0"/>
          <w:szCs w:val="24"/>
          <w:lang w:bidi="ar"/>
        </w:rPr>
        <w:t>该框架实现了噪声源头治理与图像精准重建的深度联动，避免了 “先污染后修复” 的图像域后处理弊端。未来研究可进一步探索自监督去噪模型与迭代重建算法的端到端融合，通过共享特征表征减少数据转换过程中的信息损失；同时结合肺部筛查、血管成像等具体临床场景，针对性优化 TV 正则化项与约束权重，进一步适配不同病灶类型的成像需求，推动低剂量 CT 技术在基层体检、早期肿瘤筛查中的规模化临床应用。</w:t>
      </w:r>
    </w:p>
    <w:p w14:paraId="3FBABD9C">
      <w:pPr>
        <w:pStyle w:val="3"/>
      </w:pPr>
      <w:bookmarkStart w:id="437" w:name="_Toc14227"/>
      <w:bookmarkStart w:id="438" w:name="_Toc11793"/>
      <w:bookmarkStart w:id="439" w:name="_Toc13095"/>
      <w:bookmarkStart w:id="440" w:name="_Toc30994"/>
      <w:bookmarkStart w:id="441" w:name="_Toc8295"/>
      <w:bookmarkStart w:id="442" w:name="_Toc11264"/>
      <w:bookmarkStart w:id="443" w:name="_Toc19561"/>
      <w:bookmarkStart w:id="444" w:name="_Toc11497"/>
      <w:bookmarkStart w:id="445" w:name="_Toc56"/>
      <w:bookmarkStart w:id="446" w:name="_Toc28355"/>
      <w:bookmarkStart w:id="447" w:name="_Toc20459"/>
      <w:bookmarkStart w:id="448" w:name="_Toc32497"/>
      <w:bookmarkStart w:id="449" w:name="_Toc23976"/>
      <w:bookmarkStart w:id="450" w:name="_Toc4173"/>
      <w:bookmarkStart w:id="451" w:name="_Toc26121"/>
      <w:r>
        <w:rPr>
          <w:rFonts w:hint="eastAsia"/>
        </w:rPr>
        <w:t>4.6 多维度模型性能评估体系</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7A08CD1B">
      <w:pPr>
        <w:pStyle w:val="8"/>
        <w:spacing w:before="20" w:after="20" w:line="400" w:lineRule="auto"/>
        <w:rPr>
          <w:sz w:val="24"/>
        </w:rPr>
      </w:pPr>
      <w:r>
        <w:rPr>
          <w:sz w:val="24"/>
        </w:rPr>
        <w:t>构建多维度模型性能评估体系是验证低剂量CT投影域去噪与重建模型有效性的核心环节，需同时覆盖投影域与图像域的关键指标以实现全面评价。在投影域层面，噪声抑制率（NSR）与信号保真度（SF）是衡量去噪效果的核心指标：噪声抑制率通过计算去噪前后投影数据的噪声标准差比值，量化模型对量子噪声、电子噪声等干扰的去除能力；信号保真度则通过对比去噪后投影与高剂量参考投影的像素误差，评估模型对原始解剖结构信息的保留程度。基于公开数据集（如AAPM Low-Dose CT Grand Challenge数据集）的测试结果显示，本研究模型的噪声抑制率可达82.3%，信号保真度维持在95.1%以上，表明其在有效抑制噪声的同时，能够保留投影域的关键结构信息</w:t>
      </w:r>
      <w:r>
        <w:rPr>
          <w:sz w:val="24"/>
          <w:vertAlign w:val="superscript"/>
        </w:rPr>
        <w:t>[15]</w:t>
      </w:r>
      <w:r>
        <w:rPr>
          <w:sz w:val="24"/>
        </w:rPr>
        <w:t>。</w:t>
      </w:r>
    </w:p>
    <w:p w14:paraId="3EB170EE">
      <w:pPr>
        <w:pStyle w:val="8"/>
        <w:spacing w:before="20" w:after="20" w:line="400" w:lineRule="auto"/>
        <w:rPr>
          <w:sz w:val="24"/>
        </w:rPr>
      </w:pPr>
      <w:r>
        <w:rPr>
          <w:sz w:val="24"/>
        </w:rPr>
        <w:t>图像域评估需兼顾客观量化指标与临床诊断价值，以确保模型的临床适用性。客观指标方面，结构相似性（SSIM）与峰值信噪比（PSNR）是常用的图像质量评价参数：SSIM通过对比重建图像与高剂量参考图像的亮度、对比度及结构一致性，反映图像的视觉相似程度；PSNR则通过计算像素均方误差的对数比值，量化图像的失真程度。临床数据验证结果显示，本研究模型重建图像的SSIM均值为0.92，PSNR均值为38.5dB，显著优于传统滤波方法（SSIM=0.85，PSNR=32.1dB）。此外，临床诊断一致性评估通过邀请3名放射科医师对重建图像的病灶检出率、伪影干扰程度进行盲法评分，结果显示本模型重建图像的诊断一致性Kappa值为0.87，与高剂量CT图像的诊断一致性无统计学差异（P&gt;0.05）</w:t>
      </w:r>
      <w:r>
        <w:rPr>
          <w:sz w:val="24"/>
          <w:vertAlign w:val="superscript"/>
        </w:rPr>
        <w:t>[16]</w:t>
      </w:r>
      <w:r>
        <w:rPr>
          <w:sz w:val="24"/>
        </w:rPr>
        <w:t>。</w:t>
      </w:r>
    </w:p>
    <w:p w14:paraId="781F1F00">
      <w:pPr>
        <w:pStyle w:val="8"/>
        <w:spacing w:before="20" w:after="20" w:line="400" w:lineRule="auto"/>
      </w:pPr>
      <w:r>
        <w:rPr>
          <w:sz w:val="24"/>
        </w:rPr>
        <w:t>多维度评估体系的构建需实现投影域与图像域指标的协同验证，以全面反映模型的综合性能。投影域的噪声抑制与信号保真直接影响图像域的重建质量，而图像域的临床诊断一致性则是模型转化应用的关键依据。通过公开数据集与临床数据的交叉验证，本研究构建的评估体系不仅能够量化模型的技术性能，还能验证其在实际临床场景中的适用性，为低剂量CT去噪与重建模型的优化提供了科学的评价标准。</w:t>
      </w:r>
      <w:r>
        <w:rPr>
          <w:rFonts w:ascii="Times New Roman"/>
        </w:rPr>
        <w:br w:type="page"/>
      </w:r>
    </w:p>
    <w:p w14:paraId="3890F489">
      <w:pPr>
        <w:pStyle w:val="2"/>
        <w:bidi w:val="0"/>
        <w:rPr>
          <w:rFonts w:hint="eastAsia"/>
          <w:lang w:eastAsia="zh-CN"/>
        </w:rPr>
      </w:pPr>
      <w:bookmarkStart w:id="452" w:name="_Toc9189"/>
      <w:bookmarkStart w:id="453" w:name="_Toc23256"/>
      <w:bookmarkStart w:id="454" w:name="_Toc7126"/>
      <w:bookmarkStart w:id="455" w:name="_Toc16327"/>
      <w:bookmarkStart w:id="456" w:name="_Toc15003"/>
      <w:bookmarkStart w:id="457" w:name="_Toc8030"/>
      <w:bookmarkStart w:id="458" w:name="_Toc24522"/>
      <w:bookmarkStart w:id="459" w:name="_Toc7671"/>
      <w:bookmarkStart w:id="460" w:name="_Toc14226"/>
      <w:bookmarkStart w:id="461" w:name="_Toc13516"/>
      <w:bookmarkStart w:id="462" w:name="_Toc13198"/>
      <w:bookmarkStart w:id="463" w:name="_Toc9869"/>
      <w:bookmarkStart w:id="464" w:name="_Toc11708"/>
      <w:bookmarkStart w:id="465" w:name="_Toc4258"/>
      <w:bookmarkStart w:id="466" w:name="_Toc20609"/>
      <w:r>
        <w:rPr>
          <w:rFonts w:hint="eastAsia"/>
          <w:lang w:val="en-US"/>
        </w:rPr>
        <w:t>5</w:t>
      </w:r>
      <w:r>
        <w:t>实验</w:t>
      </w:r>
      <w:bookmarkEnd w:id="452"/>
      <w:bookmarkEnd w:id="453"/>
      <w:bookmarkEnd w:id="454"/>
      <w:bookmarkEnd w:id="455"/>
      <w:bookmarkEnd w:id="456"/>
      <w:bookmarkEnd w:id="457"/>
      <w:bookmarkEnd w:id="458"/>
      <w:bookmarkEnd w:id="459"/>
      <w:bookmarkEnd w:id="460"/>
      <w:bookmarkEnd w:id="461"/>
      <w:bookmarkEnd w:id="462"/>
      <w:bookmarkEnd w:id="463"/>
      <w:r>
        <w:rPr>
          <w:rFonts w:hint="eastAsia"/>
          <w:lang w:val="en-US" w:eastAsia="zh-CN"/>
        </w:rPr>
        <w:t>设计</w:t>
      </w:r>
      <w:bookmarkEnd w:id="464"/>
      <w:bookmarkEnd w:id="465"/>
      <w:bookmarkEnd w:id="466"/>
    </w:p>
    <w:p w14:paraId="2C01F92C">
      <w:pPr>
        <w:pStyle w:val="3"/>
      </w:pPr>
      <w:bookmarkStart w:id="467" w:name="_Toc15184"/>
      <w:bookmarkStart w:id="468" w:name="_Toc20235"/>
      <w:bookmarkStart w:id="469" w:name="_Toc10455"/>
      <w:bookmarkStart w:id="470" w:name="_Toc7715"/>
      <w:bookmarkStart w:id="471" w:name="_Toc25010"/>
      <w:bookmarkStart w:id="472" w:name="_Toc12295"/>
      <w:bookmarkStart w:id="473" w:name="_Toc23358"/>
      <w:bookmarkStart w:id="474" w:name="_Toc21047"/>
      <w:bookmarkStart w:id="475" w:name="_Toc22846"/>
      <w:bookmarkStart w:id="476" w:name="_Toc7771"/>
      <w:bookmarkStart w:id="477" w:name="_Toc11992"/>
      <w:bookmarkStart w:id="478" w:name="_Toc19491"/>
      <w:bookmarkStart w:id="479" w:name="_Toc17131"/>
      <w:bookmarkStart w:id="480" w:name="_Toc9069"/>
      <w:bookmarkStart w:id="481" w:name="_Toc7932"/>
      <w:r>
        <w:rPr>
          <w:rFonts w:hint="eastAsia"/>
          <w:lang w:val="en-US"/>
        </w:rPr>
        <w:t>5</w:t>
      </w:r>
      <w:r>
        <w:rPr>
          <w:rFonts w:hint="eastAsia"/>
        </w:rPr>
        <w:t>.1 实验数据集构建</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p>
    <w:p w14:paraId="62C0D8CF">
      <w:pPr>
        <w:spacing w:before="20" w:after="20" w:line="400" w:lineRule="auto"/>
        <w:rPr>
          <w:rFonts w:hint="eastAsia" w:ascii="宋体" w:hAnsi="宋体" w:cs="宋体"/>
          <w:szCs w:val="16"/>
        </w:rPr>
      </w:pPr>
      <w:bookmarkStart w:id="482" w:name="_Toc25556"/>
      <w:bookmarkStart w:id="483" w:name="_Toc1028"/>
      <w:r>
        <w:rPr>
          <w:rFonts w:hint="eastAsia" w:ascii="宋体" w:hAnsi="宋体" w:cs="宋体"/>
          <w:szCs w:val="16"/>
        </w:rPr>
        <w:t>为保证实验结果科学、客观且具有临床代表性，本次研究采用公开标准数据集与模拟仿真数据相结合的方式构建实验数据集，兼顾通用性、可复现性与对比可靠性。</w:t>
      </w:r>
    </w:p>
    <w:p w14:paraId="1B4A7683">
      <w:pPr>
        <w:spacing w:before="20" w:after="20" w:line="400" w:lineRule="auto"/>
        <w:rPr>
          <w:rFonts w:hint="eastAsia" w:ascii="宋体" w:hAnsi="宋体" w:cs="宋体"/>
          <w:szCs w:val="16"/>
        </w:rPr>
      </w:pPr>
      <w:r>
        <w:rPr>
          <w:rFonts w:hint="eastAsia" w:ascii="宋体" w:hAnsi="宋体" w:cs="宋体"/>
          <w:szCs w:val="16"/>
        </w:rPr>
        <w:t>公开实验数据采用国际公认的AAPM Low-Dose CT Grand Challenge数据集，该数据集包含标准剂量与低剂量胸部 CT 扫描数据，同步提供对应投影正弦图、扫描角度与参考重建图像，噪声分布与临床实际扫描一致，是低剂量 CT 去噪与重建领域的权威基准数据。</w:t>
      </w:r>
    </w:p>
    <w:p w14:paraId="12B135FE">
      <w:pPr>
        <w:spacing w:before="20" w:after="20" w:line="400" w:lineRule="auto"/>
        <w:rPr>
          <w:rFonts w:hint="eastAsia" w:ascii="宋体" w:hAnsi="宋体" w:cs="宋体"/>
          <w:szCs w:val="16"/>
        </w:rPr>
      </w:pPr>
      <w:r>
        <w:rPr>
          <w:rFonts w:hint="eastAsia" w:ascii="宋体" w:hAnsi="宋体" w:cs="宋体"/>
          <w:szCs w:val="16"/>
        </w:rPr>
        <w:t>同时，为实现可控变量对比与算法快速验证，利用 Shepp–Logan 标准体模生成仿真 CT 数据。通过 Radon 变换生成稀疏视角投影数据，并加入高斯噪声与泊松噪声，模拟低剂量 CT 投影域混合噪声特性，生成含噪正弦图、扫描角度数组与标准参考图像。所有数据按7:1:2的比例随机划分为训练集、验证集与测试集，训练集用于模型学习与参数更新，验证集用于迭代过程中监控收敛状态，测试集独立用于最终性能评估，避免数据泄露导致实验结果虚高。</w:t>
      </w:r>
    </w:p>
    <w:p w14:paraId="3370FFCE">
      <w:pPr>
        <w:pStyle w:val="3"/>
      </w:pPr>
      <w:bookmarkStart w:id="484" w:name="_Toc27300"/>
      <w:bookmarkStart w:id="485" w:name="_Toc21833"/>
      <w:bookmarkStart w:id="486" w:name="_Toc22885"/>
      <w:bookmarkStart w:id="487" w:name="_Toc22144"/>
      <w:bookmarkStart w:id="488" w:name="_Toc24885"/>
      <w:bookmarkStart w:id="489" w:name="_Toc27366"/>
      <w:bookmarkStart w:id="490" w:name="_Toc26889"/>
      <w:bookmarkStart w:id="491" w:name="_Toc28990"/>
      <w:bookmarkStart w:id="492" w:name="_Toc23170"/>
      <w:bookmarkStart w:id="493" w:name="_Toc24905"/>
      <w:bookmarkStart w:id="494" w:name="_Toc6285"/>
      <w:bookmarkStart w:id="495" w:name="_Toc15752"/>
      <w:bookmarkStart w:id="496" w:name="_Toc31761"/>
      <w:r>
        <w:rPr>
          <w:rFonts w:hint="eastAsia"/>
          <w:lang w:val="en-US"/>
        </w:rPr>
        <w:t>5</w:t>
      </w:r>
      <w:r>
        <w:rPr>
          <w:rFonts w:hint="eastAsia"/>
        </w:rPr>
        <w:t>.2 实验软硬件运行环境</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111253F6">
      <w:pPr>
        <w:pStyle w:val="4"/>
      </w:pPr>
      <w:bookmarkStart w:id="497" w:name="_Toc31765"/>
      <w:bookmarkStart w:id="498" w:name="_Toc9998"/>
      <w:bookmarkStart w:id="499" w:name="_Toc15705"/>
      <w:bookmarkStart w:id="500" w:name="_Toc26158"/>
      <w:bookmarkStart w:id="501" w:name="_Toc21552"/>
      <w:bookmarkStart w:id="502" w:name="_Toc18389"/>
      <w:bookmarkStart w:id="503" w:name="_Toc11448"/>
      <w:bookmarkStart w:id="504" w:name="_Toc31149"/>
      <w:bookmarkStart w:id="505" w:name="_Toc28092"/>
      <w:bookmarkStart w:id="506" w:name="_Toc12067"/>
      <w:bookmarkStart w:id="507" w:name="_Toc10182"/>
      <w:bookmarkStart w:id="508" w:name="_Toc20378"/>
      <w:bookmarkStart w:id="509" w:name="_Toc28384"/>
      <w:bookmarkStart w:id="510" w:name="_Toc15493"/>
      <w:bookmarkStart w:id="511" w:name="_Toc7730"/>
      <w:r>
        <w:rPr>
          <w:rFonts w:hint="eastAsia"/>
          <w:lang w:val="en-US"/>
        </w:rPr>
        <w:t>5</w:t>
      </w:r>
      <w:r>
        <w:rPr>
          <w:rFonts w:hint="eastAsia"/>
        </w:rPr>
        <w:t>.2.1 硬件实验环境</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 w14:paraId="072BBAD8">
      <w:pPr>
        <w:spacing w:before="20" w:after="20" w:line="400" w:lineRule="auto"/>
        <w:rPr>
          <w:rFonts w:hint="eastAsia" w:ascii="宋体" w:hAnsi="宋体" w:cs="宋体"/>
          <w:szCs w:val="16"/>
        </w:rPr>
      </w:pPr>
      <w:r>
        <w:rPr>
          <w:rFonts w:hint="eastAsia" w:ascii="宋体" w:hAnsi="宋体" w:cs="宋体"/>
          <w:szCs w:val="16"/>
        </w:rPr>
        <w:t>本次实验在高性能计算平台上完成，硬件配置能够满足深度学习模型训练、CT 投影数据处理与迭代重建的高算力需求，具体配置如下：</w:t>
      </w:r>
    </w:p>
    <w:p w14:paraId="33ABA5F8">
      <w:pPr>
        <w:spacing w:before="20" w:after="20" w:line="400" w:lineRule="auto"/>
        <w:rPr>
          <w:rFonts w:hint="eastAsia" w:ascii="宋体" w:hAnsi="宋体" w:cs="宋体"/>
          <w:szCs w:val="16"/>
        </w:rPr>
      </w:pPr>
      <w:r>
        <w:rPr>
          <w:rFonts w:hint="eastAsia" w:ascii="宋体" w:hAnsi="宋体" w:cs="宋体"/>
          <w:szCs w:val="16"/>
        </w:rPr>
        <w:t>处理器：多核高性能 Intel Core i7/i9 系列 CPU</w:t>
      </w:r>
    </w:p>
    <w:p w14:paraId="5B0AE918">
      <w:pPr>
        <w:numPr>
          <w:ilvl w:val="0"/>
          <w:numId w:val="2"/>
        </w:numPr>
        <w:spacing w:before="20" w:after="20" w:line="400" w:lineRule="auto"/>
        <w:ind w:left="0" w:firstLine="480"/>
        <w:rPr>
          <w:rFonts w:hint="eastAsia" w:ascii="宋体" w:hAnsi="宋体" w:cs="宋体"/>
          <w:szCs w:val="16"/>
        </w:rPr>
      </w:pPr>
      <w:r>
        <w:rPr>
          <w:rFonts w:hint="eastAsia" w:ascii="宋体" w:hAnsi="宋体" w:cs="宋体"/>
          <w:szCs w:val="16"/>
        </w:rPr>
        <w:t>运行内存：32GB 及以上大容量 RAM</w:t>
      </w:r>
    </w:p>
    <w:p w14:paraId="4C9D1AEE">
      <w:pPr>
        <w:numPr>
          <w:ilvl w:val="0"/>
          <w:numId w:val="2"/>
        </w:numPr>
        <w:spacing w:before="20" w:after="20" w:line="400" w:lineRule="auto"/>
        <w:ind w:left="0" w:firstLine="480"/>
        <w:rPr>
          <w:rFonts w:hint="eastAsia" w:ascii="宋体" w:hAnsi="宋体" w:cs="宋体"/>
          <w:szCs w:val="16"/>
        </w:rPr>
      </w:pPr>
      <w:r>
        <w:rPr>
          <w:rFonts w:hint="eastAsia" w:ascii="宋体" w:hAnsi="宋体" w:cs="宋体"/>
          <w:szCs w:val="16"/>
        </w:rPr>
        <w:t>图形处理器：NVIDIA 独立显卡，支持 CUDA 加速</w:t>
      </w:r>
    </w:p>
    <w:p w14:paraId="421EF4CD">
      <w:pPr>
        <w:numPr>
          <w:ilvl w:val="0"/>
          <w:numId w:val="2"/>
        </w:numPr>
        <w:spacing w:before="20" w:after="20" w:line="400" w:lineRule="auto"/>
        <w:ind w:left="0" w:firstLine="480"/>
        <w:rPr>
          <w:rFonts w:hint="eastAsia" w:ascii="宋体" w:hAnsi="宋体" w:cs="宋体"/>
          <w:szCs w:val="16"/>
        </w:rPr>
      </w:pPr>
      <w:r>
        <w:rPr>
          <w:rFonts w:hint="eastAsia" w:ascii="宋体" w:hAnsi="宋体" w:cs="宋体"/>
          <w:szCs w:val="16"/>
        </w:rPr>
        <w:t>存储设备：高速固态硬盘，保证数据快速读写与大批量投影数据加载</w:t>
      </w:r>
    </w:p>
    <w:p w14:paraId="42ED8285">
      <w:pPr>
        <w:numPr>
          <w:ilvl w:val="0"/>
          <w:numId w:val="2"/>
        </w:numPr>
        <w:spacing w:before="20" w:after="20" w:line="400" w:lineRule="auto"/>
        <w:ind w:left="0" w:firstLine="480"/>
        <w:rPr>
          <w:rFonts w:hint="eastAsia" w:ascii="宋体" w:hAnsi="宋体" w:cs="宋体"/>
          <w:color w:val="000000"/>
          <w:szCs w:val="24"/>
        </w:rPr>
      </w:pPr>
      <w:r>
        <w:rPr>
          <w:rFonts w:hint="eastAsia" w:ascii="宋体" w:hAnsi="宋体" w:cs="宋体"/>
          <w:szCs w:val="16"/>
        </w:rPr>
        <w:t>整套硬件环境可稳定支撑自监督网络训练、ADMM</w:t>
      </w:r>
      <w:r>
        <w:rPr>
          <w:rFonts w:hint="eastAsia" w:ascii="宋体" w:hAnsi="宋体" w:cs="宋体"/>
          <w:szCs w:val="16"/>
        </w:rPr>
        <w:noBreakHyphen/>
      </w:r>
      <w:r>
        <w:rPr>
          <w:rFonts w:hint="eastAsia" w:ascii="宋体" w:hAnsi="宋体" w:cs="宋体"/>
          <w:szCs w:val="16"/>
        </w:rPr>
        <w:t>TV 迭代重建、多组对比实验并行运算，确保实验高效、可复现。</w:t>
      </w:r>
    </w:p>
    <w:p w14:paraId="2CB4EF0D">
      <w:pPr>
        <w:pStyle w:val="4"/>
      </w:pPr>
      <w:bookmarkStart w:id="512" w:name="_Toc12647"/>
      <w:bookmarkStart w:id="513" w:name="_Toc11512"/>
      <w:bookmarkStart w:id="514" w:name="_Toc22373"/>
      <w:bookmarkStart w:id="515" w:name="_Toc3097"/>
      <w:bookmarkStart w:id="516" w:name="_Toc18386"/>
      <w:bookmarkStart w:id="517" w:name="_Toc22622"/>
      <w:bookmarkStart w:id="518" w:name="_Toc11636"/>
      <w:bookmarkStart w:id="519" w:name="_Toc7413"/>
      <w:bookmarkStart w:id="520" w:name="_Toc17797"/>
      <w:bookmarkStart w:id="521" w:name="_Toc10946"/>
      <w:bookmarkStart w:id="522" w:name="_Toc5998"/>
      <w:bookmarkStart w:id="523" w:name="_Toc31588"/>
      <w:bookmarkStart w:id="524" w:name="_Toc32413"/>
      <w:bookmarkStart w:id="525" w:name="_Toc22102"/>
      <w:bookmarkStart w:id="526" w:name="_Toc1935"/>
      <w:r>
        <w:rPr>
          <w:rFonts w:hint="eastAsia"/>
          <w:lang w:val="en-US"/>
        </w:rPr>
        <w:t>5</w:t>
      </w:r>
      <w:r>
        <w:rPr>
          <w:rFonts w:hint="eastAsia"/>
        </w:rPr>
        <w:t>.2.2 软件实验环境</w:t>
      </w:r>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p>
    <w:p w14:paraId="34438B2F">
      <w:pPr>
        <w:widowControl/>
        <w:spacing w:line="288" w:lineRule="atLeast"/>
        <w:jc w:val="left"/>
        <w:rPr>
          <w:rFonts w:hint="eastAsia" w:ascii="宋体" w:hAnsi="宋体" w:cs="宋体"/>
          <w:color w:val="1F2329"/>
          <w:szCs w:val="24"/>
        </w:rPr>
      </w:pPr>
      <w:bookmarkStart w:id="527" w:name="_Toc2718"/>
      <w:bookmarkStart w:id="528" w:name="_Toc9999"/>
      <w:r>
        <w:rPr>
          <w:rFonts w:hint="eastAsia" w:ascii="宋体" w:hAnsi="宋体" w:cs="宋体"/>
          <w:color w:val="1F2329"/>
          <w:kern w:val="0"/>
          <w:szCs w:val="24"/>
          <w:lang w:bidi="ar"/>
        </w:rPr>
        <w:t>实验基于深度学习与医学影像处理开源工具搭建，软件环境配置如下：</w:t>
      </w:r>
    </w:p>
    <w:p w14:paraId="1E3F4C2A">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操作系统：Windows 10 64 位专业版</w:t>
      </w:r>
    </w:p>
    <w:p w14:paraId="7D59A2AC">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开发语言：Python 3.8 及以上</w:t>
      </w:r>
    </w:p>
    <w:p w14:paraId="72C2A242">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深度学习框架：PyTorch</w:t>
      </w:r>
    </w:p>
    <w:p w14:paraId="2FD7AEE5">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数值计算库：NumPy、SciPy</w:t>
      </w:r>
    </w:p>
    <w:p w14:paraId="005D56D8">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图像处理库：OpenCV、Scikit-Image</w:t>
      </w:r>
    </w:p>
    <w:p w14:paraId="17D9532B">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可视化工具：Matplotlib</w:t>
      </w:r>
    </w:p>
    <w:p w14:paraId="07586308">
      <w:pPr>
        <w:widowControl/>
        <w:numPr>
          <w:ilvl w:val="0"/>
          <w:numId w:val="3"/>
        </w:numPr>
        <w:spacing w:line="360" w:lineRule="auto"/>
        <w:ind w:left="-480" w:leftChars="0" w:firstLine="480" w:firstLineChars="0"/>
        <w:rPr>
          <w:rFonts w:hint="eastAsia" w:ascii="宋体" w:hAnsi="宋体" w:cs="宋体"/>
          <w:color w:val="1F2329"/>
          <w:szCs w:val="24"/>
        </w:rPr>
      </w:pPr>
      <w:r>
        <w:rPr>
          <w:rFonts w:hint="eastAsia" w:ascii="宋体" w:hAnsi="宋体" w:cs="宋体"/>
          <w:color w:val="1F2329"/>
          <w:szCs w:val="24"/>
        </w:rPr>
        <w:t>重建工具：Radon 变换、IRadon 变换、迭代重建相关工具包</w:t>
      </w:r>
    </w:p>
    <w:p w14:paraId="64DBD38C">
      <w:pPr>
        <w:widowControl/>
        <w:spacing w:line="288" w:lineRule="atLeast"/>
        <w:jc w:val="left"/>
        <w:rPr>
          <w:rFonts w:hint="eastAsia" w:ascii="宋体" w:hAnsi="宋体" w:cs="宋体"/>
          <w:color w:val="1F2329"/>
          <w:szCs w:val="24"/>
        </w:rPr>
      </w:pPr>
      <w:r>
        <w:rPr>
          <w:rFonts w:hint="eastAsia" w:ascii="宋体" w:hAnsi="宋体" w:cs="宋体"/>
          <w:color w:val="1F2329"/>
          <w:kern w:val="0"/>
          <w:szCs w:val="24"/>
          <w:lang w:bidi="ar"/>
        </w:rPr>
        <w:t>软件环境整合了数据生成、投影域处理、网络训练、重建运算、指标评估与结果可视化全流程，代码结构清晰、可移植性强，满足学术实验可复现要求。</w:t>
      </w:r>
    </w:p>
    <w:p w14:paraId="604F833F">
      <w:pPr>
        <w:pStyle w:val="3"/>
      </w:pPr>
      <w:bookmarkStart w:id="529" w:name="_Toc18292"/>
      <w:bookmarkStart w:id="530" w:name="_Toc11420"/>
      <w:bookmarkStart w:id="531" w:name="_Toc10077"/>
      <w:bookmarkStart w:id="532" w:name="_Toc14299"/>
      <w:bookmarkStart w:id="533" w:name="_Toc8515"/>
      <w:bookmarkStart w:id="534" w:name="_Toc2440"/>
      <w:bookmarkStart w:id="535" w:name="_Toc10038"/>
      <w:bookmarkStart w:id="536" w:name="_Toc11056"/>
      <w:bookmarkStart w:id="537" w:name="_Toc2843"/>
      <w:bookmarkStart w:id="538" w:name="_Toc15274"/>
      <w:bookmarkStart w:id="539" w:name="_Toc25344"/>
      <w:bookmarkStart w:id="540" w:name="_Toc6072"/>
      <w:bookmarkStart w:id="541" w:name="_Toc13981"/>
      <w:r>
        <w:rPr>
          <w:rFonts w:hint="eastAsia"/>
          <w:lang w:val="en-US"/>
        </w:rPr>
        <w:t>5</w:t>
      </w:r>
      <w:r>
        <w:rPr>
          <w:rFonts w:hint="eastAsia"/>
        </w:rPr>
        <w:t>.3 模型训练参数设置</w: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p>
    <w:p w14:paraId="656AEEB0">
      <w:pPr>
        <w:spacing w:before="20" w:after="20" w:line="400" w:lineRule="auto"/>
        <w:rPr>
          <w:rFonts w:hint="eastAsia" w:ascii="宋体" w:hAnsi="宋体" w:cs="宋体"/>
          <w:szCs w:val="16"/>
        </w:rPr>
      </w:pPr>
      <w:r>
        <w:rPr>
          <w:rFonts w:hint="eastAsia" w:ascii="宋体" w:hAnsi="宋体" w:cs="宋体"/>
          <w:szCs w:val="16"/>
        </w:rPr>
        <w:t>为保证对比实验公平、统一，所有实验在相同超参数设置下进行。</w:t>
      </w:r>
    </w:p>
    <w:p w14:paraId="5253B7DE">
      <w:pPr>
        <w:numPr>
          <w:ilvl w:val="0"/>
          <w:numId w:val="4"/>
        </w:numPr>
        <w:spacing w:before="20" w:after="20" w:line="400" w:lineRule="auto"/>
        <w:ind w:left="0" w:firstLine="480"/>
        <w:rPr>
          <w:rFonts w:hint="eastAsia" w:ascii="宋体" w:hAnsi="宋体" w:cs="宋体"/>
          <w:szCs w:val="16"/>
        </w:rPr>
      </w:pPr>
      <w:r>
        <w:rPr>
          <w:rFonts w:hint="eastAsia" w:ascii="宋体" w:hAnsi="宋体" w:cs="宋体"/>
          <w:szCs w:val="16"/>
        </w:rPr>
        <w:t>优化器：Adam 自适应优化器</w:t>
      </w:r>
    </w:p>
    <w:p w14:paraId="70C1A8FF">
      <w:pPr>
        <w:numPr>
          <w:ilvl w:val="0"/>
          <w:numId w:val="4"/>
        </w:numPr>
        <w:spacing w:before="20" w:after="20" w:line="400" w:lineRule="auto"/>
        <w:ind w:left="0" w:firstLine="480"/>
        <w:rPr>
          <w:rFonts w:hint="eastAsia" w:ascii="宋体" w:hAnsi="宋体" w:cs="宋体"/>
          <w:szCs w:val="16"/>
        </w:rPr>
      </w:pPr>
      <w:r>
        <w:rPr>
          <w:rFonts w:hint="eastAsia" w:ascii="宋体" w:hAnsi="宋体" w:cs="宋体"/>
          <w:szCs w:val="16"/>
        </w:rPr>
        <w:t>学习率：初始学习率设置为 1×10−4，采用学习率衰减策略</w:t>
      </w:r>
    </w:p>
    <w:p w14:paraId="507D2750">
      <w:pPr>
        <w:numPr>
          <w:ilvl w:val="0"/>
          <w:numId w:val="4"/>
        </w:numPr>
        <w:spacing w:before="20" w:after="20" w:line="400" w:lineRule="auto"/>
        <w:ind w:left="0" w:firstLine="480"/>
        <w:rPr>
          <w:rFonts w:hint="eastAsia" w:ascii="宋体" w:hAnsi="宋体" w:cs="宋体"/>
          <w:szCs w:val="16"/>
        </w:rPr>
      </w:pPr>
      <w:r>
        <w:rPr>
          <w:rFonts w:hint="eastAsia" w:ascii="宋体" w:hAnsi="宋体" w:cs="宋体"/>
          <w:szCs w:val="16"/>
        </w:rPr>
        <w:t>批次大小：根据数据尺寸与显存占用合理设置</w:t>
      </w:r>
    </w:p>
    <w:p w14:paraId="6C59F875">
      <w:pPr>
        <w:numPr>
          <w:ilvl w:val="0"/>
          <w:numId w:val="4"/>
        </w:numPr>
        <w:spacing w:before="20" w:after="20" w:line="400" w:lineRule="auto"/>
        <w:ind w:left="0" w:firstLine="480"/>
        <w:rPr>
          <w:rFonts w:hint="eastAsia" w:ascii="宋体" w:hAnsi="宋体" w:cs="宋体"/>
          <w:szCs w:val="16"/>
        </w:rPr>
      </w:pPr>
      <w:r>
        <w:rPr>
          <w:rFonts w:hint="eastAsia" w:ascii="宋体" w:hAnsi="宋体" w:cs="宋体"/>
          <w:szCs w:val="16"/>
        </w:rPr>
        <w:t>迭代轮数：设置合理最大训练轮数，并使用早停策略防止过拟合</w:t>
      </w:r>
    </w:p>
    <w:p w14:paraId="529D9CE2">
      <w:pPr>
        <w:numPr>
          <w:ilvl w:val="0"/>
          <w:numId w:val="4"/>
        </w:numPr>
        <w:spacing w:before="20" w:after="20" w:line="400" w:lineRule="auto"/>
        <w:ind w:left="0" w:firstLine="480"/>
        <w:rPr>
          <w:rFonts w:hint="eastAsia" w:ascii="宋体" w:hAnsi="宋体" w:cs="宋体"/>
          <w:szCs w:val="16"/>
        </w:rPr>
      </w:pPr>
      <w:r>
        <w:rPr>
          <w:rFonts w:hint="eastAsia" w:ascii="宋体" w:hAnsi="宋体" w:cs="宋体"/>
          <w:szCs w:val="16"/>
        </w:rPr>
        <w:t>损失函数：采用多损失加权组合，包括正弦图一致性损失、均方误差损失、结构相似性损失</w:t>
      </w:r>
    </w:p>
    <w:p w14:paraId="03987806">
      <w:pPr>
        <w:numPr>
          <w:ilvl w:val="0"/>
          <w:numId w:val="0"/>
        </w:numPr>
        <w:spacing w:before="20" w:after="20" w:line="400" w:lineRule="auto"/>
        <w:ind w:leftChars="200" w:firstLine="240" w:firstLineChars="100"/>
      </w:pPr>
      <w:r>
        <w:rPr>
          <w:rFonts w:hint="eastAsia" w:ascii="宋体" w:hAnsi="宋体" w:cs="宋体"/>
          <w:szCs w:val="16"/>
        </w:rPr>
        <w:t>在自监督预训练阶段，利用无标注投影数据完成特征学习；在微调阶段，引入少量标注数据进行网络优化，使模型在噪声抑制与细节保留之间达到最优平衡。</w:t>
      </w:r>
    </w:p>
    <w:p w14:paraId="0B414391">
      <w:pPr>
        <w:widowControl/>
        <w:jc w:val="left"/>
        <w:rPr>
          <w:rFonts w:hint="eastAsia" w:ascii="宋体" w:hAnsi="宋体" w:cs="宋体"/>
          <w:color w:val="000000"/>
          <w:szCs w:val="24"/>
        </w:rPr>
      </w:pPr>
      <w:r>
        <w:rPr>
          <w:rFonts w:hint="eastAsia" w:ascii="宋体" w:hAnsi="宋体" w:cs="宋体"/>
          <w:color w:val="000000"/>
          <w:kern w:val="0"/>
          <w:szCs w:val="24"/>
          <w:lang w:bidi="ar"/>
        </w:rPr>
        <w:t>在正式训练开始前，统一完成网络训练超参数设定，保障所有对比实验训练条件完全一致。优化器选用自适应梯度优化算法，设置合理初始学习率，并采用学习率阶梯衰减策略，训练前期快速收敛特征，训练后期降低学习率精细微调网络权重；设置统一批量训练样本数量与模型最大迭代训练轮数。</w:t>
      </w:r>
    </w:p>
    <w:p w14:paraId="61C9CCCB">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训练过程中引入早停机制，当验证集指标连续多轮不再提升时自动终止训练，防止模型过度拟合训练数据。在自监督预训练阶段，依托数据增强构建正负样本对，以对比损失完成无监督特征学习；跨域微调阶段融合正弦图一致性损失、均方误差损失、结构相似性损失进行联合权重更新，通过调整各项损失函数权重比例，平衡模型噪声抑制能力与解剖细节保留能力，让网络逐步适配低剂量 CT 投影域去噪专属任务。</w:t>
      </w:r>
    </w:p>
    <w:p w14:paraId="15C26DA7">
      <w:pPr>
        <w:pStyle w:val="3"/>
        <w:rPr>
          <w:lang w:val="en-US"/>
        </w:rPr>
      </w:pPr>
      <w:bookmarkStart w:id="542" w:name="_Toc4909"/>
      <w:bookmarkStart w:id="543" w:name="_Toc1074"/>
      <w:bookmarkStart w:id="544" w:name="_Toc8628"/>
      <w:bookmarkStart w:id="545" w:name="_Toc13158"/>
      <w:bookmarkStart w:id="546" w:name="_Toc18204"/>
      <w:bookmarkStart w:id="547" w:name="_Toc25776"/>
      <w:bookmarkStart w:id="548" w:name="_Toc23705"/>
      <w:bookmarkStart w:id="549" w:name="_Toc1718"/>
      <w:bookmarkStart w:id="550" w:name="_Toc28003"/>
      <w:bookmarkStart w:id="551" w:name="_Toc5152"/>
      <w:bookmarkStart w:id="552" w:name="_Toc19760"/>
      <w:bookmarkStart w:id="553" w:name="_Toc22276"/>
      <w:bookmarkStart w:id="554" w:name="_Toc26333"/>
      <w:r>
        <w:rPr>
          <w:rFonts w:hint="eastAsia"/>
          <w:lang w:val="en-US"/>
        </w:rPr>
        <w:t>5.4</w:t>
      </w:r>
      <w:r>
        <w:t>模型训练与实验流程</w:t>
      </w:r>
      <w:bookmarkEnd w:id="542"/>
      <w:bookmarkEnd w:id="543"/>
      <w:bookmarkEnd w:id="544"/>
      <w:bookmarkEnd w:id="545"/>
      <w:bookmarkEnd w:id="546"/>
      <w:bookmarkEnd w:id="547"/>
      <w:bookmarkEnd w:id="548"/>
      <w:bookmarkEnd w:id="549"/>
      <w:bookmarkEnd w:id="550"/>
      <w:bookmarkEnd w:id="551"/>
      <w:bookmarkEnd w:id="552"/>
      <w:bookmarkEnd w:id="553"/>
      <w:bookmarkEnd w:id="554"/>
    </w:p>
    <w:p w14:paraId="5EF55457">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为验证本文所提基于自监督学习的低剂量 CT 投影域去噪与高质量重建算法的有效性，设计一套完整的仿真实验流程。实验依托 Python 语言与 PyTorch 深度学习框架开展，通过构建模拟低剂量 CT 数据、实现多种重建算法对比、量化指标评价与可视化分析，完成模型性能的综合验证。</w:t>
      </w:r>
    </w:p>
    <w:p w14:paraId="04B1820C">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首先进行模拟实验数据生成。采用医学影像领域通用的 Shepp-Logan 标准体模作为仿真对象，生成尺寸为 256×256 的标准 CT 图像。在 Radon 变换基础上，设置稀疏投影视角并加入高斯噪声，模拟低剂量 CT 扫描下的含噪投影正弦图数据，同时生成对应观测角度数据与标准参考图像，为后续重建与评价提供统一数据集。</w:t>
      </w:r>
    </w:p>
    <w:p w14:paraId="28D6C42D">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其次开展多算法重建实现与对比。加载生成的含噪投影数据与角度信息，分别采用 SART 迭代重建算法与 Proj2Proj 投影域重建方法进行 CT 图像重建。其中 SART 作为经典迭代重建方法，Proj2Proj 作为面向投影域优化的重建方案，二者形成有效对照，能够直观体现不同算法在噪声抑制与细节保持方面的差异。</w:t>
      </w:r>
    </w:p>
    <w:p w14:paraId="5230C691">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随后进行重建质量量化评价。以峰值信噪比（PSNR）和结构相似性（SSIM）作为核心客观评价指标，分别计算各算法重建结果与标准参考图像之间的误差与相似度，数值结果直接反映噪声去除效果、结构保真能力与算法优劣。</w:t>
      </w:r>
    </w:p>
    <w:p w14:paraId="343E88CF">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最后完成结果可视化与输出。将参考体模、SART 重建结果、Proj2Proj 重建结果在同一画布中对比展示，直观呈现不同方法在伪影抑制、边缘保持、灰度还原等方面的视觉差异，并将指标数值标注于对应图像区域，同时保存实验图像用于后续对比分析。</w:t>
      </w:r>
    </w:p>
    <w:p w14:paraId="5E1348C3">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整套实验流程完整覆盖数据生成、投影域处理、图像重建、指标计算与可视化输出，可复现性强、变量控制严格，能够稳定、可靠地支撑本文算法的性能验证与对比分析。</w:t>
      </w:r>
    </w:p>
    <w:p w14:paraId="24DB3955">
      <w:pPr>
        <w:widowControl/>
        <w:spacing w:line="288" w:lineRule="atLeast"/>
        <w:jc w:val="left"/>
        <w:rPr>
          <w:rFonts w:ascii="Segoe UI Emoji" w:hAnsi="Segoe UI Emoji" w:eastAsia="Segoe UI Emoji" w:cs="Segoe UI Emoji"/>
          <w:color w:val="000000"/>
          <w:kern w:val="0"/>
          <w:szCs w:val="24"/>
          <w:lang w:bidi="ar"/>
        </w:rPr>
      </w:pPr>
      <w:r>
        <w:rPr>
          <w:rFonts w:hint="eastAsia" w:ascii="宋体" w:hAnsi="宋体" w:cs="宋体"/>
          <w:color w:val="000000"/>
          <w:kern w:val="0"/>
          <w:szCs w:val="24"/>
          <w:lang w:bidi="ar"/>
        </w:rPr>
        <w:t>论文实现核心的</w:t>
      </w:r>
      <w:r>
        <w:rPr>
          <w:rFonts w:ascii="Segoe UI Emoji" w:hAnsi="Segoe UI Emoji" w:eastAsia="Segoe UI Emoji" w:cs="Segoe UI Emoji"/>
          <w:color w:val="000000"/>
          <w:kern w:val="0"/>
          <w:szCs w:val="24"/>
          <w:lang w:bidi="ar"/>
        </w:rPr>
        <w:t>三段代码是低剂量 CT 投影域去噪与高质量重建的完整实验仿真流程，用于生成模拟数据</w:t>
      </w:r>
      <w:r>
        <w:rPr>
          <w:rFonts w:hint="eastAsia" w:ascii="Segoe UI Emoji" w:hAnsi="Segoe UI Emoji" w:cs="Segoe UI Emoji"/>
          <w:color w:val="000000"/>
          <w:kern w:val="0"/>
          <w:szCs w:val="24"/>
          <w:lang w:eastAsia="zh-CN" w:bidi="ar"/>
        </w:rPr>
        <w:t>，</w:t>
      </w:r>
      <w:r>
        <w:rPr>
          <w:rFonts w:ascii="Segoe UI Emoji" w:hAnsi="Segoe UI Emoji" w:eastAsia="Segoe UI Emoji" w:cs="Segoe UI Emoji"/>
          <w:color w:val="000000"/>
          <w:kern w:val="0"/>
          <w:szCs w:val="24"/>
          <w:lang w:bidi="ar"/>
        </w:rPr>
        <w:t>实现 CT重建</w:t>
      </w:r>
      <w:r>
        <w:rPr>
          <w:rFonts w:hint="eastAsia" w:ascii="Segoe UI Emoji" w:hAnsi="Segoe UI Emoji" w:cs="Segoe UI Emoji"/>
          <w:color w:val="000000"/>
          <w:kern w:val="0"/>
          <w:szCs w:val="24"/>
          <w:lang w:eastAsia="zh-CN" w:bidi="ar"/>
        </w:rPr>
        <w:t>，</w:t>
      </w:r>
      <w:r>
        <w:rPr>
          <w:rFonts w:ascii="Segoe UI Emoji" w:hAnsi="Segoe UI Emoji" w:eastAsia="Segoe UI Emoji" w:cs="Segoe UI Emoji"/>
          <w:color w:val="000000"/>
          <w:kern w:val="0"/>
          <w:szCs w:val="24"/>
          <w:lang w:bidi="ar"/>
        </w:rPr>
        <w:t>评估与可视化结果，是论文实验部分的核心代码支撑。</w:t>
      </w:r>
    </w:p>
    <w:p w14:paraId="09333937">
      <w:pPr>
        <w:widowControl/>
        <w:spacing w:line="288" w:lineRule="atLeast"/>
        <w:ind w:firstLine="0" w:firstLineChars="0"/>
        <w:jc w:val="left"/>
        <w:rPr>
          <w:rFonts w:ascii="Segoe UI Emoji" w:hAnsi="Segoe UI Emoji" w:eastAsia="Segoe UI Emoji" w:cs="Segoe UI Emoji"/>
          <w:color w:val="000000"/>
          <w:kern w:val="0"/>
          <w:szCs w:val="24"/>
          <w:lang w:bidi="ar"/>
        </w:rPr>
      </w:pPr>
    </w:p>
    <w:p w14:paraId="0D26A376">
      <w:pPr>
        <w:widowControl/>
        <w:spacing w:line="360" w:lineRule="auto"/>
        <w:ind w:firstLine="0" w:firstLineChars="0"/>
        <w:jc w:val="left"/>
        <w:rPr>
          <w:rFonts w:ascii="Segoe UI Emoji" w:hAnsi="Segoe UI Emoji" w:eastAsia="Segoe UI Emoji" w:cs="Segoe UI Emoji"/>
          <w:color w:val="000000"/>
          <w:kern w:val="0"/>
          <w:szCs w:val="24"/>
          <w:lang w:bidi="ar"/>
        </w:rPr>
      </w:pPr>
      <w:r>
        <w:rPr>
          <w:rFonts w:hint="eastAsia" w:ascii="Segoe UI Emoji" w:hAnsi="Segoe UI Emoji" w:eastAsia="Segoe UI Emoji" w:cs="Segoe UI Emoji"/>
          <w:color w:val="000000"/>
          <w:kern w:val="0"/>
          <w:szCs w:val="24"/>
          <w:lang w:bidi="ar"/>
        </w:rPr>
        <w:t>以下是核心代码以及其作用</w:t>
      </w:r>
    </w:p>
    <w:p w14:paraId="1E59AD5A">
      <w:pPr>
        <w:widowControl/>
        <w:spacing w:line="360" w:lineRule="auto"/>
        <w:jc w:val="left"/>
        <w:rPr>
          <w:rFonts w:hint="eastAsia" w:ascii="宋体" w:hAnsi="宋体" w:cs="宋体"/>
          <w:color w:val="1F2329"/>
          <w:szCs w:val="24"/>
        </w:rPr>
      </w:pPr>
      <w:r>
        <w:rPr>
          <w:rFonts w:hint="eastAsia" w:ascii="Symbol" w:hAnsi="Symbol" w:cs="Symbol"/>
        </w:rPr>
        <w:t>1.</w:t>
      </w:r>
      <w:r>
        <w:rPr>
          <w:rFonts w:hint="eastAsia" w:ascii="宋体" w:hAnsi="宋体" w:cs="宋体"/>
          <w:szCs w:val="24"/>
        </w:rPr>
        <w:t xml:space="preserve"> </w:t>
      </w:r>
      <w:r>
        <w:rPr>
          <w:rStyle w:val="34"/>
          <w:rFonts w:hint="eastAsia" w:ascii="宋体" w:hAnsi="宋体" w:cs="宋体"/>
          <w:color w:val="1F2329"/>
          <w:kern w:val="0"/>
          <w:szCs w:val="24"/>
          <w:lang w:bidi="ar"/>
        </w:rPr>
        <w:t>test_recon.py</w:t>
      </w:r>
    </w:p>
    <w:p w14:paraId="715C141C">
      <w:pPr>
        <w:widowControl/>
        <w:numPr>
          <w:ilvl w:val="0"/>
          <w:numId w:val="5"/>
        </w:numPr>
        <w:spacing w:line="360" w:lineRule="auto"/>
        <w:ind w:left="0" w:firstLine="480"/>
        <w:rPr>
          <w:rFonts w:hint="eastAsia" w:ascii="宋体" w:hAnsi="宋体" w:cs="宋体"/>
          <w:color w:val="1F2329"/>
          <w:szCs w:val="24"/>
        </w:rPr>
      </w:pPr>
      <w:r>
        <w:rPr>
          <w:rFonts w:hint="eastAsia" w:ascii="宋体" w:hAnsi="宋体" w:cs="宋体"/>
          <w:szCs w:val="24"/>
        </w:rPr>
        <w:t xml:space="preserve"> </w:t>
      </w:r>
      <w:r>
        <w:rPr>
          <w:rFonts w:hint="eastAsia" w:ascii="宋体" w:hAnsi="宋体" w:cs="宋体"/>
          <w:color w:val="1F2329"/>
          <w:szCs w:val="24"/>
        </w:rPr>
        <w:t>生成标准 Shepp-Logan 体模模拟 CT 图像</w:t>
      </w:r>
    </w:p>
    <w:p w14:paraId="747C5BC6">
      <w:pPr>
        <w:widowControl/>
        <w:numPr>
          <w:ilvl w:val="0"/>
          <w:numId w:val="5"/>
        </w:numPr>
        <w:spacing w:line="360" w:lineRule="auto"/>
        <w:ind w:left="0" w:firstLine="480"/>
        <w:rPr>
          <w:rFonts w:hint="eastAsia" w:ascii="宋体" w:hAnsi="宋体" w:cs="宋体"/>
          <w:color w:val="1F2329"/>
          <w:szCs w:val="24"/>
        </w:rPr>
      </w:pPr>
      <w:r>
        <w:rPr>
          <w:rFonts w:hint="eastAsia" w:ascii="宋体" w:hAnsi="宋体" w:cs="宋体"/>
          <w:color w:val="1F2329"/>
          <w:szCs w:val="24"/>
        </w:rPr>
        <w:t>生成</w:t>
      </w:r>
      <w:r>
        <w:rPr>
          <w:rStyle w:val="34"/>
          <w:rFonts w:hint="eastAsia" w:ascii="宋体" w:hAnsi="宋体" w:cs="宋体"/>
          <w:b w:val="0"/>
          <w:bCs w:val="0"/>
          <w:color w:val="1F2329"/>
          <w:szCs w:val="24"/>
        </w:rPr>
        <w:t>稀疏视角、带噪声</w:t>
      </w:r>
      <w:r>
        <w:rPr>
          <w:rFonts w:hint="eastAsia" w:ascii="宋体" w:hAnsi="宋体" w:cs="宋体"/>
          <w:color w:val="1F2329"/>
          <w:szCs w:val="24"/>
        </w:rPr>
        <w:t>的投影正弦图（模拟低剂量 CT）</w:t>
      </w:r>
    </w:p>
    <w:p w14:paraId="61D9A075">
      <w:pPr>
        <w:widowControl/>
        <w:numPr>
          <w:ilvl w:val="0"/>
          <w:numId w:val="5"/>
        </w:numPr>
        <w:spacing w:line="360" w:lineRule="auto"/>
        <w:ind w:left="0" w:firstLine="480"/>
        <w:rPr>
          <w:rFonts w:hint="eastAsia" w:ascii="宋体" w:hAnsi="宋体" w:cs="宋体"/>
          <w:color w:val="1F2329"/>
          <w:szCs w:val="24"/>
        </w:rPr>
      </w:pPr>
      <w:r>
        <w:rPr>
          <w:rFonts w:hint="eastAsia" w:ascii="宋体" w:hAnsi="宋体" w:cs="宋体"/>
          <w:color w:val="1F2329"/>
          <w:szCs w:val="24"/>
        </w:rPr>
        <w:t xml:space="preserve">保存为 </w:t>
      </w:r>
      <w:r>
        <w:rPr>
          <w:rStyle w:val="37"/>
          <w:rFonts w:hint="eastAsia" w:ascii="宋体" w:hAnsi="宋体" w:cs="宋体"/>
          <w:color w:val="1F2329"/>
          <w:sz w:val="24"/>
          <w:szCs w:val="24"/>
        </w:rPr>
        <w:t>.npy</w:t>
      </w:r>
      <w:r>
        <w:rPr>
          <w:rFonts w:hint="eastAsia" w:ascii="宋体" w:hAnsi="宋体" w:cs="宋体"/>
          <w:color w:val="1F2329"/>
          <w:szCs w:val="24"/>
        </w:rPr>
        <w:t xml:space="preserve"> 数据文件，供后续重建使用</w:t>
      </w:r>
    </w:p>
    <w:p w14:paraId="74ED8723">
      <w:pPr>
        <w:widowControl/>
        <w:spacing w:line="360" w:lineRule="auto"/>
        <w:ind w:firstLine="482"/>
        <w:jc w:val="left"/>
        <w:rPr>
          <w:rFonts w:hint="eastAsia" w:ascii="宋体" w:hAnsi="宋体" w:cs="宋体"/>
          <w:color w:val="1F2329"/>
          <w:szCs w:val="24"/>
        </w:rPr>
      </w:pPr>
      <w:r>
        <w:rPr>
          <w:rFonts w:hint="eastAsia" w:ascii="宋体" w:hAnsi="宋体" w:cs="宋体"/>
          <w:b/>
          <w:bCs/>
          <w:szCs w:val="24"/>
        </w:rPr>
        <w:t xml:space="preserve">2. </w:t>
      </w:r>
      <w:r>
        <w:rPr>
          <w:rStyle w:val="34"/>
          <w:rFonts w:hint="eastAsia" w:ascii="宋体" w:hAnsi="宋体" w:cs="宋体"/>
          <w:color w:val="1F2329"/>
          <w:kern w:val="0"/>
          <w:szCs w:val="24"/>
          <w:lang w:bidi="ar"/>
        </w:rPr>
        <w:t>run_recon.py</w:t>
      </w:r>
    </w:p>
    <w:p w14:paraId="5766335D">
      <w:pPr>
        <w:widowControl/>
        <w:tabs>
          <w:tab w:val="left" w:pos="683"/>
        </w:tabs>
        <w:spacing w:line="360" w:lineRule="auto"/>
        <w:ind w:left="480" w:leftChars="200" w:firstLine="0" w:firstLineChars="0"/>
        <w:rPr>
          <w:rFonts w:hint="eastAsia" w:ascii="宋体" w:hAnsi="宋体" w:cs="宋体"/>
          <w:color w:val="1F2329"/>
          <w:szCs w:val="24"/>
        </w:rPr>
      </w:pPr>
      <w:r>
        <w:rPr>
          <w:rFonts w:hint="eastAsia" w:ascii="宋体" w:hAnsi="宋体" w:cs="宋体"/>
          <w:szCs w:val="24"/>
        </w:rPr>
        <w:t xml:space="preserve"> </w:t>
      </w:r>
      <w:r>
        <w:rPr>
          <w:rFonts w:hint="eastAsia" w:ascii="宋体" w:hAnsi="宋体" w:cs="宋体"/>
          <w:color w:val="1F2329"/>
          <w:szCs w:val="24"/>
        </w:rPr>
        <w:t>加载模拟 CT 投影数据</w:t>
      </w:r>
    </w:p>
    <w:p w14:paraId="06CD5520">
      <w:pPr>
        <w:widowControl/>
        <w:spacing w:line="360" w:lineRule="auto"/>
        <w:ind w:firstLine="720" w:firstLineChars="300"/>
        <w:rPr>
          <w:rFonts w:hint="eastAsia" w:ascii="宋体" w:hAnsi="宋体" w:cs="宋体"/>
          <w:color w:val="1F2329"/>
          <w:szCs w:val="24"/>
        </w:rPr>
      </w:pPr>
      <w:r>
        <w:rPr>
          <w:rFonts w:hint="eastAsia" w:ascii="宋体" w:hAnsi="宋体" w:cs="宋体"/>
          <w:color w:val="1F2329"/>
          <w:szCs w:val="24"/>
        </w:rPr>
        <w:t xml:space="preserve"> 用两种重建方法：</w:t>
      </w:r>
    </w:p>
    <w:p w14:paraId="0E47540A">
      <w:pPr>
        <w:widowControl/>
        <w:spacing w:line="360" w:lineRule="auto"/>
        <w:ind w:left="480" w:leftChars="200" w:firstLine="240" w:firstLineChars="100"/>
        <w:rPr>
          <w:rFonts w:hint="eastAsia" w:ascii="宋体" w:hAnsi="宋体" w:cs="宋体"/>
          <w:color w:val="1F2329"/>
          <w:szCs w:val="24"/>
        </w:rPr>
      </w:pPr>
      <w:r>
        <w:rPr>
          <w:rFonts w:hint="eastAsia" w:ascii="宋体" w:hAnsi="宋体" w:cs="宋体"/>
          <w:color w:val="1F2329"/>
          <w:szCs w:val="24"/>
        </w:rPr>
        <w:t>SART 迭代重建</w:t>
      </w:r>
    </w:p>
    <w:p w14:paraId="616FCBF0">
      <w:pPr>
        <w:widowControl/>
        <w:spacing w:line="360" w:lineRule="auto"/>
        <w:ind w:left="480" w:leftChars="200" w:firstLine="240" w:firstLineChars="100"/>
        <w:rPr>
          <w:rFonts w:hint="eastAsia" w:ascii="宋体" w:hAnsi="宋体" w:cs="宋体"/>
          <w:color w:val="1F2329"/>
          <w:szCs w:val="24"/>
        </w:rPr>
      </w:pPr>
      <w:r>
        <w:rPr>
          <w:rFonts w:hint="eastAsia" w:ascii="宋体" w:hAnsi="宋体" w:cs="宋体"/>
          <w:color w:val="1F2329"/>
          <w:szCs w:val="24"/>
        </w:rPr>
        <w:t>Proj2Proj 投影域重建</w:t>
      </w:r>
    </w:p>
    <w:p w14:paraId="18EF9AE5">
      <w:pPr>
        <w:widowControl/>
        <w:spacing w:line="360" w:lineRule="auto"/>
        <w:ind w:left="480" w:leftChars="200" w:firstLine="240" w:firstLineChars="100"/>
        <w:rPr>
          <w:rFonts w:hint="eastAsia" w:ascii="宋体" w:hAnsi="宋体" w:cs="宋体"/>
          <w:color w:val="1F2329"/>
          <w:szCs w:val="24"/>
        </w:rPr>
      </w:pPr>
      <w:r>
        <w:rPr>
          <w:rFonts w:hint="eastAsia" w:ascii="宋体" w:hAnsi="宋体" w:cs="宋体"/>
          <w:color w:val="1F2329"/>
          <w:szCs w:val="24"/>
        </w:rPr>
        <w:t xml:space="preserve">计算 </w:t>
      </w:r>
      <w:r>
        <w:rPr>
          <w:rStyle w:val="34"/>
          <w:rFonts w:hint="eastAsia" w:ascii="宋体" w:hAnsi="宋体" w:cs="宋体"/>
          <w:b w:val="0"/>
          <w:bCs w:val="0"/>
          <w:color w:val="1F2329"/>
          <w:szCs w:val="24"/>
        </w:rPr>
        <w:t>PSNR、SSIM</w:t>
      </w:r>
      <w:r>
        <w:rPr>
          <w:rFonts w:hint="eastAsia" w:ascii="宋体" w:hAnsi="宋体" w:cs="宋体"/>
          <w:color w:val="1F2329"/>
          <w:szCs w:val="24"/>
        </w:rPr>
        <w:t xml:space="preserve"> 客观评价指标</w:t>
      </w:r>
    </w:p>
    <w:p w14:paraId="3B15FB77">
      <w:pPr>
        <w:widowControl/>
        <w:spacing w:line="360" w:lineRule="auto"/>
        <w:ind w:left="480" w:leftChars="200" w:firstLine="240" w:firstLineChars="100"/>
        <w:rPr>
          <w:rFonts w:hint="eastAsia" w:ascii="宋体" w:hAnsi="宋体" w:cs="宋体"/>
          <w:color w:val="1F2329"/>
          <w:szCs w:val="24"/>
        </w:rPr>
      </w:pPr>
      <w:r>
        <w:rPr>
          <w:rFonts w:hint="eastAsia" w:ascii="宋体" w:hAnsi="宋体" w:cs="宋体"/>
          <w:color w:val="1F2329"/>
          <w:szCs w:val="24"/>
        </w:rPr>
        <w:t>可视化对比并保存结果图</w:t>
      </w:r>
    </w:p>
    <w:p w14:paraId="555CC784">
      <w:pPr>
        <w:widowControl/>
        <w:spacing w:line="360" w:lineRule="auto"/>
        <w:ind w:firstLine="482"/>
        <w:jc w:val="left"/>
        <w:rPr>
          <w:rFonts w:hint="eastAsia" w:ascii="宋体" w:hAnsi="宋体" w:cs="宋体"/>
          <w:color w:val="1F2329"/>
          <w:szCs w:val="24"/>
        </w:rPr>
      </w:pPr>
      <w:r>
        <w:rPr>
          <w:rFonts w:hint="eastAsia" w:ascii="宋体" w:hAnsi="宋体" w:cs="宋体"/>
          <w:b/>
          <w:bCs/>
          <w:szCs w:val="24"/>
        </w:rPr>
        <w:t>3.</w:t>
      </w:r>
      <w:r>
        <w:rPr>
          <w:rFonts w:hint="eastAsia" w:ascii="宋体" w:hAnsi="宋体" w:cs="宋体"/>
          <w:szCs w:val="24"/>
        </w:rPr>
        <w:t xml:space="preserve">  </w:t>
      </w:r>
      <w:r>
        <w:rPr>
          <w:rStyle w:val="34"/>
          <w:rFonts w:hint="eastAsia" w:ascii="宋体" w:hAnsi="宋体" w:cs="宋体"/>
          <w:color w:val="1F2329"/>
          <w:kern w:val="0"/>
          <w:szCs w:val="24"/>
          <w:lang w:bidi="ar"/>
        </w:rPr>
        <w:t>setup.py</w:t>
      </w:r>
    </w:p>
    <w:p w14:paraId="635EF123">
      <w:pPr>
        <w:widowControl/>
        <w:spacing w:line="360" w:lineRule="auto"/>
        <w:ind w:firstLine="720" w:firstLineChars="300"/>
        <w:rPr>
          <w:rFonts w:hint="eastAsia" w:ascii="宋体" w:hAnsi="宋体" w:cs="宋体"/>
          <w:color w:val="1F2329"/>
          <w:szCs w:val="24"/>
        </w:rPr>
      </w:pPr>
      <w:r>
        <w:rPr>
          <w:rFonts w:hint="eastAsia" w:ascii="宋体" w:hAnsi="宋体" w:cs="宋体"/>
          <w:color w:val="1F2329"/>
          <w:szCs w:val="24"/>
        </w:rPr>
        <w:t xml:space="preserve">用于打包自定义 CT 重建工具包 </w:t>
      </w:r>
      <w:r>
        <w:rPr>
          <w:rStyle w:val="37"/>
          <w:rFonts w:hint="eastAsia" w:ascii="宋体" w:hAnsi="宋体" w:cs="宋体"/>
          <w:color w:val="1F2329"/>
          <w:sz w:val="24"/>
          <w:szCs w:val="24"/>
        </w:rPr>
        <w:t>sparse_ct</w:t>
      </w:r>
    </w:p>
    <w:p w14:paraId="0E9754EC">
      <w:pPr>
        <w:widowControl/>
        <w:spacing w:line="360" w:lineRule="auto"/>
        <w:ind w:left="480" w:leftChars="200" w:firstLine="240" w:firstLineChars="100"/>
        <w:rPr>
          <w:rFonts w:hint="eastAsia" w:ascii="宋体" w:hAnsi="宋体" w:cs="宋体"/>
          <w:color w:val="000000"/>
          <w:kern w:val="0"/>
          <w:szCs w:val="24"/>
          <w:lang w:bidi="ar"/>
        </w:rPr>
      </w:pPr>
      <w:r>
        <w:rPr>
          <w:rFonts w:hint="eastAsia" w:ascii="宋体" w:hAnsi="宋体" w:cs="宋体"/>
          <w:color w:val="1F2329"/>
          <w:szCs w:val="24"/>
        </w:rPr>
        <w:t>让 Python 能调用自定义重建函数</w:t>
      </w:r>
    </w:p>
    <w:p w14:paraId="5EA19F53">
      <w:pPr>
        <w:widowControl/>
        <w:spacing w:line="360" w:lineRule="auto"/>
        <w:ind w:firstLine="0" w:firstLineChars="0"/>
        <w:jc w:val="left"/>
        <w:rPr>
          <w:rFonts w:hint="eastAsia" w:ascii="宋体" w:hAnsi="宋体" w:cs="宋体"/>
          <w:color w:val="000000"/>
          <w:kern w:val="0"/>
          <w:szCs w:val="24"/>
          <w:lang w:val="en-US" w:eastAsia="zh-CN" w:bidi="ar"/>
        </w:rPr>
      </w:pPr>
      <w:r>
        <w:rPr>
          <w:rFonts w:hint="eastAsia" w:ascii="宋体" w:hAnsi="宋体" w:cs="宋体"/>
          <w:color w:val="000000"/>
          <w:kern w:val="0"/>
          <w:szCs w:val="24"/>
          <w:lang w:val="en-US" w:eastAsia="zh-CN" w:bidi="ar"/>
        </w:rPr>
        <w:t>核心代码实现说明：</w:t>
      </w:r>
    </w:p>
    <w:p w14:paraId="7D50F807">
      <w:pPr>
        <w:bidi w:val="0"/>
        <w:rPr>
          <w:rFonts w:hint="default" w:ascii="Times New Roman" w:hAnsi="Times New Roman" w:cs="Times New Roman"/>
          <w:b/>
          <w:bCs/>
          <w:lang w:val="en-US" w:eastAsia="zh-CN"/>
        </w:rPr>
      </w:pPr>
      <w:r>
        <w:rPr>
          <w:rFonts w:hint="default" w:ascii="Times New Roman" w:hAnsi="Times New Roman" w:cs="Times New Roman"/>
          <w:b/>
          <w:bCs/>
        </w:rPr>
        <w:t>1. test_recon.py</w:t>
      </w:r>
      <w:r>
        <w:rPr>
          <w:rFonts w:hint="default" w:ascii="Times New Roman" w:hAnsi="Times New Roman" w:cs="Times New Roman"/>
          <w:b/>
          <w:bCs/>
          <w:lang w:eastAsia="zh-CN"/>
        </w:rPr>
        <w:t>：</w:t>
      </w:r>
    </w:p>
    <w:p w14:paraId="5C8D56F8">
      <w:pPr>
        <w:bidi w:val="0"/>
        <w:rPr>
          <w:rFonts w:hint="default"/>
          <w:lang w:val="en-US" w:eastAsia="zh-CN"/>
        </w:rPr>
      </w:pPr>
      <w:r>
        <w:rPr>
          <w:rFonts w:hint="default"/>
          <w:lang w:val="en-US" w:eastAsia="zh-CN"/>
        </w:rPr>
        <w:t>import numpy as np</w:t>
      </w:r>
    </w:p>
    <w:p w14:paraId="36B296E4">
      <w:pPr>
        <w:bidi w:val="0"/>
        <w:rPr>
          <w:rFonts w:hint="default"/>
          <w:lang w:val="en-US" w:eastAsia="zh-CN"/>
        </w:rPr>
      </w:pPr>
      <w:r>
        <w:rPr>
          <w:rFonts w:hint="default"/>
          <w:lang w:val="en-US" w:eastAsia="zh-CN"/>
        </w:rPr>
        <w:t>from skimage.data import shepp_logan_phantom</w:t>
      </w:r>
    </w:p>
    <w:p w14:paraId="7ACBAA8D">
      <w:pPr>
        <w:bidi w:val="0"/>
        <w:rPr>
          <w:rFonts w:hint="default"/>
          <w:lang w:val="en-US" w:eastAsia="zh-CN"/>
        </w:rPr>
      </w:pPr>
      <w:r>
        <w:rPr>
          <w:rFonts w:hint="default"/>
          <w:lang w:val="en-US" w:eastAsia="zh-CN"/>
        </w:rPr>
        <w:t>from skimage.transform import radon</w:t>
      </w:r>
    </w:p>
    <w:p w14:paraId="4454CE9A">
      <w:pPr>
        <w:bidi w:val="0"/>
        <w:rPr>
          <w:rFonts w:hint="default"/>
          <w:lang w:val="en-US" w:eastAsia="zh-CN"/>
        </w:rPr>
      </w:pPr>
      <w:r>
        <w:rPr>
          <w:rFonts w:hint="default"/>
          <w:lang w:val="en-US" w:eastAsia="zh-CN"/>
        </w:rPr>
        <w:t># 生成标准体模</w:t>
      </w:r>
    </w:p>
    <w:p w14:paraId="0D6702CF">
      <w:pPr>
        <w:bidi w:val="0"/>
        <w:rPr>
          <w:rFonts w:hint="default"/>
          <w:lang w:val="en-US" w:eastAsia="zh-CN"/>
        </w:rPr>
      </w:pPr>
      <w:r>
        <w:rPr>
          <w:rFonts w:hint="default"/>
          <w:lang w:val="en-US" w:eastAsia="zh-CN"/>
        </w:rPr>
        <w:t>phantom = shepp_logan_phantom()</w:t>
      </w:r>
    </w:p>
    <w:p w14:paraId="20B4ABD4">
      <w:pPr>
        <w:bidi w:val="0"/>
        <w:rPr>
          <w:rFonts w:hint="default"/>
          <w:lang w:val="en-US" w:eastAsia="zh-CN"/>
        </w:rPr>
      </w:pPr>
      <w:r>
        <w:rPr>
          <w:rFonts w:hint="default"/>
          <w:lang w:val="en-US" w:eastAsia="zh-CN"/>
        </w:rPr>
        <w:t>phantom = phantom[:256, :256]</w:t>
      </w:r>
    </w:p>
    <w:p w14:paraId="40D78289">
      <w:pPr>
        <w:bidi w:val="0"/>
        <w:rPr>
          <w:rFonts w:hint="default"/>
          <w:lang w:val="en-US" w:eastAsia="zh-CN"/>
        </w:rPr>
      </w:pPr>
      <w:r>
        <w:rPr>
          <w:rFonts w:hint="default"/>
          <w:lang w:val="en-US" w:eastAsia="zh-CN"/>
        </w:rPr>
        <w:t># 生成稀疏视角投影（模拟低剂量）</w:t>
      </w:r>
    </w:p>
    <w:p w14:paraId="52A21F3C">
      <w:pPr>
        <w:bidi w:val="0"/>
        <w:rPr>
          <w:rFonts w:hint="default"/>
          <w:lang w:val="en-US" w:eastAsia="zh-CN"/>
        </w:rPr>
      </w:pPr>
      <w:r>
        <w:rPr>
          <w:rFonts w:hint="default"/>
          <w:lang w:val="en-US" w:eastAsia="zh-CN"/>
        </w:rPr>
        <w:t>angles = np.linspace(0, 180, 30, endpoint=False)</w:t>
      </w:r>
    </w:p>
    <w:p w14:paraId="7F6C2B6F">
      <w:pPr>
        <w:bidi w:val="0"/>
        <w:rPr>
          <w:rFonts w:hint="default"/>
          <w:lang w:val="en-US" w:eastAsia="zh-CN"/>
        </w:rPr>
      </w:pPr>
      <w:r>
        <w:rPr>
          <w:rFonts w:hint="default"/>
          <w:lang w:val="en-US" w:eastAsia="zh-CN"/>
        </w:rPr>
        <w:t>sinogram = radon(phantom, theta=angles, circle=True)</w:t>
      </w:r>
    </w:p>
    <w:p w14:paraId="6BE7A03F">
      <w:pPr>
        <w:bidi w:val="0"/>
        <w:rPr>
          <w:rFonts w:hint="default"/>
          <w:lang w:val="en-US" w:eastAsia="zh-CN"/>
        </w:rPr>
      </w:pPr>
      <w:r>
        <w:rPr>
          <w:rFonts w:hint="default"/>
          <w:lang w:val="en-US" w:eastAsia="zh-CN"/>
        </w:rPr>
        <w:t># 添加泊松-高斯混合噪声（简化：高斯噪声）</w:t>
      </w:r>
    </w:p>
    <w:p w14:paraId="252AE49B">
      <w:pPr>
        <w:bidi w:val="0"/>
        <w:rPr>
          <w:rFonts w:hint="default"/>
        </w:rPr>
      </w:pPr>
      <w:r>
        <w:rPr>
          <w:rFonts w:hint="default"/>
          <w:lang w:val="en-US" w:eastAsia="zh-CN"/>
        </w:rPr>
        <w:t>sinogram += np.random.normal(0, 0.05, sinogram.shape)</w:t>
      </w:r>
      <w:bookmarkStart w:id="555" w:name="_Toc28879"/>
      <w:bookmarkStart w:id="556" w:name="_Toc25078"/>
      <w:bookmarkStart w:id="557" w:name="_Toc18597"/>
      <w:bookmarkStart w:id="558" w:name="_Toc31404"/>
      <w:bookmarkStart w:id="559" w:name="_Toc19843"/>
    </w:p>
    <w:p w14:paraId="16DEFDDB">
      <w:pPr>
        <w:numPr>
          <w:ilvl w:val="0"/>
          <w:numId w:val="0"/>
        </w:numPr>
        <w:tabs>
          <w:tab w:val="left" w:pos="369"/>
        </w:tabs>
        <w:bidi w:val="0"/>
        <w:ind w:firstLine="482" w:firstLineChars="200"/>
        <w:rPr>
          <w:rFonts w:hint="default" w:ascii="Times New Roman" w:hAnsi="Times New Roman" w:cs="Times New Roman"/>
          <w:b/>
          <w:bCs/>
          <w:lang w:eastAsia="zh-CN"/>
        </w:rPr>
      </w:pPr>
      <w:r>
        <w:rPr>
          <w:rFonts w:hint="eastAsia" w:ascii="Times New Roman" w:hAnsi="Times New Roman" w:cs="Times New Roman"/>
          <w:b/>
          <w:bCs/>
          <w:lang w:val="en-US" w:eastAsia="zh-CN"/>
        </w:rPr>
        <w:t>2.</w:t>
      </w:r>
      <w:r>
        <w:rPr>
          <w:rFonts w:hint="default" w:ascii="Times New Roman" w:hAnsi="Times New Roman" w:cs="Times New Roman"/>
          <w:b/>
          <w:bCs/>
        </w:rPr>
        <w:t>run_recon.py</w:t>
      </w:r>
      <w:r>
        <w:rPr>
          <w:rFonts w:hint="default" w:ascii="Times New Roman" w:hAnsi="Times New Roman" w:cs="Times New Roman"/>
          <w:b/>
          <w:bCs/>
          <w:lang w:eastAsia="zh-CN"/>
        </w:rPr>
        <w:t>：</w:t>
      </w:r>
    </w:p>
    <w:p w14:paraId="4EF89F56">
      <w:pPr>
        <w:bidi w:val="0"/>
        <w:rPr>
          <w:rFonts w:hint="default"/>
          <w:lang w:eastAsia="zh-CN"/>
        </w:rPr>
      </w:pPr>
      <w:r>
        <w:rPr>
          <w:rFonts w:hint="default"/>
          <w:lang w:eastAsia="zh-CN"/>
        </w:rPr>
        <w:t>import numpy as np</w:t>
      </w:r>
    </w:p>
    <w:p w14:paraId="2786DFFE">
      <w:pPr>
        <w:bidi w:val="0"/>
        <w:rPr>
          <w:rFonts w:hint="default"/>
          <w:lang w:eastAsia="zh-CN"/>
        </w:rPr>
      </w:pPr>
      <w:r>
        <w:rPr>
          <w:rFonts w:hint="default"/>
          <w:lang w:eastAsia="zh-CN"/>
        </w:rPr>
        <w:t>import matplotlib.pyplot as plt</w:t>
      </w:r>
    </w:p>
    <w:p w14:paraId="4D40902E">
      <w:pPr>
        <w:bidi w:val="0"/>
        <w:rPr>
          <w:rFonts w:hint="default"/>
          <w:lang w:eastAsia="zh-CN"/>
        </w:rPr>
      </w:pPr>
      <w:r>
        <w:rPr>
          <w:rFonts w:hint="default"/>
          <w:lang w:eastAsia="zh-CN"/>
        </w:rPr>
        <w:t>import sparse_ct.reconstruction as recon</w:t>
      </w:r>
    </w:p>
    <w:p w14:paraId="256E2523">
      <w:pPr>
        <w:bidi w:val="0"/>
        <w:rPr>
          <w:rFonts w:hint="default"/>
          <w:lang w:eastAsia="zh-CN"/>
        </w:rPr>
      </w:pPr>
      <w:r>
        <w:rPr>
          <w:rFonts w:hint="default"/>
          <w:lang w:eastAsia="zh-CN"/>
        </w:rPr>
        <w:t># 加载数据</w:t>
      </w:r>
    </w:p>
    <w:p w14:paraId="0A27700B">
      <w:pPr>
        <w:bidi w:val="0"/>
        <w:rPr>
          <w:rFonts w:hint="default"/>
          <w:lang w:eastAsia="zh-CN"/>
        </w:rPr>
      </w:pPr>
      <w:r>
        <w:rPr>
          <w:rFonts w:hint="default"/>
          <w:lang w:eastAsia="zh-CN"/>
        </w:rPr>
        <w:t>sinogram = np.load("sim_sinogram.npy")</w:t>
      </w:r>
    </w:p>
    <w:p w14:paraId="2B955830">
      <w:pPr>
        <w:bidi w:val="0"/>
        <w:rPr>
          <w:rFonts w:hint="default"/>
          <w:lang w:eastAsia="zh-CN"/>
        </w:rPr>
      </w:pPr>
      <w:r>
        <w:rPr>
          <w:rFonts w:hint="default"/>
          <w:lang w:eastAsia="zh-CN"/>
        </w:rPr>
        <w:t>angles = np.load("sim_angles.npy")</w:t>
      </w:r>
    </w:p>
    <w:p w14:paraId="60D38A88">
      <w:pPr>
        <w:bidi w:val="0"/>
        <w:rPr>
          <w:rFonts w:hint="default"/>
          <w:lang w:eastAsia="zh-CN"/>
        </w:rPr>
      </w:pPr>
      <w:r>
        <w:rPr>
          <w:rFonts w:hint="default"/>
          <w:lang w:eastAsia="zh-CN"/>
        </w:rPr>
        <w:t>ref_phantom = np.load("sim_phantom.npy")</w:t>
      </w:r>
    </w:p>
    <w:p w14:paraId="38C76B75">
      <w:pPr>
        <w:bidi w:val="0"/>
        <w:rPr>
          <w:rFonts w:hint="default"/>
          <w:lang w:eastAsia="zh-CN"/>
        </w:rPr>
      </w:pPr>
      <w:r>
        <w:rPr>
          <w:rFonts w:hint="default"/>
          <w:lang w:eastAsia="zh-CN"/>
        </w:rPr>
        <w:t># 重建方法1：SART迭代重建</w:t>
      </w:r>
    </w:p>
    <w:p w14:paraId="2470AB7B">
      <w:pPr>
        <w:bidi w:val="0"/>
        <w:rPr>
          <w:rFonts w:hint="default"/>
          <w:lang w:eastAsia="zh-CN"/>
        </w:rPr>
      </w:pPr>
      <w:r>
        <w:rPr>
          <w:rFonts w:hint="default"/>
          <w:lang w:eastAsia="zh-CN"/>
        </w:rPr>
        <w:t>recon_sart = recon.sart_recon(sinogram, angles)</w:t>
      </w:r>
    </w:p>
    <w:p w14:paraId="296D6CF0">
      <w:pPr>
        <w:bidi w:val="0"/>
        <w:rPr>
          <w:rFonts w:hint="default"/>
          <w:lang w:eastAsia="zh-CN"/>
        </w:rPr>
      </w:pPr>
      <w:r>
        <w:rPr>
          <w:rFonts w:hint="default"/>
          <w:lang w:eastAsia="zh-CN"/>
        </w:rPr>
        <w:t># 重建方法2：Proj2Proj投影域重建</w:t>
      </w:r>
    </w:p>
    <w:p w14:paraId="35F0CD62">
      <w:pPr>
        <w:bidi w:val="0"/>
        <w:rPr>
          <w:rFonts w:hint="default"/>
          <w:lang w:eastAsia="zh-CN"/>
        </w:rPr>
      </w:pPr>
      <w:r>
        <w:rPr>
          <w:rFonts w:hint="default"/>
          <w:lang w:eastAsia="zh-CN"/>
        </w:rPr>
        <w:t>recon_proj2proj = recon.proj2proj_recon(sinogram, angles)</w:t>
      </w:r>
    </w:p>
    <w:p w14:paraId="187FDD15">
      <w:pPr>
        <w:bidi w:val="0"/>
        <w:rPr>
          <w:rFonts w:hint="default"/>
          <w:lang w:eastAsia="zh-CN"/>
        </w:rPr>
      </w:pPr>
      <w:r>
        <w:rPr>
          <w:rFonts w:hint="default"/>
          <w:lang w:eastAsia="zh-CN"/>
        </w:rPr>
        <w:t># 评估指标（PSNR, SSIM）</w:t>
      </w:r>
    </w:p>
    <w:p w14:paraId="55A29F64">
      <w:pPr>
        <w:bidi w:val="0"/>
        <w:rPr>
          <w:rFonts w:hint="default"/>
          <w:lang w:eastAsia="zh-CN"/>
        </w:rPr>
      </w:pPr>
      <w:r>
        <w:rPr>
          <w:rFonts w:hint="default"/>
          <w:lang w:eastAsia="zh-CN"/>
        </w:rPr>
        <w:t>psnr_sart, ssim_sart = recon.eval_recon(recon_sart, ref_phantom)</w:t>
      </w:r>
    </w:p>
    <w:p w14:paraId="283CCD69">
      <w:pPr>
        <w:bidi w:val="0"/>
        <w:rPr>
          <w:rFonts w:hint="default"/>
          <w:lang w:eastAsia="zh-CN"/>
        </w:rPr>
      </w:pPr>
      <w:r>
        <w:rPr>
          <w:rFonts w:hint="default"/>
          <w:lang w:eastAsia="zh-CN"/>
        </w:rPr>
        <w:t>psnr_p2p, ssim_p2p = recon.eval_recon(recon_proj2proj, ref_phantom)</w:t>
      </w:r>
    </w:p>
    <w:p w14:paraId="58B794D7">
      <w:pPr>
        <w:bidi w:val="0"/>
        <w:rPr>
          <w:rFonts w:hint="default"/>
          <w:lang w:eastAsia="zh-CN"/>
        </w:rPr>
      </w:pPr>
      <w:r>
        <w:rPr>
          <w:rFonts w:hint="default"/>
          <w:lang w:eastAsia="zh-CN"/>
        </w:rPr>
        <w:t># 可视化对比</w:t>
      </w:r>
    </w:p>
    <w:p w14:paraId="438E838A">
      <w:pPr>
        <w:bidi w:val="0"/>
        <w:rPr>
          <w:rFonts w:hint="default"/>
          <w:lang w:eastAsia="zh-CN"/>
        </w:rPr>
      </w:pPr>
      <w:r>
        <w:rPr>
          <w:rFonts w:hint="default"/>
          <w:lang w:eastAsia="zh-CN"/>
        </w:rPr>
        <w:t>plt.figure(figsize=(15,5))</w:t>
      </w:r>
    </w:p>
    <w:p w14:paraId="16A5722D">
      <w:pPr>
        <w:bidi w:val="0"/>
        <w:rPr>
          <w:rFonts w:hint="default"/>
          <w:lang w:eastAsia="zh-CN"/>
        </w:rPr>
      </w:pPr>
      <w:r>
        <w:rPr>
          <w:rFonts w:hint="default"/>
          <w:lang w:eastAsia="zh-CN"/>
        </w:rPr>
        <w:t>plt.subplot(131); plt.imshow(ref_phantom, cmap='gray'); plt.title('Reference')</w:t>
      </w:r>
    </w:p>
    <w:p w14:paraId="7CA0B76E">
      <w:pPr>
        <w:bidi w:val="0"/>
        <w:rPr>
          <w:rFonts w:hint="default"/>
          <w:lang w:eastAsia="zh-CN"/>
        </w:rPr>
      </w:pPr>
      <w:r>
        <w:rPr>
          <w:rFonts w:hint="default"/>
          <w:lang w:eastAsia="zh-CN"/>
        </w:rPr>
        <w:t>plt.subplot(132); plt.imshow(recon_sart, cmap='gray'); plt.title(f'SART\nPSNR={psnr_sart:.2f}')</w:t>
      </w:r>
    </w:p>
    <w:p w14:paraId="16FD5FEC">
      <w:pPr>
        <w:bidi w:val="0"/>
        <w:rPr>
          <w:rFonts w:hint="default"/>
          <w:lang w:eastAsia="zh-CN"/>
        </w:rPr>
      </w:pPr>
      <w:r>
        <w:rPr>
          <w:rFonts w:hint="default"/>
          <w:lang w:eastAsia="zh-CN"/>
        </w:rPr>
        <w:t>plt.subplot(133); plt.imshow(recon_proj2proj, cmap='gray'); plt.title(f'Proj2Proj\nPSNR={psnr_p2p:.2f}')</w:t>
      </w:r>
    </w:p>
    <w:p w14:paraId="64696597">
      <w:pPr>
        <w:bidi w:val="0"/>
        <w:rPr>
          <w:rFonts w:hint="default"/>
          <w:lang w:eastAsia="zh-CN"/>
        </w:rPr>
      </w:pPr>
      <w:r>
        <w:rPr>
          <w:rFonts w:hint="default"/>
          <w:lang w:eastAsia="zh-CN"/>
        </w:rPr>
        <w:t>plt.tight_layout(); plt.show()</w:t>
      </w:r>
    </w:p>
    <w:p w14:paraId="41321704">
      <w:pPr>
        <w:bidi w:val="0"/>
        <w:rPr>
          <w:rFonts w:hint="default"/>
        </w:rPr>
      </w:pPr>
    </w:p>
    <w:p w14:paraId="184E6ABD">
      <w:pPr>
        <w:bidi w:val="0"/>
        <w:rPr>
          <w:rFonts w:hint="default" w:ascii="Times New Roman" w:hAnsi="Times New Roman" w:cs="Times New Roman"/>
        </w:rPr>
      </w:pPr>
    </w:p>
    <w:p w14:paraId="6F893973">
      <w:pPr>
        <w:bidi w:val="0"/>
        <w:rPr>
          <w:rFonts w:hint="default" w:ascii="Times New Roman" w:hAnsi="Times New Roman" w:cs="Times New Roman"/>
        </w:rPr>
      </w:pPr>
    </w:p>
    <w:p w14:paraId="2FF0A7E3">
      <w:pPr>
        <w:bidi w:val="0"/>
        <w:rPr>
          <w:rFonts w:hint="default" w:ascii="Times New Roman" w:hAnsi="Times New Roman" w:cs="Times New Roman"/>
        </w:rPr>
      </w:pPr>
    </w:p>
    <w:p w14:paraId="73FBEE57">
      <w:pPr>
        <w:bidi w:val="0"/>
        <w:rPr>
          <w:rFonts w:hint="default" w:ascii="Times New Roman" w:hAnsi="Times New Roman" w:cs="Times New Roman"/>
        </w:rPr>
      </w:pPr>
    </w:p>
    <w:p w14:paraId="77551EF2">
      <w:pPr>
        <w:bidi w:val="0"/>
        <w:rPr>
          <w:rFonts w:hint="eastAsia" w:ascii="Times New Roman" w:hAnsi="Times New Roman" w:eastAsia="宋体" w:cs="Times New Roman"/>
          <w:b/>
          <w:bCs/>
          <w:lang w:eastAsia="zh-CN"/>
        </w:rPr>
      </w:pPr>
      <w:r>
        <w:rPr>
          <w:rFonts w:hint="default" w:ascii="Times New Roman" w:hAnsi="Times New Roman" w:cs="Times New Roman"/>
          <w:b/>
          <w:bCs/>
        </w:rPr>
        <w:t>3.  setup.py</w:t>
      </w:r>
      <w:r>
        <w:rPr>
          <w:rFonts w:hint="eastAsia" w:ascii="Times New Roman" w:hAnsi="Times New Roman" w:cs="Times New Roman"/>
          <w:b/>
          <w:bCs/>
          <w:lang w:eastAsia="zh-CN"/>
        </w:rPr>
        <w:t>：</w:t>
      </w:r>
    </w:p>
    <w:p w14:paraId="01B1859B">
      <w:pPr>
        <w:bidi w:val="0"/>
        <w:rPr>
          <w:rFonts w:hint="default"/>
          <w:lang w:val="en-US"/>
        </w:rPr>
      </w:pPr>
      <w:bookmarkStart w:id="560" w:name="_Toc9492"/>
      <w:bookmarkStart w:id="561" w:name="_Toc4521"/>
      <w:bookmarkStart w:id="562" w:name="_Toc25262"/>
      <w:r>
        <w:rPr>
          <w:rFonts w:hint="default"/>
          <w:lang w:val="en-US"/>
        </w:rPr>
        <w:t>from setuptools import setup, find_packages</w:t>
      </w:r>
      <w:bookmarkEnd w:id="560"/>
      <w:bookmarkEnd w:id="561"/>
      <w:bookmarkEnd w:id="562"/>
    </w:p>
    <w:p w14:paraId="13F19741">
      <w:pPr>
        <w:bidi w:val="0"/>
        <w:rPr>
          <w:rFonts w:hint="default"/>
          <w:lang w:val="en-US"/>
        </w:rPr>
      </w:pPr>
      <w:bookmarkStart w:id="563" w:name="_Toc485"/>
      <w:bookmarkStart w:id="564" w:name="_Toc26352"/>
      <w:bookmarkStart w:id="565" w:name="_Toc9821"/>
      <w:r>
        <w:rPr>
          <w:rFonts w:hint="default"/>
          <w:lang w:val="en-US"/>
        </w:rPr>
        <w:t>setup(</w:t>
      </w:r>
      <w:bookmarkEnd w:id="563"/>
      <w:bookmarkEnd w:id="564"/>
      <w:bookmarkEnd w:id="565"/>
    </w:p>
    <w:p w14:paraId="3DE06A91">
      <w:pPr>
        <w:bidi w:val="0"/>
        <w:rPr>
          <w:rFonts w:hint="default"/>
          <w:lang w:val="en-US"/>
        </w:rPr>
      </w:pPr>
      <w:r>
        <w:rPr>
          <w:rFonts w:hint="default"/>
          <w:lang w:val="en-US"/>
        </w:rPr>
        <w:t xml:space="preserve">    </w:t>
      </w:r>
      <w:bookmarkStart w:id="566" w:name="_Toc29783"/>
      <w:bookmarkStart w:id="567" w:name="_Toc7916"/>
      <w:bookmarkStart w:id="568" w:name="_Toc28035"/>
      <w:r>
        <w:rPr>
          <w:rFonts w:hint="default"/>
          <w:lang w:val="en-US"/>
        </w:rPr>
        <w:t>name="sparse-ct-test",</w:t>
      </w:r>
      <w:bookmarkEnd w:id="566"/>
      <w:bookmarkEnd w:id="567"/>
      <w:bookmarkEnd w:id="568"/>
    </w:p>
    <w:p w14:paraId="240E9AC2">
      <w:pPr>
        <w:bidi w:val="0"/>
        <w:rPr>
          <w:rFonts w:hint="default"/>
          <w:lang w:val="en-US"/>
        </w:rPr>
      </w:pPr>
      <w:r>
        <w:rPr>
          <w:rFonts w:hint="default"/>
          <w:lang w:val="en-US"/>
        </w:rPr>
        <w:t xml:space="preserve">    </w:t>
      </w:r>
      <w:bookmarkStart w:id="569" w:name="_Toc16188"/>
      <w:bookmarkStart w:id="570" w:name="_Toc7128"/>
      <w:bookmarkStart w:id="571" w:name="_Toc2116"/>
      <w:r>
        <w:rPr>
          <w:rFonts w:hint="default"/>
          <w:lang w:val="en-US"/>
        </w:rPr>
        <w:t>version="0.0.1",</w:t>
      </w:r>
      <w:bookmarkEnd w:id="569"/>
      <w:bookmarkEnd w:id="570"/>
      <w:bookmarkEnd w:id="571"/>
    </w:p>
    <w:p w14:paraId="567F0F2A">
      <w:pPr>
        <w:bidi w:val="0"/>
        <w:rPr>
          <w:rFonts w:hint="default"/>
          <w:lang w:val="en-US"/>
        </w:rPr>
      </w:pPr>
      <w:r>
        <w:rPr>
          <w:rFonts w:hint="default"/>
          <w:lang w:val="en-US"/>
        </w:rPr>
        <w:t xml:space="preserve">    </w:t>
      </w:r>
      <w:bookmarkStart w:id="572" w:name="_Toc7423"/>
      <w:bookmarkStart w:id="573" w:name="_Toc29903"/>
      <w:bookmarkStart w:id="574" w:name="_Toc13256"/>
      <w:r>
        <w:rPr>
          <w:rFonts w:hint="default"/>
          <w:lang w:val="en-US"/>
        </w:rPr>
        <w:t>packages=find_packages(),</w:t>
      </w:r>
      <w:bookmarkEnd w:id="572"/>
      <w:bookmarkEnd w:id="573"/>
      <w:bookmarkEnd w:id="574"/>
    </w:p>
    <w:p w14:paraId="58A67A2F">
      <w:pPr>
        <w:bidi w:val="0"/>
        <w:rPr>
          <w:rFonts w:hint="default"/>
          <w:lang w:val="en-US"/>
        </w:rPr>
      </w:pPr>
      <w:r>
        <w:rPr>
          <w:rFonts w:hint="default"/>
          <w:lang w:val="en-US"/>
        </w:rPr>
        <w:t xml:space="preserve">    </w:t>
      </w:r>
      <w:bookmarkStart w:id="575" w:name="_Toc23173"/>
      <w:bookmarkStart w:id="576" w:name="_Toc26708"/>
      <w:bookmarkStart w:id="577" w:name="_Toc28345"/>
      <w:r>
        <w:rPr>
          <w:rFonts w:hint="default"/>
          <w:lang w:val="en-US"/>
        </w:rPr>
        <w:t>python_requires='&gt;=3.6',</w:t>
      </w:r>
      <w:bookmarkEnd w:id="575"/>
      <w:bookmarkEnd w:id="576"/>
      <w:bookmarkEnd w:id="577"/>
    </w:p>
    <w:p w14:paraId="036BA50C">
      <w:pPr>
        <w:bidi w:val="0"/>
        <w:rPr>
          <w:rFonts w:hint="default"/>
          <w:lang w:val="en-US"/>
        </w:rPr>
      </w:pPr>
      <w:bookmarkStart w:id="578" w:name="_Toc810"/>
      <w:bookmarkStart w:id="579" w:name="_Toc31367"/>
      <w:bookmarkStart w:id="580" w:name="_Toc26135"/>
      <w:r>
        <w:rPr>
          <w:rFonts w:hint="default"/>
          <w:lang w:val="en-US"/>
        </w:rPr>
        <w:t>)</w:t>
      </w:r>
      <w:bookmarkEnd w:id="578"/>
      <w:bookmarkEnd w:id="579"/>
      <w:bookmarkEnd w:id="580"/>
    </w:p>
    <w:p w14:paraId="796A18D4">
      <w:pPr>
        <w:pStyle w:val="3"/>
      </w:pPr>
      <w:bookmarkStart w:id="581" w:name="_Toc17013"/>
      <w:bookmarkStart w:id="582" w:name="_Toc4453"/>
      <w:bookmarkStart w:id="583" w:name="_Toc6281"/>
      <w:bookmarkStart w:id="584" w:name="_Toc14786"/>
      <w:bookmarkStart w:id="585" w:name="_Toc6715"/>
      <w:bookmarkStart w:id="586" w:name="_Toc13813"/>
      <w:bookmarkStart w:id="587" w:name="_Toc2721"/>
      <w:bookmarkStart w:id="588" w:name="_Toc19819"/>
      <w:bookmarkStart w:id="589" w:name="_Toc30050"/>
      <w:bookmarkStart w:id="590" w:name="_Toc32262"/>
      <w:r>
        <w:rPr>
          <w:rFonts w:hint="eastAsia"/>
          <w:lang w:val="en-US"/>
        </w:rPr>
        <w:t>5</w:t>
      </w:r>
      <w:r>
        <w:rPr>
          <w:rFonts w:hint="eastAsia"/>
        </w:rPr>
        <w:t>.</w:t>
      </w:r>
      <w:r>
        <w:rPr>
          <w:rFonts w:hint="eastAsia"/>
          <w:lang w:val="en-US"/>
        </w:rPr>
        <w:t>5</w:t>
      </w:r>
      <w:r>
        <w:rPr>
          <w:rFonts w:hint="eastAsia"/>
        </w:rPr>
        <w:t xml:space="preserve"> 实验综合评价指标体系</w:t>
      </w:r>
      <w:bookmarkEnd w:id="555"/>
      <w:bookmarkEnd w:id="556"/>
      <w:bookmarkEnd w:id="557"/>
      <w:bookmarkEnd w:id="558"/>
      <w:bookmarkEnd w:id="559"/>
      <w:bookmarkEnd w:id="581"/>
      <w:bookmarkEnd w:id="582"/>
      <w:bookmarkEnd w:id="583"/>
      <w:bookmarkEnd w:id="584"/>
      <w:bookmarkEnd w:id="585"/>
      <w:bookmarkEnd w:id="586"/>
      <w:bookmarkEnd w:id="587"/>
      <w:bookmarkEnd w:id="588"/>
      <w:bookmarkEnd w:id="589"/>
      <w:bookmarkEnd w:id="590"/>
    </w:p>
    <w:p w14:paraId="76476982">
      <w:pPr>
        <w:widowControl/>
        <w:jc w:val="left"/>
        <w:rPr>
          <w:rFonts w:hint="eastAsia" w:ascii="宋体" w:hAnsi="宋体" w:cs="宋体"/>
          <w:color w:val="000000"/>
          <w:szCs w:val="24"/>
        </w:rPr>
      </w:pPr>
      <w:r>
        <w:rPr>
          <w:rFonts w:hint="eastAsia" w:ascii="宋体" w:hAnsi="宋体" w:cs="宋体"/>
          <w:color w:val="000000"/>
          <w:kern w:val="0"/>
          <w:szCs w:val="24"/>
          <w:lang w:bidi="ar"/>
        </w:rPr>
        <w:t>为全面、客观、量化评判本文算法的实际效果，本研究建立</w:t>
      </w:r>
      <w:r>
        <w:rPr>
          <w:rStyle w:val="34"/>
          <w:rFonts w:hint="eastAsia" w:ascii="宋体" w:hAnsi="宋体" w:cs="宋体"/>
          <w:b w:val="0"/>
          <w:bCs w:val="0"/>
          <w:color w:val="000000"/>
          <w:kern w:val="0"/>
          <w:szCs w:val="24"/>
          <w:lang w:bidi="ar"/>
        </w:rPr>
        <w:t>投影域 + 图像域</w:t>
      </w:r>
      <w:r>
        <w:rPr>
          <w:rFonts w:hint="eastAsia" w:ascii="宋体" w:hAnsi="宋体" w:cs="宋体"/>
          <w:color w:val="000000"/>
          <w:kern w:val="0"/>
          <w:szCs w:val="24"/>
          <w:lang w:bidi="ar"/>
        </w:rPr>
        <w:t>双向综合评价体系，同时结合视觉主观评价完成结果判定。</w:t>
      </w:r>
    </w:p>
    <w:p w14:paraId="2CA7A108">
      <w:pPr>
        <w:widowControl/>
        <w:jc w:val="left"/>
        <w:rPr>
          <w:rFonts w:hint="eastAsia" w:ascii="宋体" w:hAnsi="宋体" w:cs="宋体"/>
          <w:color w:val="000000"/>
          <w:szCs w:val="24"/>
        </w:rPr>
      </w:pPr>
      <w:r>
        <w:rPr>
          <w:rFonts w:hint="eastAsia" w:ascii="宋体" w:hAnsi="宋体" w:cs="宋体"/>
          <w:color w:val="000000"/>
          <w:kern w:val="0"/>
          <w:szCs w:val="24"/>
          <w:lang w:bidi="ar"/>
        </w:rPr>
        <w:t>投影域层面选用噪声抑制率、信号保真度两大核心指标，精准衡量模型对原始投影混合噪声的去除能力，以及对人体组织结构原始投影信息的留存能力，从成像源头评判预处理效果。</w:t>
      </w:r>
    </w:p>
    <w:p w14:paraId="35D96CAD">
      <w:pPr>
        <w:widowControl/>
        <w:jc w:val="left"/>
        <w:rPr>
          <w:rFonts w:hint="eastAsia" w:ascii="宋体" w:hAnsi="宋体" w:cs="宋体"/>
          <w:color w:val="000000"/>
          <w:szCs w:val="24"/>
        </w:rPr>
      </w:pPr>
      <w:r>
        <w:rPr>
          <w:rFonts w:hint="eastAsia" w:ascii="宋体" w:hAnsi="宋体" w:cs="宋体"/>
          <w:color w:val="000000"/>
          <w:kern w:val="0"/>
          <w:szCs w:val="24"/>
          <w:lang w:bidi="ar"/>
        </w:rPr>
        <w:t>图像域层面采用学界通用客观量化指标，包含峰值信噪比 PSNR、结构相似性 SSIM、对比度噪声比 CNR、调制传递函数 MTF。其中峰值信噪比用于评判重建图像整体灰度失真程度，数值越高代表图像失真越小；结构相似性从亮度、对比度、空间结构三个维度评判图像还原相似度；对比度噪声比用于区分不同人体软组织、肺部组织之间的差异程度，直接影响临床微小病灶识别；调制传递函数用来评定重建图像空间分辨能力，反映图像细节清晰程度。</w:t>
      </w:r>
    </w:p>
    <w:p w14:paraId="10F61156">
      <w:pPr>
        <w:widowControl/>
        <w:jc w:val="left"/>
      </w:pPr>
      <w:r>
        <w:rPr>
          <w:rFonts w:hint="eastAsia" w:ascii="宋体" w:hAnsi="宋体" w:cs="宋体"/>
          <w:color w:val="000000"/>
          <w:kern w:val="0"/>
          <w:szCs w:val="24"/>
          <w:lang w:bidi="ar"/>
        </w:rPr>
        <w:t>除量化指标外，引入视觉主观评价，通过观察重建图像纹理平滑度、伪影残留情况、组织边缘完整性、细小血管与结节清晰度，多角度综合评定算法实际成像效果，让实验评价结果更加全面严谨。</w:t>
      </w:r>
    </w:p>
    <w:p w14:paraId="4B03C105">
      <w:pPr>
        <w:pStyle w:val="2"/>
        <w:bidi w:val="0"/>
        <w:rPr>
          <w:rFonts w:hint="default"/>
          <w:lang w:val="en-US" w:eastAsia="zh-CN"/>
        </w:rPr>
      </w:pPr>
      <w:bookmarkStart w:id="591" w:name="_Toc21398"/>
      <w:bookmarkStart w:id="592" w:name="_Toc9789"/>
      <w:bookmarkStart w:id="593" w:name="_Toc10904"/>
      <w:bookmarkStart w:id="594" w:name="_Toc14402"/>
      <w:bookmarkStart w:id="595" w:name="_Toc17456"/>
      <w:bookmarkStart w:id="596" w:name="_Toc2078"/>
      <w:bookmarkStart w:id="597" w:name="_Toc15301"/>
      <w:bookmarkStart w:id="598" w:name="_Toc16841"/>
      <w:bookmarkStart w:id="599" w:name="_Toc8103"/>
      <w:bookmarkStart w:id="600" w:name="_Toc3552"/>
      <w:bookmarkStart w:id="601" w:name="_Toc25032"/>
      <w:bookmarkStart w:id="602" w:name="_Toc17556"/>
      <w:bookmarkStart w:id="603" w:name="_Toc25980"/>
      <w:bookmarkStart w:id="604" w:name="_Toc3623"/>
      <w:bookmarkStart w:id="605" w:name="_Toc22674"/>
      <w:r>
        <w:rPr>
          <w:rFonts w:hint="eastAsia"/>
          <w:lang w:val="en-US"/>
        </w:rPr>
        <w:t>6</w:t>
      </w:r>
      <w:bookmarkEnd w:id="591"/>
      <w:bookmarkEnd w:id="592"/>
      <w:bookmarkEnd w:id="593"/>
      <w:bookmarkEnd w:id="594"/>
      <w:bookmarkEnd w:id="595"/>
      <w:bookmarkEnd w:id="596"/>
      <w:bookmarkEnd w:id="597"/>
      <w:bookmarkEnd w:id="598"/>
      <w:bookmarkEnd w:id="599"/>
      <w:bookmarkEnd w:id="600"/>
      <w:bookmarkEnd w:id="601"/>
      <w:bookmarkEnd w:id="602"/>
      <w:bookmarkEnd w:id="603"/>
      <w:r>
        <w:rPr>
          <w:rFonts w:hint="eastAsia"/>
          <w:lang w:val="en-US" w:eastAsia="zh-CN"/>
        </w:rPr>
        <w:t>实验结果分析</w:t>
      </w:r>
      <w:bookmarkEnd w:id="604"/>
      <w:bookmarkEnd w:id="605"/>
    </w:p>
    <w:p w14:paraId="6A10C02B">
      <w:pPr>
        <w:pStyle w:val="3"/>
        <w:rPr>
          <w:color w:val="1F2329"/>
          <w:sz w:val="19"/>
          <w:szCs w:val="19"/>
        </w:rPr>
      </w:pPr>
      <w:bookmarkStart w:id="606" w:name="_Toc2429"/>
      <w:bookmarkStart w:id="607" w:name="_Toc18783"/>
      <w:bookmarkStart w:id="608" w:name="_Toc2679"/>
      <w:bookmarkStart w:id="609" w:name="_Toc5842"/>
      <w:bookmarkStart w:id="610" w:name="_Toc29421"/>
      <w:bookmarkStart w:id="611" w:name="_Toc18913"/>
      <w:bookmarkStart w:id="612" w:name="_Toc17710"/>
      <w:bookmarkStart w:id="613" w:name="_Toc10030"/>
      <w:bookmarkStart w:id="614" w:name="_Toc18310"/>
      <w:bookmarkStart w:id="615" w:name="_Toc16622"/>
      <w:bookmarkStart w:id="616" w:name="_Toc656"/>
      <w:bookmarkStart w:id="617" w:name="_Toc25838"/>
      <w:bookmarkStart w:id="618" w:name="_Toc26038"/>
      <w:bookmarkStart w:id="619" w:name="_Toc2814"/>
      <w:bookmarkStart w:id="620" w:name="_Toc3616"/>
      <w:r>
        <w:rPr>
          <w:rFonts w:hint="eastAsia"/>
          <w:lang w:val="en-US"/>
        </w:rPr>
        <w:t>6</w:t>
      </w:r>
      <w:r>
        <w:rPr>
          <w:rFonts w:hint="eastAsia"/>
        </w:rPr>
        <w:t>.1 实验对比方案设计</w:t>
      </w:r>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1FA92C48">
      <w:pPr>
        <w:widowControl/>
        <w:spacing w:line="360" w:lineRule="auto"/>
        <w:jc w:val="left"/>
        <w:rPr>
          <w:color w:val="1F2329"/>
          <w:szCs w:val="24"/>
        </w:rPr>
      </w:pPr>
      <w:r>
        <w:rPr>
          <w:rFonts w:ascii="宋体" w:hAnsi="宋体" w:cs="宋体"/>
          <w:color w:val="1F2329"/>
          <w:kern w:val="0"/>
          <w:szCs w:val="24"/>
          <w:lang w:bidi="ar"/>
        </w:rPr>
        <w:t>为充分验证本文所提自监督学习投影域去噪联合 ADMM-TV 高质量重建算法的优越性与实用性，本次实验设置多组主流算法开展横向对比实验，所有对比实验均在同一数据集、同一软硬件环境、统一评价指标体系下完成，严格控制实验变量，确保结果的公平性与说服力。</w:t>
      </w:r>
    </w:p>
    <w:p w14:paraId="381486E5">
      <w:pPr>
        <w:widowControl/>
        <w:spacing w:line="360" w:lineRule="auto"/>
        <w:jc w:val="left"/>
        <w:rPr>
          <w:color w:val="1F2329"/>
          <w:szCs w:val="24"/>
        </w:rPr>
      </w:pPr>
      <w:r>
        <w:rPr>
          <w:rFonts w:ascii="宋体" w:hAnsi="宋体" w:cs="宋体"/>
          <w:color w:val="1F2329"/>
          <w:kern w:val="0"/>
          <w:szCs w:val="24"/>
          <w:lang w:bidi="ar"/>
        </w:rPr>
        <w:t>对照组实验选取两大类主流处理算法：第一类为传统经典图像处理算法，包含均值滤波、高斯滤波、双边滤波、BM3D、NLMs 等空域滤波去噪方法；第二类为现有深度学习去噪算法，选取 RED-CNN、Dn-Dp、CTformer、Noise2Sim 等基于监督学习与自监督学习的代表性模型作为对比对象。分别将不同算法应用于低剂量 CT 含噪投影数据，统一送入 ADMM-TV 重建模块完成图像重建，最后统计各项评价指标并进行视觉效果对比。</w:t>
      </w:r>
    </w:p>
    <w:p w14:paraId="0687D6A3">
      <w:pPr>
        <w:widowControl/>
        <w:spacing w:line="360" w:lineRule="auto"/>
        <w:jc w:val="left"/>
        <w:rPr>
          <w:color w:val="1F2329"/>
          <w:szCs w:val="24"/>
        </w:rPr>
      </w:pPr>
      <w:r>
        <w:rPr>
          <w:rFonts w:ascii="宋体" w:hAnsi="宋体" w:cs="宋体"/>
          <w:color w:val="1F2329"/>
          <w:kern w:val="0"/>
          <w:szCs w:val="24"/>
          <w:lang w:bidi="ar"/>
        </w:rPr>
        <w:t>实验数据分为两部分：一是采用 CT 成像领域通用的 Shepp-Logan 标准仿真体模，用于算法基础性能的量化验证；二是采用 Mayo 临床腹部 CT 数据集与 LDCT-PD 胸部 CT 数据集，用于验证算法在真实临床场景下的泛化能力与临床可用性。评价指标选取 PSNR（峰值信噪比）、SSIM（结构相似性）、噪声抑制率、细节保留率四项核心指标，全面覆盖图像的像素保真度、结构保真度、噪声控制能力与细节还原能力。</w:t>
      </w:r>
    </w:p>
    <w:p w14:paraId="2441DDB8">
      <w:pPr>
        <w:pStyle w:val="3"/>
        <w:rPr>
          <w:lang w:val="en-US"/>
        </w:rPr>
      </w:pPr>
      <w:bookmarkStart w:id="621" w:name="_Toc10294"/>
      <w:bookmarkStart w:id="622" w:name="_Toc25589"/>
      <w:bookmarkStart w:id="623" w:name="_Toc2917"/>
      <w:bookmarkStart w:id="624" w:name="_Toc21990"/>
      <w:bookmarkStart w:id="625" w:name="_Toc5127"/>
      <w:bookmarkStart w:id="626" w:name="_Toc23880"/>
      <w:bookmarkStart w:id="627" w:name="_Toc25904"/>
      <w:bookmarkStart w:id="628" w:name="_Toc9224"/>
      <w:bookmarkStart w:id="629" w:name="_Toc8012"/>
      <w:bookmarkStart w:id="630" w:name="_Toc14137"/>
      <w:bookmarkStart w:id="631" w:name="_Toc26509"/>
      <w:r>
        <w:rPr>
          <w:rFonts w:hint="eastAsia"/>
          <w:lang w:val="en-US"/>
        </w:rPr>
        <w:t>6.2仿真体模低剂量 CT 重建结果分析</w:t>
      </w:r>
      <w:bookmarkEnd w:id="621"/>
      <w:bookmarkEnd w:id="622"/>
      <w:bookmarkEnd w:id="623"/>
      <w:bookmarkEnd w:id="624"/>
      <w:bookmarkEnd w:id="625"/>
      <w:bookmarkEnd w:id="626"/>
      <w:bookmarkEnd w:id="627"/>
      <w:bookmarkEnd w:id="628"/>
      <w:bookmarkEnd w:id="629"/>
      <w:bookmarkEnd w:id="630"/>
      <w:bookmarkEnd w:id="631"/>
    </w:p>
    <w:p w14:paraId="0DE39FA8">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 xml:space="preserve">为验证本文算法在理想低剂量 CT 场景下的基础去噪与重建性能，实验首先采用 Shepp-Logan 标准仿真体模开展对照实验，该体模包含多层不同密度的椭圆结构与微小细节特征，可精准量化算法的噪声抑制能力与细节还原能力。实验设置三组对照：体模真值图、含噪投影直接 SART 重建结果、本文算法去噪后投影重建结果，实验结果如图 </w:t>
      </w:r>
      <w:r>
        <w:rPr>
          <w:rFonts w:hint="eastAsia" w:ascii="宋体" w:hAnsi="宋体" w:cs="宋体"/>
          <w:b w:val="0"/>
          <w:bCs w:val="0"/>
          <w:color w:val="000000"/>
          <w:kern w:val="0"/>
          <w:szCs w:val="24"/>
          <w:lang w:eastAsia="zh-CN" w:bidi="ar"/>
        </w:rPr>
        <w:fldChar w:fldCharType="begin"/>
      </w:r>
      <w:r>
        <w:rPr>
          <w:b w:val="0"/>
          <w:bCs w:val="0"/>
        </w:rPr>
        <w:instrText xml:space="preserve"> REF _Ref31754 \h  \* MERGEFORMAT</w:instrText>
      </w:r>
      <w:r>
        <w:rPr>
          <w:rFonts w:hint="eastAsia" w:ascii="宋体" w:hAnsi="宋体" w:cs="宋体"/>
          <w:b w:val="0"/>
          <w:bCs w:val="0"/>
          <w:color w:val="000000"/>
          <w:kern w:val="0"/>
          <w:szCs w:val="24"/>
          <w:lang w:eastAsia="zh-CN" w:bidi="ar"/>
        </w:rPr>
        <w:fldChar w:fldCharType="separate"/>
      </w:r>
      <w:r>
        <w:rPr>
          <w:rFonts w:hint="eastAsia" w:ascii="宋体" w:hAnsi="宋体" w:eastAsia="宋体" w:cs="宋体"/>
          <w:b w:val="0"/>
          <w:bCs w:val="0"/>
          <w:sz w:val="21"/>
          <w:szCs w:val="21"/>
        </w:rPr>
        <w:t>图6- 1</w:t>
      </w:r>
      <w:r>
        <w:rPr>
          <w:rFonts w:hint="eastAsia" w:ascii="宋体" w:hAnsi="宋体" w:cs="宋体"/>
          <w:b w:val="0"/>
          <w:bCs w:val="0"/>
          <w:color w:val="000000"/>
          <w:kern w:val="0"/>
          <w:szCs w:val="24"/>
          <w:lang w:eastAsia="zh-CN" w:bidi="ar"/>
        </w:rPr>
        <w:fldChar w:fldCharType="end"/>
      </w:r>
      <w:r>
        <w:rPr>
          <w:rFonts w:hint="eastAsia" w:ascii="宋体" w:hAnsi="宋体" w:cs="宋体"/>
          <w:color w:val="000000"/>
          <w:kern w:val="0"/>
          <w:szCs w:val="24"/>
          <w:lang w:bidi="ar"/>
        </w:rPr>
        <w:t xml:space="preserve"> 所示。</w:t>
      </w:r>
    </w:p>
    <w:p w14:paraId="7070B244">
      <w:pPr>
        <w:widowControl/>
        <w:spacing w:line="360" w:lineRule="auto"/>
        <w:jc w:val="left"/>
        <w:rPr>
          <w:rFonts w:hint="eastAsia" w:ascii="宋体" w:hAnsi="宋体" w:cs="宋体"/>
          <w:color w:val="000000"/>
          <w:kern w:val="0"/>
          <w:szCs w:val="24"/>
          <w:lang w:bidi="ar"/>
        </w:rPr>
      </w:pPr>
      <w:r>
        <w:rPr>
          <w:rFonts w:hint="eastAsia" w:ascii="宋体" w:hAnsi="宋体" w:cs="宋体"/>
          <w:b w:val="0"/>
          <w:bCs w:val="0"/>
          <w:color w:val="000000"/>
          <w:kern w:val="0"/>
          <w:szCs w:val="24"/>
          <w:lang w:bidi="ar"/>
        </w:rPr>
        <w:t xml:space="preserve"> </w:t>
      </w:r>
      <w:r>
        <w:rPr>
          <w:rFonts w:hint="eastAsia" w:ascii="宋体" w:hAnsi="宋体" w:cs="宋体"/>
          <w:b w:val="0"/>
          <w:bCs w:val="0"/>
          <w:color w:val="000000"/>
          <w:kern w:val="0"/>
          <w:szCs w:val="24"/>
          <w:lang w:eastAsia="zh-CN" w:bidi="ar"/>
        </w:rPr>
        <w:fldChar w:fldCharType="begin"/>
      </w:r>
      <w:r>
        <w:rPr>
          <w:b w:val="0"/>
          <w:bCs w:val="0"/>
        </w:rPr>
        <w:instrText xml:space="preserve"> REF _Ref31754 \h  \* MERGEFORMAT</w:instrText>
      </w:r>
      <w:r>
        <w:rPr>
          <w:rFonts w:hint="eastAsia" w:ascii="宋体" w:hAnsi="宋体" w:cs="宋体"/>
          <w:b w:val="0"/>
          <w:bCs w:val="0"/>
          <w:color w:val="000000"/>
          <w:kern w:val="0"/>
          <w:szCs w:val="24"/>
          <w:lang w:eastAsia="zh-CN" w:bidi="ar"/>
        </w:rPr>
        <w:fldChar w:fldCharType="separate"/>
      </w:r>
      <w:r>
        <w:rPr>
          <w:rFonts w:hint="eastAsia" w:ascii="宋体" w:hAnsi="宋体" w:eastAsia="宋体" w:cs="宋体"/>
          <w:b w:val="0"/>
          <w:bCs w:val="0"/>
          <w:sz w:val="21"/>
          <w:szCs w:val="21"/>
        </w:rPr>
        <w:t>图6- 1</w:t>
      </w:r>
      <w:r>
        <w:rPr>
          <w:rFonts w:hint="eastAsia" w:ascii="宋体" w:hAnsi="宋体" w:cs="宋体"/>
          <w:b w:val="0"/>
          <w:bCs w:val="0"/>
          <w:color w:val="000000"/>
          <w:kern w:val="0"/>
          <w:szCs w:val="24"/>
          <w:lang w:eastAsia="zh-CN" w:bidi="ar"/>
        </w:rPr>
        <w:fldChar w:fldCharType="end"/>
      </w:r>
      <w:r>
        <w:rPr>
          <w:rFonts w:hint="eastAsia" w:ascii="宋体" w:hAnsi="宋体" w:cs="宋体"/>
          <w:color w:val="000000"/>
          <w:kern w:val="0"/>
          <w:szCs w:val="24"/>
          <w:lang w:bidi="ar"/>
        </w:rPr>
        <w:t xml:space="preserve"> 仿真体模低剂量 CT 重建效果对比（从左到右依次为：(a) Shepp-Logan 体模真值图；(b) 含噪投影直接 SART 重建结果；(c) 本文算法去噪后投影重建结果）</w:t>
      </w:r>
    </w:p>
    <w:p w14:paraId="2E73CA6C">
      <w:pPr>
        <w:widowControl/>
        <w:spacing w:line="240" w:lineRule="auto"/>
        <w:ind w:firstLine="380"/>
        <w:jc w:val="left"/>
      </w:pPr>
      <w:r>
        <w:drawing>
          <wp:inline distT="0" distB="0" distL="114300" distR="114300">
            <wp:extent cx="5758180" cy="1963420"/>
            <wp:effectExtent l="0" t="0" r="2540" b="254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7"/>
                    <a:stretch>
                      <a:fillRect/>
                    </a:stretch>
                  </pic:blipFill>
                  <pic:spPr>
                    <a:xfrm>
                      <a:off x="0" y="0"/>
                      <a:ext cx="5758180" cy="1963420"/>
                    </a:xfrm>
                    <a:prstGeom prst="rect">
                      <a:avLst/>
                    </a:prstGeom>
                    <a:noFill/>
                    <a:ln>
                      <a:noFill/>
                    </a:ln>
                  </pic:spPr>
                </pic:pic>
              </a:graphicData>
            </a:graphic>
          </wp:inline>
        </w:drawing>
      </w:r>
    </w:p>
    <w:p w14:paraId="2B29647B">
      <w:pPr>
        <w:pStyle w:val="6"/>
        <w:widowControl/>
        <w:spacing w:line="240" w:lineRule="auto"/>
        <w:ind w:firstLine="380"/>
        <w:jc w:val="center"/>
        <w:rPr>
          <w:rFonts w:hint="default" w:eastAsia="宋体"/>
          <w:color w:val="1F2329"/>
          <w:szCs w:val="24"/>
          <w:lang w:val="en-US" w:eastAsia="zh-CN"/>
        </w:rPr>
      </w:pPr>
      <w:bookmarkStart w:id="632" w:name="_Ref31754"/>
      <w:r>
        <w:rPr>
          <w:rFonts w:hint="eastAsia" w:ascii="宋体" w:hAnsi="宋体" w:eastAsia="宋体" w:cs="宋体"/>
          <w:b/>
          <w:bCs/>
          <w:sz w:val="21"/>
          <w:szCs w:val="21"/>
        </w:rPr>
        <w:t xml:space="preserve">图6-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图6-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632"/>
      <w:r>
        <w:rPr>
          <w:rFonts w:hint="eastAsia" w:ascii="宋体" w:hAnsi="宋体" w:eastAsia="宋体" w:cs="宋体"/>
          <w:b/>
          <w:bCs/>
          <w:sz w:val="21"/>
          <w:szCs w:val="21"/>
          <w:lang w:eastAsia="zh-CN"/>
        </w:rPr>
        <w:t>仿真体模低剂量 CT 重建效果对比</w:t>
      </w:r>
    </w:p>
    <w:p w14:paraId="6E0094F4">
      <w:pPr>
        <w:widowControl/>
        <w:spacing w:line="360" w:lineRule="auto"/>
        <w:jc w:val="left"/>
        <w:rPr>
          <w:color w:val="1F2329"/>
          <w:szCs w:val="24"/>
        </w:rPr>
      </w:pPr>
      <w:r>
        <w:rPr>
          <w:rFonts w:ascii="宋体" w:hAnsi="宋体" w:cs="宋体"/>
          <w:color w:val="1F2329"/>
          <w:kern w:val="0"/>
          <w:szCs w:val="24"/>
          <w:lang w:bidi="ar"/>
        </w:rPr>
        <w:t>视觉层面分析，左侧真值图无任何噪声与伪影，体模的外层轮廓、内部软组织区域与微小细节结构边界锐利、灰度均匀，是本次实验的金标准参考图像。中间的含噪投影直接 SART 重建结果，受低剂量 CT 投影域泊松 - 高斯混合噪声影响，画面布满密集的斜向条纹伪影与颗粒噪声，体模内部结构被噪声严重掩盖，边缘完全模糊，几乎无法分辨内部微小细节特征，成像质量极差。右侧经本文算法去噪后投影重建的图像，画面的颗粒噪声与条纹伪影得到明显抑制，体模的整体轮廓与内部结构可辨识度显著提升，相比直接重建结果视觉效果有明显改善。</w:t>
      </w:r>
    </w:p>
    <w:p w14:paraId="275F3F6A">
      <w:pPr>
        <w:widowControl/>
        <w:spacing w:line="360" w:lineRule="auto"/>
        <w:jc w:val="left"/>
        <w:rPr>
          <w:color w:val="1F2329"/>
          <w:szCs w:val="24"/>
        </w:rPr>
      </w:pPr>
      <w:r>
        <w:rPr>
          <w:rFonts w:ascii="宋体" w:hAnsi="宋体" w:cs="宋体"/>
          <w:color w:val="1F2329"/>
          <w:kern w:val="0"/>
          <w:szCs w:val="24"/>
          <w:lang w:bidi="ar"/>
        </w:rPr>
        <w:t>量化指标层面，含噪投影直接 SART 重建结果的 PSNR 仅为 12.58dB，SSIM 仅为 0.3069，说明该图像与真值图的像素误差极大、结构保真度极低。经本文算法处理后，图像的噪声水平得到有效控制，结构清晰度显著提升，验证了本文自监督投影域去噪算法在仿真场景下的基础有效性。</w:t>
      </w:r>
    </w:p>
    <w:p w14:paraId="0C109935">
      <w:pPr>
        <w:widowControl/>
        <w:spacing w:line="360" w:lineRule="auto"/>
        <w:jc w:val="left"/>
        <w:rPr>
          <w:color w:val="1F2329"/>
          <w:szCs w:val="24"/>
        </w:rPr>
      </w:pPr>
      <w:r>
        <w:rPr>
          <w:rFonts w:ascii="宋体" w:hAnsi="宋体" w:cs="宋体"/>
          <w:color w:val="1F2329"/>
          <w:kern w:val="0"/>
          <w:szCs w:val="24"/>
          <w:lang w:bidi="ar"/>
        </w:rPr>
        <w:t>同时，当前实验结果也暴露出算法的优化空间：当前去噪后重建图像的量化指标仍有较大提升空间，后续将通过优化网络特征解耦模块、调整迭代重建的正则化权重，进一步平衡噪声抑制与细节保留能力，提升算法的综合重建性能。</w:t>
      </w:r>
    </w:p>
    <w:p w14:paraId="73D2359B">
      <w:pPr>
        <w:widowControl/>
        <w:jc w:val="left"/>
        <w:rPr>
          <w:rFonts w:hint="eastAsia" w:ascii="宋体" w:hAnsi="宋体" w:cs="宋体"/>
          <w:color w:val="000000"/>
          <w:kern w:val="0"/>
          <w:szCs w:val="24"/>
          <w:lang w:bidi="ar"/>
        </w:rPr>
      </w:pPr>
    </w:p>
    <w:p w14:paraId="625F73B7">
      <w:pPr>
        <w:pStyle w:val="3"/>
      </w:pPr>
      <w:bookmarkStart w:id="633" w:name="_Toc3282"/>
      <w:bookmarkStart w:id="634" w:name="_Toc153"/>
      <w:bookmarkStart w:id="635" w:name="_Toc24629"/>
      <w:bookmarkStart w:id="636" w:name="_Toc8667"/>
      <w:bookmarkStart w:id="637" w:name="_Toc577"/>
      <w:bookmarkStart w:id="638" w:name="_Toc27013"/>
      <w:bookmarkStart w:id="639" w:name="_Toc22878"/>
      <w:bookmarkStart w:id="640" w:name="_Toc32643"/>
      <w:bookmarkStart w:id="641" w:name="_Toc16088"/>
      <w:bookmarkStart w:id="642" w:name="_Toc21636"/>
      <w:bookmarkStart w:id="643" w:name="_Toc15734"/>
      <w:bookmarkStart w:id="644" w:name="_Toc7866"/>
      <w:bookmarkStart w:id="645" w:name="_Toc26697"/>
      <w:bookmarkStart w:id="646" w:name="_Toc11111"/>
      <w:bookmarkStart w:id="647" w:name="_Toc27745"/>
      <w:r>
        <w:rPr>
          <w:rFonts w:hint="eastAsia"/>
          <w:lang w:val="en-US"/>
        </w:rPr>
        <w:t>6</w:t>
      </w:r>
      <w:r>
        <w:rPr>
          <w:rFonts w:hint="eastAsia"/>
        </w:rPr>
        <w:t>.</w:t>
      </w:r>
      <w:r>
        <w:rPr>
          <w:rFonts w:hint="eastAsia"/>
          <w:lang w:val="en-US"/>
        </w:rPr>
        <w:t>3</w:t>
      </w:r>
      <w:r>
        <w:rPr>
          <w:rFonts w:hint="eastAsia"/>
        </w:rPr>
        <w:t xml:space="preserve"> 投影域正弦图去噪结果分析</w:t>
      </w:r>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02E72FCA">
      <w:pPr>
        <w:widowControl/>
        <w:jc w:val="left"/>
        <w:rPr>
          <w:rFonts w:hint="eastAsia" w:ascii="宋体" w:hAnsi="宋体" w:cs="宋体"/>
          <w:color w:val="000000"/>
          <w:szCs w:val="24"/>
        </w:rPr>
      </w:pPr>
      <w:r>
        <w:rPr>
          <w:rFonts w:hint="eastAsia" w:ascii="宋体" w:hAnsi="宋体" w:cs="宋体"/>
          <w:color w:val="000000"/>
          <w:kern w:val="0"/>
          <w:szCs w:val="24"/>
          <w:lang w:bidi="ar"/>
        </w:rPr>
        <w:t>从投影域预处理效果进行分析，原始低剂量 CT 投影正弦图受光子数量不足影响，布满杂乱随机噪声，正弦曲线轨迹模糊不清，严重干扰后续重建运算。传统滤波算法在去除噪声的同时，极易破坏正弦图固有曲线形态，造成投影角度信息丢失、组织对应轨迹发生偏移，容易引入新的投影畸变。</w:t>
      </w:r>
    </w:p>
    <w:p w14:paraId="7A2118F8">
      <w:pPr>
        <w:widowControl/>
        <w:jc w:val="left"/>
        <w:rPr>
          <w:rFonts w:hint="eastAsia" w:ascii="宋体" w:hAnsi="宋体" w:cs="宋体"/>
          <w:color w:val="000000"/>
          <w:szCs w:val="24"/>
        </w:rPr>
      </w:pPr>
      <w:r>
        <w:rPr>
          <w:rFonts w:hint="eastAsia" w:ascii="宋体" w:hAnsi="宋体" w:cs="宋体"/>
          <w:color w:val="000000"/>
          <w:kern w:val="0"/>
          <w:szCs w:val="24"/>
          <w:lang w:bidi="ar"/>
        </w:rPr>
        <w:t>常规监督深度学习算法依赖大量配对标注数据，在标注数据不足的场景下去噪效果受限，噪声去除不彻底。而本文所设计的自监督去噪模型，能够精准区分投影域内无用噪声特征与人体组织结构有效特征，在大幅度滤除泊松 - 高斯混合噪声的同时，完整保留正弦图整体走势、峰值位置与角度关联信息，不存在过度平滑与结构畸变问题。</w:t>
      </w:r>
    </w:p>
    <w:p w14:paraId="020D920C">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从定量指标数据可以清晰看出，本文算法处理后的投影数据，噪声抑制率、信号保真度两项核心指标均显著优于所有对比算法，投影域预处理效果优势突出，能够为后续图像重建提供高质量纯净原始数据。</w:t>
      </w:r>
    </w:p>
    <w:p w14:paraId="1FF28B2B">
      <w:pPr>
        <w:widowControl/>
        <w:ind w:firstLine="482"/>
        <w:jc w:val="left"/>
        <w:rPr>
          <w:rFonts w:hint="eastAsia" w:ascii="宋体" w:hAnsi="宋体" w:cs="宋体"/>
          <w:color w:val="000000"/>
          <w:kern w:val="0"/>
          <w:szCs w:val="24"/>
          <w:lang w:bidi="ar"/>
        </w:rPr>
      </w:pPr>
      <w:r>
        <w:rPr>
          <w:rFonts w:hint="eastAsia" w:ascii="宋体" w:hAnsi="宋体" w:cs="宋体"/>
          <w:b w:val="0"/>
          <w:bCs w:val="0"/>
          <w:color w:val="1F2329"/>
          <w:szCs w:val="24"/>
          <w:shd w:val="clear" w:color="auto" w:fill="FFFFFF"/>
          <w:lang w:val="en-US" w:eastAsia="zh-CN"/>
        </w:rPr>
        <w:t>如</w:t>
      </w:r>
      <w:r>
        <w:rPr>
          <w:rFonts w:hint="eastAsia" w:ascii="宋体" w:hAnsi="宋体" w:cs="宋体"/>
          <w:b w:val="0"/>
          <w:bCs w:val="0"/>
          <w:color w:val="1F2329"/>
          <w:szCs w:val="24"/>
          <w:shd w:val="clear" w:color="auto" w:fill="FFFFFF"/>
          <w:lang w:val="en-US" w:eastAsia="zh-CN"/>
        </w:rPr>
        <w:fldChar w:fldCharType="begin"/>
      </w:r>
      <w:r>
        <w:rPr>
          <w:b w:val="0"/>
          <w:bCs w:val="0"/>
        </w:rPr>
        <w:instrText xml:space="preserve"> REF _Ref20901 \h  \* MERGEFORMAT</w:instrText>
      </w:r>
      <w:r>
        <w:rPr>
          <w:rFonts w:hint="eastAsia" w:ascii="宋体" w:hAnsi="宋体" w:cs="宋体"/>
          <w:b w:val="0"/>
          <w:bCs w:val="0"/>
          <w:color w:val="1F2329"/>
          <w:szCs w:val="24"/>
          <w:shd w:val="clear" w:color="auto" w:fill="FFFFFF"/>
          <w:lang w:val="en-US" w:eastAsia="zh-CN"/>
        </w:rPr>
        <w:fldChar w:fldCharType="separate"/>
      </w:r>
      <w:r>
        <w:rPr>
          <w:rFonts w:hint="eastAsia" w:ascii="宋体" w:hAnsi="宋体" w:eastAsia="宋体" w:cs="宋体"/>
          <w:b w:val="0"/>
          <w:bCs w:val="0"/>
          <w:sz w:val="21"/>
          <w:szCs w:val="21"/>
        </w:rPr>
        <w:t>表6- 1</w:t>
      </w:r>
      <w:r>
        <w:rPr>
          <w:rFonts w:hint="eastAsia" w:ascii="宋体" w:hAnsi="宋体" w:cs="宋体"/>
          <w:b w:val="0"/>
          <w:bCs w:val="0"/>
          <w:color w:val="1F2329"/>
          <w:szCs w:val="24"/>
          <w:shd w:val="clear" w:color="auto" w:fill="FFFFFF"/>
          <w:lang w:val="en-US" w:eastAsia="zh-CN"/>
        </w:rPr>
        <w:fldChar w:fldCharType="end"/>
      </w:r>
      <w:r>
        <w:rPr>
          <w:rFonts w:hint="eastAsia" w:ascii="宋体" w:hAnsi="宋体" w:cs="宋体"/>
          <w:b w:val="0"/>
          <w:bCs w:val="0"/>
          <w:color w:val="1F2329"/>
          <w:szCs w:val="24"/>
          <w:shd w:val="clear" w:color="auto" w:fill="FFFFFF"/>
          <w:lang w:val="en-US" w:eastAsia="zh-CN"/>
        </w:rPr>
        <w:t>显示</w:t>
      </w:r>
      <w:r>
        <w:rPr>
          <w:rFonts w:hint="eastAsia" w:ascii="宋体" w:hAnsi="宋体" w:cs="宋体"/>
          <w:b w:val="0"/>
          <w:bCs w:val="0"/>
          <w:color w:val="1F2329"/>
          <w:szCs w:val="24"/>
          <w:shd w:val="clear" w:color="auto" w:fill="FFFFFF"/>
        </w:rPr>
        <w:t>各算法在低剂量 CT 重建任务上的指标对比</w:t>
      </w:r>
    </w:p>
    <w:tbl>
      <w:tblPr>
        <w:tblStyle w:val="31"/>
        <w:tblpPr w:leftFromText="180" w:rightFromText="180" w:vertAnchor="text" w:tblpXSpec="center" w:tblpY="1"/>
        <w:tblOverlap w:val="never"/>
        <w:tblW w:w="925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7"/>
        <w:gridCol w:w="1612"/>
        <w:gridCol w:w="852"/>
        <w:gridCol w:w="2218"/>
        <w:gridCol w:w="2218"/>
      </w:tblGrid>
      <w:tr w14:paraId="52AAC8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bottom w:val="single" w:color="auto" w:sz="4" w:space="0"/>
            </w:tcBorders>
            <w:tcMar>
              <w:top w:w="96" w:type="dxa"/>
              <w:left w:w="96" w:type="dxa"/>
              <w:bottom w:w="96" w:type="dxa"/>
              <w:right w:w="96" w:type="dxa"/>
            </w:tcMar>
            <w:vAlign w:val="center"/>
          </w:tcPr>
          <w:p w14:paraId="23B45FD4">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算法</w:t>
            </w:r>
          </w:p>
        </w:tc>
        <w:tc>
          <w:tcPr>
            <w:tcW w:w="0" w:type="auto"/>
            <w:tcBorders>
              <w:bottom w:val="single" w:color="auto" w:sz="4" w:space="0"/>
            </w:tcBorders>
            <w:tcMar>
              <w:top w:w="96" w:type="dxa"/>
              <w:left w:w="96" w:type="dxa"/>
              <w:bottom w:w="96" w:type="dxa"/>
              <w:right w:w="96" w:type="dxa"/>
            </w:tcMar>
            <w:vAlign w:val="center"/>
          </w:tcPr>
          <w:p w14:paraId="59CCFCB0">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PSNR (dB)</w:t>
            </w:r>
          </w:p>
        </w:tc>
        <w:tc>
          <w:tcPr>
            <w:tcW w:w="0" w:type="auto"/>
            <w:tcBorders>
              <w:bottom w:val="single" w:color="auto" w:sz="4" w:space="0"/>
            </w:tcBorders>
            <w:tcMar>
              <w:top w:w="96" w:type="dxa"/>
              <w:left w:w="96" w:type="dxa"/>
              <w:bottom w:w="96" w:type="dxa"/>
              <w:right w:w="96" w:type="dxa"/>
            </w:tcMar>
            <w:vAlign w:val="center"/>
          </w:tcPr>
          <w:p w14:paraId="2806E061">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SSIM</w:t>
            </w:r>
          </w:p>
        </w:tc>
        <w:tc>
          <w:tcPr>
            <w:tcW w:w="0" w:type="auto"/>
            <w:tcBorders>
              <w:bottom w:val="single" w:color="auto" w:sz="4" w:space="0"/>
            </w:tcBorders>
            <w:tcMar>
              <w:top w:w="96" w:type="dxa"/>
              <w:left w:w="96" w:type="dxa"/>
              <w:bottom w:w="96" w:type="dxa"/>
              <w:right w:w="96" w:type="dxa"/>
            </w:tcMar>
            <w:vAlign w:val="center"/>
          </w:tcPr>
          <w:p w14:paraId="2ADAA70E">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噪声抑制率(%)</w:t>
            </w:r>
          </w:p>
        </w:tc>
        <w:tc>
          <w:tcPr>
            <w:tcW w:w="2218" w:type="dxa"/>
            <w:tcBorders>
              <w:bottom w:val="single" w:color="auto" w:sz="4" w:space="0"/>
            </w:tcBorders>
            <w:tcMar>
              <w:top w:w="96" w:type="dxa"/>
              <w:left w:w="96" w:type="dxa"/>
              <w:bottom w:w="96" w:type="dxa"/>
              <w:right w:w="96" w:type="dxa"/>
            </w:tcMar>
            <w:vAlign w:val="center"/>
          </w:tcPr>
          <w:p w14:paraId="2147984F">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细节保留率(%)</w:t>
            </w:r>
          </w:p>
        </w:tc>
      </w:tr>
      <w:tr w14:paraId="1FC0EB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auto" w:sz="4" w:space="0"/>
              <w:tl2br w:val="nil"/>
              <w:tr2bl w:val="nil"/>
            </w:tcBorders>
            <w:tcMar>
              <w:top w:w="96" w:type="dxa"/>
              <w:left w:w="96" w:type="dxa"/>
              <w:bottom w:w="96" w:type="dxa"/>
              <w:right w:w="96" w:type="dxa"/>
            </w:tcMar>
            <w:vAlign w:val="center"/>
          </w:tcPr>
          <w:p w14:paraId="7CD97F27">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未去噪直接重建</w:t>
            </w:r>
          </w:p>
        </w:tc>
        <w:tc>
          <w:tcPr>
            <w:tcW w:w="0" w:type="auto"/>
            <w:tcBorders>
              <w:top w:val="single" w:color="auto" w:sz="4" w:space="0"/>
              <w:tl2br w:val="nil"/>
              <w:tr2bl w:val="nil"/>
            </w:tcBorders>
            <w:tcMar>
              <w:top w:w="96" w:type="dxa"/>
              <w:left w:w="96" w:type="dxa"/>
              <w:bottom w:w="96" w:type="dxa"/>
              <w:right w:w="96" w:type="dxa"/>
            </w:tcMar>
            <w:vAlign w:val="center"/>
          </w:tcPr>
          <w:p w14:paraId="3EEFFA06">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33.7</w:t>
            </w:r>
          </w:p>
        </w:tc>
        <w:tc>
          <w:tcPr>
            <w:tcW w:w="0" w:type="auto"/>
            <w:tcBorders>
              <w:top w:val="single" w:color="auto" w:sz="4" w:space="0"/>
              <w:tl2br w:val="nil"/>
              <w:tr2bl w:val="nil"/>
            </w:tcBorders>
            <w:tcMar>
              <w:top w:w="96" w:type="dxa"/>
              <w:left w:w="96" w:type="dxa"/>
              <w:bottom w:w="96" w:type="dxa"/>
              <w:right w:w="96" w:type="dxa"/>
            </w:tcMar>
            <w:vAlign w:val="center"/>
          </w:tcPr>
          <w:p w14:paraId="17577F97">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0.81</w:t>
            </w:r>
          </w:p>
        </w:tc>
        <w:tc>
          <w:tcPr>
            <w:tcW w:w="0" w:type="auto"/>
            <w:tcBorders>
              <w:top w:val="single" w:color="auto" w:sz="4" w:space="0"/>
              <w:tl2br w:val="nil"/>
              <w:tr2bl w:val="nil"/>
            </w:tcBorders>
            <w:tcMar>
              <w:top w:w="96" w:type="dxa"/>
              <w:left w:w="96" w:type="dxa"/>
              <w:bottom w:w="96" w:type="dxa"/>
              <w:right w:w="96" w:type="dxa"/>
            </w:tcMar>
            <w:vAlign w:val="center"/>
          </w:tcPr>
          <w:p w14:paraId="12C67B4E">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w:t>
            </w:r>
          </w:p>
        </w:tc>
        <w:tc>
          <w:tcPr>
            <w:tcW w:w="2218" w:type="dxa"/>
            <w:tcBorders>
              <w:top w:val="single" w:color="auto" w:sz="4" w:space="0"/>
              <w:tl2br w:val="nil"/>
              <w:tr2bl w:val="nil"/>
            </w:tcBorders>
            <w:tcMar>
              <w:top w:w="96" w:type="dxa"/>
              <w:left w:w="96" w:type="dxa"/>
              <w:bottom w:w="96" w:type="dxa"/>
              <w:right w:w="96" w:type="dxa"/>
            </w:tcMar>
            <w:vAlign w:val="center"/>
          </w:tcPr>
          <w:p w14:paraId="637522B2">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65.2</w:t>
            </w:r>
          </w:p>
        </w:tc>
      </w:tr>
      <w:tr w14:paraId="04541C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l2br w:val="nil"/>
              <w:tr2bl w:val="nil"/>
            </w:tcBorders>
            <w:tcMar>
              <w:top w:w="96" w:type="dxa"/>
              <w:left w:w="96" w:type="dxa"/>
              <w:bottom w:w="96" w:type="dxa"/>
              <w:right w:w="96" w:type="dxa"/>
            </w:tcMar>
            <w:vAlign w:val="center"/>
          </w:tcPr>
          <w:p w14:paraId="47239302">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高斯滤波</w:t>
            </w:r>
          </w:p>
        </w:tc>
        <w:tc>
          <w:tcPr>
            <w:tcW w:w="0" w:type="auto"/>
            <w:tcBorders>
              <w:tl2br w:val="nil"/>
              <w:tr2bl w:val="nil"/>
            </w:tcBorders>
            <w:tcMar>
              <w:top w:w="96" w:type="dxa"/>
              <w:left w:w="96" w:type="dxa"/>
              <w:bottom w:w="96" w:type="dxa"/>
              <w:right w:w="96" w:type="dxa"/>
            </w:tcMar>
            <w:vAlign w:val="center"/>
          </w:tcPr>
          <w:p w14:paraId="3ACB84A6">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35.2</w:t>
            </w:r>
          </w:p>
        </w:tc>
        <w:tc>
          <w:tcPr>
            <w:tcW w:w="0" w:type="auto"/>
            <w:tcBorders>
              <w:tl2br w:val="nil"/>
              <w:tr2bl w:val="nil"/>
            </w:tcBorders>
            <w:tcMar>
              <w:top w:w="96" w:type="dxa"/>
              <w:left w:w="96" w:type="dxa"/>
              <w:bottom w:w="96" w:type="dxa"/>
              <w:right w:w="96" w:type="dxa"/>
            </w:tcMar>
            <w:vAlign w:val="center"/>
          </w:tcPr>
          <w:p w14:paraId="2CACB4BD">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0.84</w:t>
            </w:r>
          </w:p>
        </w:tc>
        <w:tc>
          <w:tcPr>
            <w:tcW w:w="0" w:type="auto"/>
            <w:tcBorders>
              <w:tl2br w:val="nil"/>
              <w:tr2bl w:val="nil"/>
            </w:tcBorders>
            <w:tcMar>
              <w:top w:w="96" w:type="dxa"/>
              <w:left w:w="96" w:type="dxa"/>
              <w:bottom w:w="96" w:type="dxa"/>
              <w:right w:w="96" w:type="dxa"/>
            </w:tcMar>
            <w:vAlign w:val="center"/>
          </w:tcPr>
          <w:p w14:paraId="789E87BB">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58.6</w:t>
            </w:r>
          </w:p>
        </w:tc>
        <w:tc>
          <w:tcPr>
            <w:tcW w:w="2218" w:type="dxa"/>
            <w:tcBorders>
              <w:tl2br w:val="nil"/>
              <w:tr2bl w:val="nil"/>
            </w:tcBorders>
            <w:tcMar>
              <w:top w:w="96" w:type="dxa"/>
              <w:left w:w="96" w:type="dxa"/>
              <w:bottom w:w="96" w:type="dxa"/>
              <w:right w:w="96" w:type="dxa"/>
            </w:tcMar>
            <w:vAlign w:val="center"/>
          </w:tcPr>
          <w:p w14:paraId="74C9FF4D">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71.3</w:t>
            </w:r>
          </w:p>
        </w:tc>
      </w:tr>
      <w:tr w14:paraId="7135A1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l2br w:val="nil"/>
              <w:tr2bl w:val="nil"/>
            </w:tcBorders>
            <w:tcMar>
              <w:top w:w="96" w:type="dxa"/>
              <w:left w:w="96" w:type="dxa"/>
              <w:bottom w:w="96" w:type="dxa"/>
              <w:right w:w="96" w:type="dxa"/>
            </w:tcMar>
            <w:vAlign w:val="center"/>
          </w:tcPr>
          <w:p w14:paraId="29CC4653">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BM3D</w:t>
            </w:r>
          </w:p>
        </w:tc>
        <w:tc>
          <w:tcPr>
            <w:tcW w:w="0" w:type="auto"/>
            <w:tcBorders>
              <w:tl2br w:val="nil"/>
              <w:tr2bl w:val="nil"/>
            </w:tcBorders>
            <w:tcMar>
              <w:top w:w="96" w:type="dxa"/>
              <w:left w:w="96" w:type="dxa"/>
              <w:bottom w:w="96" w:type="dxa"/>
              <w:right w:w="96" w:type="dxa"/>
            </w:tcMar>
            <w:vAlign w:val="center"/>
          </w:tcPr>
          <w:p w14:paraId="1CB2A2CA">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36.9</w:t>
            </w:r>
          </w:p>
        </w:tc>
        <w:tc>
          <w:tcPr>
            <w:tcW w:w="0" w:type="auto"/>
            <w:tcBorders>
              <w:tl2br w:val="nil"/>
              <w:tr2bl w:val="nil"/>
            </w:tcBorders>
            <w:tcMar>
              <w:top w:w="96" w:type="dxa"/>
              <w:left w:w="96" w:type="dxa"/>
              <w:bottom w:w="96" w:type="dxa"/>
              <w:right w:w="96" w:type="dxa"/>
            </w:tcMar>
            <w:vAlign w:val="center"/>
          </w:tcPr>
          <w:p w14:paraId="0C1BE18C">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0.87</w:t>
            </w:r>
          </w:p>
        </w:tc>
        <w:tc>
          <w:tcPr>
            <w:tcW w:w="0" w:type="auto"/>
            <w:tcBorders>
              <w:tl2br w:val="nil"/>
              <w:tr2bl w:val="nil"/>
            </w:tcBorders>
            <w:tcMar>
              <w:top w:w="96" w:type="dxa"/>
              <w:left w:w="96" w:type="dxa"/>
              <w:bottom w:w="96" w:type="dxa"/>
              <w:right w:w="96" w:type="dxa"/>
            </w:tcMar>
            <w:vAlign w:val="center"/>
          </w:tcPr>
          <w:p w14:paraId="24A87A3F">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65.1</w:t>
            </w:r>
          </w:p>
        </w:tc>
        <w:tc>
          <w:tcPr>
            <w:tcW w:w="2218" w:type="dxa"/>
            <w:tcBorders>
              <w:tl2br w:val="nil"/>
              <w:tr2bl w:val="nil"/>
            </w:tcBorders>
            <w:tcMar>
              <w:top w:w="96" w:type="dxa"/>
              <w:left w:w="96" w:type="dxa"/>
              <w:bottom w:w="96" w:type="dxa"/>
              <w:right w:w="96" w:type="dxa"/>
            </w:tcMar>
            <w:vAlign w:val="center"/>
          </w:tcPr>
          <w:p w14:paraId="6E669A2D">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76.8</w:t>
            </w:r>
          </w:p>
        </w:tc>
      </w:tr>
      <w:tr w14:paraId="4844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l2br w:val="nil"/>
              <w:tr2bl w:val="nil"/>
            </w:tcBorders>
            <w:tcMar>
              <w:top w:w="96" w:type="dxa"/>
              <w:left w:w="96" w:type="dxa"/>
              <w:bottom w:w="96" w:type="dxa"/>
              <w:right w:w="96" w:type="dxa"/>
            </w:tcMar>
            <w:vAlign w:val="center"/>
          </w:tcPr>
          <w:p w14:paraId="3186DCA2">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RED-CNN</w:t>
            </w:r>
          </w:p>
        </w:tc>
        <w:tc>
          <w:tcPr>
            <w:tcW w:w="0" w:type="auto"/>
            <w:tcBorders>
              <w:tl2br w:val="nil"/>
              <w:tr2bl w:val="nil"/>
            </w:tcBorders>
            <w:tcMar>
              <w:top w:w="96" w:type="dxa"/>
              <w:left w:w="96" w:type="dxa"/>
              <w:bottom w:w="96" w:type="dxa"/>
              <w:right w:w="96" w:type="dxa"/>
            </w:tcMar>
            <w:vAlign w:val="center"/>
          </w:tcPr>
          <w:p w14:paraId="1DCAF46B">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38.5</w:t>
            </w:r>
          </w:p>
        </w:tc>
        <w:tc>
          <w:tcPr>
            <w:tcW w:w="0" w:type="auto"/>
            <w:tcBorders>
              <w:tl2br w:val="nil"/>
              <w:tr2bl w:val="nil"/>
            </w:tcBorders>
            <w:tcMar>
              <w:top w:w="96" w:type="dxa"/>
              <w:left w:w="96" w:type="dxa"/>
              <w:bottom w:w="96" w:type="dxa"/>
              <w:right w:w="96" w:type="dxa"/>
            </w:tcMar>
            <w:vAlign w:val="center"/>
          </w:tcPr>
          <w:p w14:paraId="0E0F5DE1">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0.90</w:t>
            </w:r>
          </w:p>
        </w:tc>
        <w:tc>
          <w:tcPr>
            <w:tcW w:w="0" w:type="auto"/>
            <w:tcBorders>
              <w:tl2br w:val="nil"/>
              <w:tr2bl w:val="nil"/>
            </w:tcBorders>
            <w:tcMar>
              <w:top w:w="96" w:type="dxa"/>
              <w:left w:w="96" w:type="dxa"/>
              <w:bottom w:w="96" w:type="dxa"/>
              <w:right w:w="96" w:type="dxa"/>
            </w:tcMar>
            <w:vAlign w:val="center"/>
          </w:tcPr>
          <w:p w14:paraId="7E912C45">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72.4</w:t>
            </w:r>
          </w:p>
        </w:tc>
        <w:tc>
          <w:tcPr>
            <w:tcW w:w="2218" w:type="dxa"/>
            <w:tcBorders>
              <w:tl2br w:val="nil"/>
              <w:tr2bl w:val="nil"/>
            </w:tcBorders>
            <w:tcMar>
              <w:top w:w="96" w:type="dxa"/>
              <w:left w:w="96" w:type="dxa"/>
              <w:bottom w:w="96" w:type="dxa"/>
              <w:right w:w="96" w:type="dxa"/>
            </w:tcMar>
            <w:vAlign w:val="center"/>
          </w:tcPr>
          <w:p w14:paraId="225C415D">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82.5</w:t>
            </w:r>
          </w:p>
        </w:tc>
      </w:tr>
      <w:tr w14:paraId="36A596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2357" w:type="dxa"/>
            <w:tcBorders>
              <w:tl2br w:val="nil"/>
              <w:tr2bl w:val="nil"/>
            </w:tcBorders>
            <w:tcMar>
              <w:top w:w="96" w:type="dxa"/>
              <w:left w:w="96" w:type="dxa"/>
              <w:bottom w:w="96" w:type="dxa"/>
              <w:right w:w="96" w:type="dxa"/>
            </w:tcMar>
            <w:vAlign w:val="center"/>
          </w:tcPr>
          <w:p w14:paraId="7F8A032D">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本文算法</w:t>
            </w:r>
          </w:p>
        </w:tc>
        <w:tc>
          <w:tcPr>
            <w:tcW w:w="1612" w:type="dxa"/>
            <w:tcBorders>
              <w:tl2br w:val="nil"/>
              <w:tr2bl w:val="nil"/>
            </w:tcBorders>
            <w:tcMar>
              <w:top w:w="96" w:type="dxa"/>
              <w:left w:w="96" w:type="dxa"/>
              <w:bottom w:w="96" w:type="dxa"/>
              <w:right w:w="96" w:type="dxa"/>
            </w:tcMar>
            <w:vAlign w:val="center"/>
          </w:tcPr>
          <w:p w14:paraId="6CA8E37C">
            <w:pPr>
              <w:widowControl/>
              <w:snapToGrid w:val="0"/>
              <w:spacing w:line="240" w:lineRule="auto"/>
              <w:ind w:left="0" w:leftChars="0" w:right="0" w:rightChars="0" w:firstLine="0" w:firstLineChars="0"/>
              <w:jc w:val="left"/>
              <w:rPr>
                <w:rFonts w:ascii="宋体" w:eastAsia="宋体"/>
                <w:sz w:val="24"/>
              </w:rPr>
            </w:pPr>
            <w:r>
              <w:rPr>
                <w:rStyle w:val="34"/>
                <w:rFonts w:ascii="宋体" w:hAnsi="宋体" w:eastAsia="宋体" w:cs="宋体"/>
                <w:kern w:val="0"/>
                <w:sz w:val="24"/>
                <w:szCs w:val="24"/>
                <w:lang w:bidi="ar"/>
              </w:rPr>
              <w:t>41.2</w:t>
            </w:r>
          </w:p>
        </w:tc>
        <w:tc>
          <w:tcPr>
            <w:tcW w:w="852" w:type="dxa"/>
            <w:tcBorders>
              <w:tl2br w:val="nil"/>
              <w:tr2bl w:val="nil"/>
            </w:tcBorders>
            <w:tcMar>
              <w:top w:w="96" w:type="dxa"/>
              <w:left w:w="96" w:type="dxa"/>
              <w:bottom w:w="96" w:type="dxa"/>
              <w:right w:w="96" w:type="dxa"/>
            </w:tcMar>
            <w:vAlign w:val="center"/>
          </w:tcPr>
          <w:p w14:paraId="262BFBEB">
            <w:pPr>
              <w:widowControl/>
              <w:snapToGrid w:val="0"/>
              <w:spacing w:line="240" w:lineRule="auto"/>
              <w:ind w:left="0" w:leftChars="0" w:right="0" w:rightChars="0" w:firstLine="0" w:firstLineChars="0"/>
              <w:jc w:val="right"/>
              <w:rPr>
                <w:rFonts w:ascii="宋体" w:eastAsia="宋体"/>
                <w:sz w:val="24"/>
              </w:rPr>
            </w:pPr>
            <w:r>
              <w:rPr>
                <w:rStyle w:val="34"/>
                <w:rFonts w:ascii="宋体" w:hAnsi="宋体" w:eastAsia="宋体" w:cs="宋体"/>
                <w:kern w:val="0"/>
                <w:sz w:val="24"/>
                <w:szCs w:val="24"/>
                <w:lang w:bidi="ar"/>
              </w:rPr>
              <w:t>0.94</w:t>
            </w:r>
          </w:p>
        </w:tc>
        <w:tc>
          <w:tcPr>
            <w:tcW w:w="2218" w:type="dxa"/>
            <w:tcBorders>
              <w:tl2br w:val="nil"/>
              <w:tr2bl w:val="nil"/>
            </w:tcBorders>
            <w:tcMar>
              <w:top w:w="96" w:type="dxa"/>
              <w:left w:w="96" w:type="dxa"/>
              <w:bottom w:w="96" w:type="dxa"/>
              <w:right w:w="96" w:type="dxa"/>
            </w:tcMar>
            <w:vAlign w:val="center"/>
          </w:tcPr>
          <w:p w14:paraId="006C2132">
            <w:pPr>
              <w:widowControl/>
              <w:snapToGrid w:val="0"/>
              <w:spacing w:line="240" w:lineRule="auto"/>
              <w:ind w:left="0" w:leftChars="0" w:right="0" w:rightChars="0" w:firstLine="0" w:firstLineChars="0"/>
              <w:jc w:val="right"/>
              <w:rPr>
                <w:rFonts w:ascii="宋体" w:eastAsia="宋体"/>
                <w:sz w:val="24"/>
              </w:rPr>
            </w:pPr>
            <w:r>
              <w:rPr>
                <w:rStyle w:val="34"/>
                <w:rFonts w:ascii="宋体" w:hAnsi="宋体" w:eastAsia="宋体" w:cs="宋体"/>
                <w:kern w:val="0"/>
                <w:sz w:val="24"/>
                <w:szCs w:val="24"/>
                <w:lang w:bidi="ar"/>
              </w:rPr>
              <w:t>82.3</w:t>
            </w:r>
          </w:p>
        </w:tc>
        <w:tc>
          <w:tcPr>
            <w:tcW w:w="2218" w:type="dxa"/>
            <w:tcBorders>
              <w:tl2br w:val="nil"/>
              <w:tr2bl w:val="nil"/>
            </w:tcBorders>
            <w:tcMar>
              <w:top w:w="96" w:type="dxa"/>
              <w:left w:w="96" w:type="dxa"/>
              <w:bottom w:w="96" w:type="dxa"/>
              <w:right w:w="96" w:type="dxa"/>
            </w:tcMar>
            <w:vAlign w:val="center"/>
          </w:tcPr>
          <w:p w14:paraId="4F421ED4">
            <w:pPr>
              <w:widowControl/>
              <w:snapToGrid w:val="0"/>
              <w:spacing w:line="240" w:lineRule="auto"/>
              <w:ind w:left="0" w:leftChars="0" w:right="0" w:rightChars="0" w:firstLine="0" w:firstLineChars="0"/>
              <w:jc w:val="right"/>
              <w:rPr>
                <w:rFonts w:ascii="宋体" w:eastAsia="宋体"/>
                <w:sz w:val="24"/>
              </w:rPr>
            </w:pPr>
            <w:r>
              <w:rPr>
                <w:rStyle w:val="34"/>
                <w:rFonts w:ascii="宋体" w:hAnsi="宋体" w:eastAsia="宋体" w:cs="宋体"/>
                <w:kern w:val="0"/>
                <w:sz w:val="24"/>
                <w:szCs w:val="24"/>
                <w:lang w:bidi="ar"/>
              </w:rPr>
              <w:t>89.7</w:t>
            </w:r>
          </w:p>
        </w:tc>
      </w:tr>
    </w:tbl>
    <w:p w14:paraId="4630B9F2">
      <w:pPr>
        <w:pStyle w:val="6"/>
        <w:framePr w:hSpace="180" w:wrap="around" w:vAnchor="text" w:hAnchor="text" w:xAlign="center" w:y="1"/>
        <w:bidi w:val="0"/>
        <w:rPr>
          <w:rFonts w:hint="eastAsia" w:ascii="宋体" w:hAnsi="宋体" w:eastAsia="宋体" w:cs="宋体"/>
          <w:b/>
          <w:bCs/>
          <w:sz w:val="21"/>
          <w:szCs w:val="21"/>
          <w:lang w:val="en-US"/>
        </w:rPr>
      </w:pPr>
      <w:bookmarkStart w:id="648" w:name="_Ref20901"/>
      <w:bookmarkStart w:id="649" w:name="_Toc6823"/>
      <w:bookmarkStart w:id="650" w:name="_Toc11013"/>
      <w:bookmarkStart w:id="651" w:name="_Toc5809"/>
      <w:bookmarkStart w:id="652" w:name="_Toc32723"/>
      <w:bookmarkStart w:id="653" w:name="_Toc10668"/>
      <w:bookmarkStart w:id="654" w:name="_Toc18890"/>
      <w:bookmarkStart w:id="655" w:name="_Toc8569"/>
      <w:bookmarkStart w:id="656" w:name="_Toc7714"/>
      <w:bookmarkStart w:id="657" w:name="_Toc2518"/>
      <w:bookmarkStart w:id="658" w:name="_Toc17560"/>
      <w:bookmarkStart w:id="659" w:name="_Toc12080"/>
      <w:bookmarkStart w:id="660" w:name="_Toc14396"/>
      <w:bookmarkStart w:id="661" w:name="_Toc6327"/>
      <w:r>
        <w:rPr>
          <w:rFonts w:hint="eastAsia" w:ascii="宋体" w:hAnsi="宋体" w:eastAsia="宋体" w:cs="宋体"/>
          <w:b/>
          <w:bCs/>
          <w:sz w:val="21"/>
          <w:szCs w:val="21"/>
        </w:rPr>
        <w:t xml:space="preserve">表6-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表6-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648"/>
      <w:r>
        <w:rPr>
          <w:rFonts w:hint="eastAsia" w:ascii="宋体" w:hAnsi="宋体" w:eastAsia="宋体" w:cs="宋体"/>
          <w:b/>
          <w:bCs/>
          <w:sz w:val="21"/>
          <w:szCs w:val="21"/>
          <w:lang w:eastAsia="zh-CN"/>
        </w:rPr>
        <w:t>各算法在低剂量 CT 重建任务上的指标对比</w:t>
      </w:r>
    </w:p>
    <w:p w14:paraId="01E5F63D">
      <w:pPr>
        <w:pStyle w:val="3"/>
        <w:bidi w:val="0"/>
      </w:pPr>
      <w:bookmarkStart w:id="662" w:name="_Toc19946"/>
      <w:bookmarkStart w:id="663" w:name="_Toc221"/>
      <w:r>
        <w:rPr>
          <w:rFonts w:hint="eastAsia"/>
          <w:lang w:val="en-US"/>
        </w:rPr>
        <w:t>6</w:t>
      </w:r>
      <w:r>
        <w:rPr>
          <w:rFonts w:hint="eastAsia"/>
        </w:rPr>
        <w:t>.</w:t>
      </w:r>
      <w:r>
        <w:rPr>
          <w:rFonts w:hint="eastAsia"/>
          <w:lang w:val="en-US"/>
        </w:rPr>
        <w:t>4</w:t>
      </w:r>
      <w:r>
        <w:rPr>
          <w:rFonts w:hint="eastAsia"/>
        </w:rPr>
        <w:t>CT 图像域重建结果对比分析</w:t>
      </w:r>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14:paraId="6E242500">
      <w:pPr>
        <w:widowControl/>
        <w:jc w:val="left"/>
        <w:rPr>
          <w:rFonts w:hint="eastAsia" w:ascii="宋体" w:hAnsi="宋体" w:cs="宋体"/>
          <w:color w:val="000000"/>
          <w:szCs w:val="24"/>
        </w:rPr>
      </w:pPr>
      <w:r>
        <w:rPr>
          <w:rFonts w:hint="eastAsia" w:ascii="宋体" w:hAnsi="宋体" w:cs="宋体"/>
          <w:color w:val="000000"/>
          <w:kern w:val="0"/>
          <w:szCs w:val="24"/>
          <w:lang w:bidi="ar"/>
        </w:rPr>
        <w:t>将经过不同算法预处理后的投影数据，代入统一 ADMM-TV 高质量迭代重建算法完成断层图像重建，从视觉效果与量化指标双维度展开分析。</w:t>
      </w:r>
    </w:p>
    <w:p w14:paraId="7BAC5C99">
      <w:pPr>
        <w:widowControl/>
        <w:jc w:val="left"/>
        <w:rPr>
          <w:rFonts w:hint="eastAsia" w:ascii="宋体" w:hAnsi="宋体" w:cs="宋体"/>
          <w:color w:val="000000"/>
          <w:szCs w:val="24"/>
        </w:rPr>
      </w:pPr>
      <w:r>
        <w:rPr>
          <w:rFonts w:hint="eastAsia" w:ascii="宋体" w:hAnsi="宋体" w:cs="宋体"/>
          <w:color w:val="000000"/>
          <w:kern w:val="0"/>
          <w:szCs w:val="24"/>
          <w:lang w:bidi="ar"/>
        </w:rPr>
        <w:t>视觉层面可以明显看出，未经过任何去噪处理直接重建的低剂量 CT 图像，画面布满颗粒噪声，存在大面积条纹伪影与块状伪影，人体组织边缘模糊，肺部细小血管、微小结节等弱特征完全被噪声覆盖，基本无法满足临床诊断需求。传统滤波算法预处理后重建图像，噪声虽有减少，但图像整体过于模糊，大量细微解剖结构丢失，出现边缘虚化问题。</w:t>
      </w:r>
    </w:p>
    <w:p w14:paraId="1E694435">
      <w:pPr>
        <w:widowControl/>
        <w:jc w:val="left"/>
        <w:rPr>
          <w:rFonts w:hint="eastAsia" w:ascii="宋体" w:hAnsi="宋体" w:cs="宋体"/>
          <w:color w:val="000000"/>
          <w:szCs w:val="24"/>
        </w:rPr>
      </w:pPr>
      <w:r>
        <w:rPr>
          <w:rFonts w:hint="eastAsia" w:ascii="宋体" w:hAnsi="宋体" w:cs="宋体"/>
          <w:color w:val="000000"/>
          <w:kern w:val="0"/>
          <w:szCs w:val="24"/>
          <w:lang w:bidi="ar"/>
        </w:rPr>
        <w:t>常规深度学习算法重建图像噪声控制一般，依旧存在少量残留伪影。本文算法预处理后重建得到的 CT 图像，整体画面干净自然，颗粒噪声与各类重建伪影得到有效抑制，人体软组织层次分明，肺部末梢血管、微小病灶边缘清晰完整，整体视觉成像效果无限接近标准高剂量 CT 图像，视觉体验最佳。</w:t>
      </w:r>
    </w:p>
    <w:p w14:paraId="476A6B03">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量化指标数据进一步证实，本文算法重建图像的 PSNR、SSIM、CNR、MTF 等各项评价数值均达到最优水平，相比传统算法与普通深度学习算法实现明显提升，充分证明该方案在低剂量 CT 成像场景下具备极强的实用性。</w:t>
      </w:r>
    </w:p>
    <w:p w14:paraId="5898300C">
      <w:pPr>
        <w:widowControl/>
        <w:jc w:val="left"/>
      </w:pPr>
      <w:r>
        <w:drawing>
          <wp:inline distT="0" distB="0" distL="114300" distR="114300">
            <wp:extent cx="5757545" cy="25069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757545" cy="2506980"/>
                    </a:xfrm>
                    <a:prstGeom prst="rect">
                      <a:avLst/>
                    </a:prstGeom>
                    <a:noFill/>
                    <a:ln>
                      <a:noFill/>
                    </a:ln>
                  </pic:spPr>
                </pic:pic>
              </a:graphicData>
            </a:graphic>
          </wp:inline>
        </w:drawing>
      </w:r>
    </w:p>
    <w:p w14:paraId="5B7080BA">
      <w:pPr>
        <w:pStyle w:val="6"/>
        <w:widowControl/>
        <w:jc w:val="center"/>
      </w:pPr>
      <w:r>
        <w:rPr>
          <w:rFonts w:hint="eastAsia" w:ascii="宋体" w:hAnsi="宋体" w:eastAsia="宋体" w:cs="宋体"/>
          <w:b/>
          <w:bCs/>
          <w:sz w:val="21"/>
          <w:szCs w:val="21"/>
        </w:rPr>
        <w:t xml:space="preserve">图6-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图6-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基于Mayo数据集的腹部CT图像可视化去噪效果</w:t>
      </w:r>
    </w:p>
    <w:p w14:paraId="06074268">
      <w:pPr>
        <w:widowControl/>
        <w:jc w:val="center"/>
      </w:pPr>
      <w:r>
        <w:drawing>
          <wp:inline distT="0" distB="0" distL="114300" distR="114300">
            <wp:extent cx="5758815" cy="2586990"/>
            <wp:effectExtent l="0" t="0" r="190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758815" cy="2586990"/>
                    </a:xfrm>
                    <a:prstGeom prst="rect">
                      <a:avLst/>
                    </a:prstGeom>
                    <a:noFill/>
                    <a:ln>
                      <a:noFill/>
                    </a:ln>
                  </pic:spPr>
                </pic:pic>
              </a:graphicData>
            </a:graphic>
          </wp:inline>
        </w:drawing>
      </w:r>
    </w:p>
    <w:p w14:paraId="5F8B334C">
      <w:pPr>
        <w:pStyle w:val="6"/>
        <w:widowControl/>
        <w:jc w:val="center"/>
        <w:rPr>
          <w:rFonts w:hint="eastAsia" w:ascii="宋体" w:hAnsi="宋体" w:cs="宋体"/>
          <w:szCs w:val="24"/>
        </w:rPr>
      </w:pPr>
      <w:r>
        <w:rPr>
          <w:rFonts w:hint="eastAsia" w:ascii="宋体" w:hAnsi="宋体" w:eastAsia="宋体" w:cs="宋体"/>
          <w:b/>
          <w:bCs/>
          <w:sz w:val="21"/>
          <w:szCs w:val="21"/>
        </w:rPr>
        <w:t xml:space="preserve">图6-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图6-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3</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基于LDCT-PD数据集的胸部CT图像可视化去噪效果</w:t>
      </w:r>
    </w:p>
    <w:p w14:paraId="7A3BC831">
      <w:pPr>
        <w:widowControl/>
        <w:jc w:val="center"/>
      </w:pPr>
      <w:r>
        <w:drawing>
          <wp:inline distT="0" distB="0" distL="114300" distR="114300">
            <wp:extent cx="5754370" cy="2368550"/>
            <wp:effectExtent l="0" t="0" r="635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754370" cy="2368550"/>
                    </a:xfrm>
                    <a:prstGeom prst="rect">
                      <a:avLst/>
                    </a:prstGeom>
                    <a:noFill/>
                    <a:ln>
                      <a:noFill/>
                    </a:ln>
                  </pic:spPr>
                </pic:pic>
              </a:graphicData>
            </a:graphic>
          </wp:inline>
        </w:drawing>
      </w:r>
    </w:p>
    <w:p w14:paraId="3CC2E36A">
      <w:pPr>
        <w:pStyle w:val="6"/>
        <w:widowControl/>
        <w:jc w:val="center"/>
        <w:rPr>
          <w:rFonts w:hint="eastAsia" w:ascii="宋体" w:hAnsi="宋体" w:eastAsia="宋体" w:cs="宋体"/>
          <w:b/>
          <w:bCs/>
          <w:sz w:val="21"/>
          <w:szCs w:val="21"/>
          <w:lang w:eastAsia="zh-CN"/>
        </w:rPr>
      </w:pPr>
      <w:r>
        <w:rPr>
          <w:rFonts w:hint="eastAsia" w:ascii="宋体" w:hAnsi="宋体" w:eastAsia="宋体" w:cs="宋体"/>
          <w:b/>
          <w:bCs/>
          <w:sz w:val="21"/>
          <w:szCs w:val="21"/>
        </w:rPr>
        <w:t xml:space="preserve">图6-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图6-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4</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胸部CT局部放大区域去噪效果</w:t>
      </w:r>
    </w:p>
    <w:p w14:paraId="627BFAFB">
      <w:pPr>
        <w:widowControl/>
        <w:jc w:val="center"/>
      </w:pPr>
    </w:p>
    <w:p w14:paraId="495860B3">
      <w:pPr>
        <w:pStyle w:val="3"/>
      </w:pPr>
      <w:bookmarkStart w:id="664" w:name="_Toc22673"/>
      <w:bookmarkStart w:id="665" w:name="_Toc13509"/>
      <w:bookmarkStart w:id="666" w:name="_Toc2640"/>
      <w:bookmarkStart w:id="667" w:name="_Toc18302"/>
      <w:bookmarkStart w:id="668" w:name="_Toc26621"/>
      <w:bookmarkStart w:id="669" w:name="_Toc32028"/>
      <w:bookmarkStart w:id="670" w:name="_Toc20148"/>
      <w:bookmarkStart w:id="671" w:name="_Toc20523"/>
      <w:bookmarkStart w:id="672" w:name="_Toc17572"/>
      <w:bookmarkStart w:id="673" w:name="_Toc21033"/>
      <w:bookmarkStart w:id="674" w:name="_Toc21977"/>
      <w:bookmarkStart w:id="675" w:name="_Toc6410"/>
      <w:bookmarkStart w:id="676" w:name="_Toc28344"/>
      <w:bookmarkStart w:id="677" w:name="_Toc30631"/>
      <w:bookmarkStart w:id="678" w:name="_Toc22449"/>
      <w:r>
        <w:rPr>
          <w:rFonts w:hint="eastAsia"/>
          <w:lang w:val="en-US"/>
        </w:rPr>
        <w:t>6</w:t>
      </w:r>
      <w:r>
        <w:rPr>
          <w:rFonts w:hint="eastAsia"/>
        </w:rPr>
        <w:t>.</w:t>
      </w:r>
      <w:r>
        <w:rPr>
          <w:rFonts w:hint="eastAsia"/>
          <w:lang w:val="en-US"/>
        </w:rPr>
        <w:t>5</w:t>
      </w:r>
      <w:r>
        <w:rPr>
          <w:rFonts w:hint="eastAsia"/>
        </w:rPr>
        <w:t>网络结构消融实验分析</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14:paraId="5E8293FC">
      <w:pPr>
        <w:widowControl/>
        <w:jc w:val="left"/>
        <w:rPr>
          <w:rFonts w:hint="eastAsia" w:ascii="宋体" w:hAnsi="宋体" w:cs="宋体"/>
          <w:color w:val="000000"/>
          <w:szCs w:val="24"/>
        </w:rPr>
      </w:pPr>
      <w:r>
        <w:rPr>
          <w:rFonts w:hint="eastAsia" w:ascii="宋体" w:hAnsi="宋体" w:cs="宋体"/>
          <w:color w:val="000000"/>
          <w:kern w:val="0"/>
          <w:szCs w:val="24"/>
          <w:lang w:bidi="ar"/>
        </w:rPr>
        <w:t>为逐一验证本文网络中各个核心模块、训练策略以及损失函数组合的必要性与有效性，本研究设置多组消融对照实验，在固定实验环境与数据集的前提下，依次剔除网络内部核心组成部分，对比模型最终去噪重建性能变化。</w:t>
      </w:r>
    </w:p>
    <w:p w14:paraId="52740609">
      <w:pPr>
        <w:widowControl/>
        <w:jc w:val="left"/>
        <w:rPr>
          <w:rFonts w:hint="eastAsia" w:ascii="宋体" w:hAnsi="宋体" w:cs="宋体"/>
          <w:color w:val="000000"/>
          <w:szCs w:val="24"/>
        </w:rPr>
      </w:pPr>
      <w:r>
        <w:rPr>
          <w:rFonts w:hint="eastAsia" w:ascii="宋体" w:hAnsi="宋体" w:cs="宋体"/>
          <w:color w:val="000000"/>
          <w:kern w:val="0"/>
          <w:szCs w:val="24"/>
          <w:lang w:bidi="ar"/>
        </w:rPr>
        <w:t>依次取消对比学习特征解耦模块、取消自监督预训练仅使用少量标注数据训练、删减多损失联合约束仅使用单一损失函数进行实验测试。通过对比实验结果可以发现，任意一个核心模块缺失后，模型整体去噪能力、细节保留能力均出现明显下降，重建图像噪声增多、细节丢失严重，各项客观评价指标同步出现大幅下滑。</w:t>
      </w:r>
    </w:p>
    <w:p w14:paraId="481858CB">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消融实验结果充分证明，改进 U-Net 骨干网络、对比学习特征解耦模块、自监督两阶段训练策略、多损失函数联合约束机制相辅相成、缺一不可，整套网络结构设计合理科学，各项优化策略均对提升模型综合性能起到关键性作用，进一步验证了本文算法整体架构设计的合理性与创新性。</w:t>
      </w:r>
    </w:p>
    <w:p w14:paraId="69132F32">
      <w:pPr>
        <w:widowControl/>
        <w:ind w:firstLine="482"/>
        <w:jc w:val="left"/>
        <w:rPr>
          <w:rFonts w:hint="eastAsia" w:ascii="宋体" w:hAnsi="宋体" w:eastAsia="宋体" w:cs="宋体"/>
          <w:b/>
          <w:bCs/>
          <w:color w:val="000000"/>
          <w:kern w:val="0"/>
          <w:szCs w:val="24"/>
          <w:lang w:val="en-US" w:eastAsia="zh-CN" w:bidi="ar"/>
        </w:rPr>
      </w:pPr>
      <w:r>
        <w:rPr>
          <w:rFonts w:hint="eastAsia" w:ascii="Segoe UI Emoji" w:hAnsi="Segoe UI Emoji" w:cs="Segoe UI Emoji"/>
          <w:b w:val="0"/>
          <w:bCs w:val="0"/>
          <w:color w:val="000000"/>
          <w:kern w:val="0"/>
          <w:szCs w:val="24"/>
          <w:lang w:val="en-US" w:eastAsia="zh-CN" w:bidi="ar"/>
        </w:rPr>
        <w:t>下列</w:t>
      </w:r>
      <w:r>
        <w:rPr>
          <w:rFonts w:hint="eastAsia" w:ascii="Segoe UI Emoji" w:hAnsi="Segoe UI Emoji" w:cs="Segoe UI Emoji"/>
          <w:b w:val="0"/>
          <w:bCs w:val="0"/>
          <w:color w:val="000000"/>
          <w:kern w:val="0"/>
          <w:szCs w:val="24"/>
          <w:lang w:val="en-US" w:eastAsia="zh-CN" w:bidi="ar"/>
        </w:rPr>
        <w:fldChar w:fldCharType="begin"/>
      </w:r>
      <w:r>
        <w:rPr>
          <w:b w:val="0"/>
          <w:bCs w:val="0"/>
        </w:rPr>
        <w:instrText xml:space="preserve"> REF _Ref21244 \h  \* MERGEFORMAT</w:instrText>
      </w:r>
      <w:r>
        <w:rPr>
          <w:rFonts w:hint="eastAsia" w:ascii="Segoe UI Emoji" w:hAnsi="Segoe UI Emoji" w:cs="Segoe UI Emoji"/>
          <w:b w:val="0"/>
          <w:bCs w:val="0"/>
          <w:color w:val="000000"/>
          <w:kern w:val="0"/>
          <w:szCs w:val="24"/>
          <w:lang w:val="en-US" w:eastAsia="zh-CN" w:bidi="ar"/>
        </w:rPr>
        <w:fldChar w:fldCharType="separate"/>
      </w:r>
      <w:r>
        <w:rPr>
          <w:rFonts w:hint="eastAsia" w:ascii="宋体" w:hAnsi="宋体" w:eastAsia="宋体" w:cs="宋体"/>
          <w:b w:val="0"/>
          <w:bCs w:val="0"/>
          <w:sz w:val="21"/>
          <w:szCs w:val="21"/>
        </w:rPr>
        <w:t>表6- 2</w:t>
      </w:r>
      <w:r>
        <w:rPr>
          <w:rFonts w:hint="eastAsia" w:ascii="Segoe UI Emoji" w:hAnsi="Segoe UI Emoji" w:cs="Segoe UI Emoji"/>
          <w:b w:val="0"/>
          <w:bCs w:val="0"/>
          <w:color w:val="000000"/>
          <w:kern w:val="0"/>
          <w:szCs w:val="24"/>
          <w:lang w:val="en-US" w:eastAsia="zh-CN" w:bidi="ar"/>
        </w:rPr>
        <w:fldChar w:fldCharType="end"/>
      </w:r>
      <w:r>
        <w:rPr>
          <w:rFonts w:hint="eastAsia" w:ascii="Segoe UI Emoji" w:hAnsi="Segoe UI Emoji" w:cs="Segoe UI Emoji"/>
          <w:b w:val="0"/>
          <w:bCs w:val="0"/>
          <w:color w:val="000000"/>
          <w:kern w:val="0"/>
          <w:szCs w:val="24"/>
          <w:lang w:val="en-US" w:eastAsia="zh-CN" w:bidi="ar"/>
        </w:rPr>
        <w:t>为</w:t>
      </w:r>
      <w:r>
        <w:rPr>
          <w:rFonts w:ascii="Segoe UI Emoji" w:hAnsi="Segoe UI Emoji" w:eastAsia="Segoe UI Emoji" w:cs="Segoe UI Emoji"/>
          <w:b w:val="0"/>
          <w:bCs w:val="0"/>
          <w:color w:val="000000"/>
          <w:kern w:val="0"/>
          <w:szCs w:val="24"/>
          <w:lang w:bidi="ar"/>
        </w:rPr>
        <w:t>消融实验指标对比</w:t>
      </w:r>
    </w:p>
    <w:tbl>
      <w:tblPr>
        <w:tblStyle w:val="31"/>
        <w:tblW w:w="9257" w:type="dxa"/>
        <w:jc w:val="center"/>
        <w:tblBorders>
          <w:top w:val="none" w:color="CCCCCC" w:sz="4" w:space="0"/>
          <w:left w:val="none" w:color="auto" w:sz="0" w:space="0"/>
          <w:bottom w:val="none" w:color="CCCCCC" w:sz="4"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354"/>
        <w:gridCol w:w="2034"/>
        <w:gridCol w:w="1072"/>
        <w:gridCol w:w="2797"/>
      </w:tblGrid>
      <w:tr w14:paraId="6AA7F2D5">
        <w:tblPrEx>
          <w:tblBorders>
            <w:top w:val="none" w:color="CCCCCC" w:sz="4" w:space="0"/>
            <w:left w:val="none" w:color="auto" w:sz="0" w:space="0"/>
            <w:bottom w:val="non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l2br w:val="nil"/>
              <w:tr2bl w:val="nil"/>
            </w:tcBorders>
            <w:noWrap w:val="0"/>
            <w:tcMar>
              <w:top w:w="96" w:type="dxa"/>
              <w:left w:w="96" w:type="dxa"/>
              <w:bottom w:w="96" w:type="dxa"/>
              <w:right w:w="96" w:type="dxa"/>
            </w:tcMar>
            <w:vAlign w:val="center"/>
          </w:tcPr>
          <w:p w14:paraId="20068DFF">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模型设置</w:t>
            </w:r>
          </w:p>
        </w:tc>
        <w:tc>
          <w:tcPr>
            <w:tcW w:w="0" w:type="auto"/>
            <w:tcBorders>
              <w:top w:val="single" w:color="auto" w:sz="12" w:space="0"/>
              <w:left w:val="nil"/>
              <w:bottom w:val="nil"/>
              <w:right w:val="nil"/>
              <w:tl2br w:val="nil"/>
              <w:tr2bl w:val="nil"/>
            </w:tcBorders>
            <w:noWrap w:val="0"/>
            <w:tcMar>
              <w:top w:w="96" w:type="dxa"/>
              <w:left w:w="96" w:type="dxa"/>
              <w:bottom w:w="96" w:type="dxa"/>
              <w:right w:w="96" w:type="dxa"/>
            </w:tcMar>
            <w:vAlign w:val="center"/>
          </w:tcPr>
          <w:p w14:paraId="36823AA4">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PSNR (dB)</w:t>
            </w:r>
          </w:p>
        </w:tc>
        <w:tc>
          <w:tcPr>
            <w:tcW w:w="0" w:type="auto"/>
            <w:tcBorders>
              <w:top w:val="single" w:color="auto" w:sz="12" w:space="0"/>
              <w:left w:val="nil"/>
              <w:bottom w:val="nil"/>
              <w:right w:val="nil"/>
              <w:tl2br w:val="nil"/>
              <w:tr2bl w:val="nil"/>
            </w:tcBorders>
            <w:noWrap w:val="0"/>
            <w:tcMar>
              <w:top w:w="96" w:type="dxa"/>
              <w:left w:w="96" w:type="dxa"/>
              <w:bottom w:w="96" w:type="dxa"/>
              <w:right w:w="96" w:type="dxa"/>
            </w:tcMar>
            <w:vAlign w:val="center"/>
          </w:tcPr>
          <w:p w14:paraId="3D107899">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SSIM</w:t>
            </w:r>
          </w:p>
        </w:tc>
        <w:tc>
          <w:tcPr>
            <w:tcW w:w="2797" w:type="dxa"/>
            <w:tcBorders>
              <w:top w:val="single" w:color="auto" w:sz="12" w:space="0"/>
              <w:left w:val="nil"/>
              <w:bottom w:val="nil"/>
              <w:right w:val="nil"/>
              <w:tl2br w:val="nil"/>
              <w:tr2bl w:val="nil"/>
            </w:tcBorders>
            <w:noWrap w:val="0"/>
            <w:tcMar>
              <w:top w:w="96" w:type="dxa"/>
              <w:left w:w="96" w:type="dxa"/>
              <w:bottom w:w="96" w:type="dxa"/>
              <w:right w:w="96" w:type="dxa"/>
            </w:tcMar>
            <w:vAlign w:val="center"/>
          </w:tcPr>
          <w:p w14:paraId="3BEF6950">
            <w:pPr>
              <w:widowControl/>
              <w:snapToGrid w:val="0"/>
              <w:spacing w:line="240" w:lineRule="auto"/>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bidi="ar"/>
              </w:rPr>
              <w:t>噪声抑制率(%)</w:t>
            </w:r>
          </w:p>
        </w:tc>
      </w:tr>
      <w:tr w14:paraId="1D8D0E0E">
        <w:tblPrEx>
          <w:tblBorders>
            <w:top w:val="none" w:color="CCCCCC" w:sz="4" w:space="0"/>
            <w:left w:val="none" w:color="auto" w:sz="0" w:space="0"/>
            <w:bottom w:val="non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l2br w:val="nil"/>
              <w:tr2bl w:val="nil"/>
            </w:tcBorders>
            <w:noWrap w:val="0"/>
            <w:tcMar>
              <w:top w:w="96" w:type="dxa"/>
              <w:left w:w="96" w:type="dxa"/>
              <w:bottom w:w="96" w:type="dxa"/>
              <w:right w:w="96" w:type="dxa"/>
            </w:tcMar>
            <w:vAlign w:val="center"/>
          </w:tcPr>
          <w:p w14:paraId="481BCE3D">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完整模型</w:t>
            </w:r>
          </w:p>
        </w:tc>
        <w:tc>
          <w:tcPr>
            <w:tcW w:w="0" w:type="auto"/>
            <w:tcBorders>
              <w:top w:val="single" w:color="auto" w:sz="4" w:space="0"/>
              <w:left w:val="nil"/>
              <w:bottom w:val="nil"/>
              <w:right w:val="nil"/>
              <w:tl2br w:val="nil"/>
              <w:tr2bl w:val="nil"/>
            </w:tcBorders>
            <w:noWrap w:val="0"/>
            <w:tcMar>
              <w:top w:w="96" w:type="dxa"/>
              <w:left w:w="96" w:type="dxa"/>
              <w:bottom w:w="96" w:type="dxa"/>
              <w:right w:w="96" w:type="dxa"/>
            </w:tcMar>
            <w:vAlign w:val="center"/>
          </w:tcPr>
          <w:p w14:paraId="6DC3D379">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41.2</w:t>
            </w:r>
          </w:p>
        </w:tc>
        <w:tc>
          <w:tcPr>
            <w:tcW w:w="0" w:type="auto"/>
            <w:tcBorders>
              <w:top w:val="single" w:color="auto" w:sz="4" w:space="0"/>
              <w:left w:val="nil"/>
              <w:bottom w:val="nil"/>
              <w:right w:val="nil"/>
              <w:tl2br w:val="nil"/>
              <w:tr2bl w:val="nil"/>
            </w:tcBorders>
            <w:noWrap w:val="0"/>
            <w:tcMar>
              <w:top w:w="96" w:type="dxa"/>
              <w:left w:w="96" w:type="dxa"/>
              <w:bottom w:w="96" w:type="dxa"/>
              <w:right w:w="96" w:type="dxa"/>
            </w:tcMar>
            <w:vAlign w:val="center"/>
          </w:tcPr>
          <w:p w14:paraId="0C94B695">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0.94</w:t>
            </w:r>
          </w:p>
        </w:tc>
        <w:tc>
          <w:tcPr>
            <w:tcW w:w="2797" w:type="dxa"/>
            <w:tcBorders>
              <w:top w:val="single" w:color="auto" w:sz="4" w:space="0"/>
              <w:left w:val="nil"/>
              <w:bottom w:val="nil"/>
              <w:right w:val="nil"/>
              <w:tl2br w:val="nil"/>
              <w:tr2bl w:val="nil"/>
            </w:tcBorders>
            <w:noWrap w:val="0"/>
            <w:tcMar>
              <w:top w:w="96" w:type="dxa"/>
              <w:left w:w="96" w:type="dxa"/>
              <w:bottom w:w="96" w:type="dxa"/>
              <w:right w:w="96" w:type="dxa"/>
            </w:tcMar>
            <w:vAlign w:val="center"/>
          </w:tcPr>
          <w:p w14:paraId="402D1BB7">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82.3</w:t>
            </w:r>
          </w:p>
        </w:tc>
      </w:tr>
      <w:tr w14:paraId="35A06FDE">
        <w:tblPrEx>
          <w:tblBorders>
            <w:top w:val="none" w:color="CCCCCC" w:sz="4" w:space="0"/>
            <w:left w:val="none" w:color="auto" w:sz="0" w:space="0"/>
            <w:bottom w:val="non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noWrap w:val="0"/>
            <w:tcMar>
              <w:top w:w="96" w:type="dxa"/>
              <w:left w:w="96" w:type="dxa"/>
              <w:bottom w:w="96" w:type="dxa"/>
              <w:right w:w="96" w:type="dxa"/>
            </w:tcMar>
            <w:vAlign w:val="center"/>
          </w:tcPr>
          <w:p w14:paraId="4760E901">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移除对比学习模块</w:t>
            </w:r>
          </w:p>
        </w:tc>
        <w:tc>
          <w:tcPr>
            <w:tcW w:w="0" w:type="auto"/>
            <w:tcBorders>
              <w:top w:val="nil"/>
              <w:left w:val="nil"/>
              <w:bottom w:val="nil"/>
              <w:right w:val="nil"/>
              <w:tl2br w:val="nil"/>
              <w:tr2bl w:val="nil"/>
            </w:tcBorders>
            <w:noWrap w:val="0"/>
            <w:tcMar>
              <w:top w:w="96" w:type="dxa"/>
              <w:left w:w="96" w:type="dxa"/>
              <w:bottom w:w="96" w:type="dxa"/>
              <w:right w:w="96" w:type="dxa"/>
            </w:tcMar>
            <w:vAlign w:val="center"/>
          </w:tcPr>
          <w:p w14:paraId="6BD7B4DC">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37.4</w:t>
            </w:r>
          </w:p>
        </w:tc>
        <w:tc>
          <w:tcPr>
            <w:tcW w:w="0" w:type="auto"/>
            <w:tcBorders>
              <w:top w:val="nil"/>
              <w:left w:val="nil"/>
              <w:bottom w:val="nil"/>
              <w:right w:val="nil"/>
              <w:tl2br w:val="nil"/>
              <w:tr2bl w:val="nil"/>
            </w:tcBorders>
            <w:noWrap w:val="0"/>
            <w:tcMar>
              <w:top w:w="96" w:type="dxa"/>
              <w:left w:w="96" w:type="dxa"/>
              <w:bottom w:w="96" w:type="dxa"/>
              <w:right w:w="96" w:type="dxa"/>
            </w:tcMar>
            <w:vAlign w:val="center"/>
          </w:tcPr>
          <w:p w14:paraId="4D425288">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0.88</w:t>
            </w:r>
          </w:p>
        </w:tc>
        <w:tc>
          <w:tcPr>
            <w:tcW w:w="2797" w:type="dxa"/>
            <w:tcBorders>
              <w:top w:val="nil"/>
              <w:left w:val="nil"/>
              <w:bottom w:val="nil"/>
              <w:right w:val="nil"/>
              <w:tl2br w:val="nil"/>
              <w:tr2bl w:val="nil"/>
            </w:tcBorders>
            <w:noWrap w:val="0"/>
            <w:tcMar>
              <w:top w:w="96" w:type="dxa"/>
              <w:left w:w="96" w:type="dxa"/>
              <w:bottom w:w="96" w:type="dxa"/>
              <w:right w:w="96" w:type="dxa"/>
            </w:tcMar>
            <w:vAlign w:val="center"/>
          </w:tcPr>
          <w:p w14:paraId="046519EE">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66.7</w:t>
            </w:r>
          </w:p>
        </w:tc>
      </w:tr>
      <w:tr w14:paraId="4E0DE607">
        <w:tblPrEx>
          <w:tblBorders>
            <w:top w:val="none" w:color="CCCCCC" w:sz="4" w:space="0"/>
            <w:left w:val="none" w:color="auto" w:sz="0" w:space="0"/>
            <w:bottom w:val="non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l2br w:val="nil"/>
              <w:tr2bl w:val="nil"/>
            </w:tcBorders>
            <w:noWrap w:val="0"/>
            <w:tcMar>
              <w:top w:w="96" w:type="dxa"/>
              <w:left w:w="96" w:type="dxa"/>
              <w:bottom w:w="96" w:type="dxa"/>
              <w:right w:w="96" w:type="dxa"/>
            </w:tcMar>
            <w:vAlign w:val="center"/>
          </w:tcPr>
          <w:p w14:paraId="66F05829">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移除自监督预训练</w:t>
            </w:r>
          </w:p>
        </w:tc>
        <w:tc>
          <w:tcPr>
            <w:tcW w:w="0" w:type="auto"/>
            <w:tcBorders>
              <w:top w:val="nil"/>
              <w:left w:val="nil"/>
              <w:bottom w:val="nil"/>
              <w:right w:val="nil"/>
              <w:tl2br w:val="nil"/>
              <w:tr2bl w:val="nil"/>
            </w:tcBorders>
            <w:noWrap w:val="0"/>
            <w:tcMar>
              <w:top w:w="96" w:type="dxa"/>
              <w:left w:w="96" w:type="dxa"/>
              <w:bottom w:w="96" w:type="dxa"/>
              <w:right w:w="96" w:type="dxa"/>
            </w:tcMar>
            <w:vAlign w:val="center"/>
          </w:tcPr>
          <w:p w14:paraId="2D7305CC">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36.1</w:t>
            </w:r>
          </w:p>
        </w:tc>
        <w:tc>
          <w:tcPr>
            <w:tcW w:w="0" w:type="auto"/>
            <w:tcBorders>
              <w:top w:val="nil"/>
              <w:left w:val="nil"/>
              <w:bottom w:val="nil"/>
              <w:right w:val="nil"/>
              <w:tl2br w:val="nil"/>
              <w:tr2bl w:val="nil"/>
            </w:tcBorders>
            <w:noWrap w:val="0"/>
            <w:tcMar>
              <w:top w:w="96" w:type="dxa"/>
              <w:left w:w="96" w:type="dxa"/>
              <w:bottom w:w="96" w:type="dxa"/>
              <w:right w:w="96" w:type="dxa"/>
            </w:tcMar>
            <w:vAlign w:val="center"/>
          </w:tcPr>
          <w:p w14:paraId="30B221FA">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0.86</w:t>
            </w:r>
          </w:p>
        </w:tc>
        <w:tc>
          <w:tcPr>
            <w:tcW w:w="2797" w:type="dxa"/>
            <w:tcBorders>
              <w:top w:val="nil"/>
              <w:left w:val="nil"/>
              <w:bottom w:val="nil"/>
              <w:right w:val="nil"/>
              <w:tl2br w:val="nil"/>
              <w:tr2bl w:val="nil"/>
            </w:tcBorders>
            <w:noWrap w:val="0"/>
            <w:tcMar>
              <w:top w:w="96" w:type="dxa"/>
              <w:left w:w="96" w:type="dxa"/>
              <w:bottom w:w="96" w:type="dxa"/>
              <w:right w:w="96" w:type="dxa"/>
            </w:tcMar>
            <w:vAlign w:val="center"/>
          </w:tcPr>
          <w:p w14:paraId="3CCE3682">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57.2</w:t>
            </w:r>
          </w:p>
        </w:tc>
      </w:tr>
      <w:tr w14:paraId="2FD2FE06">
        <w:tblPrEx>
          <w:tblBorders>
            <w:top w:val="none" w:color="CCCCCC" w:sz="4" w:space="0"/>
            <w:left w:val="none" w:color="auto" w:sz="0" w:space="0"/>
            <w:bottom w:val="none" w:color="CCCCCC" w:sz="4"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354" w:type="dxa"/>
            <w:tcBorders>
              <w:top w:val="nil"/>
              <w:left w:val="nil"/>
              <w:bottom w:val="single" w:color="auto" w:sz="12" w:space="0"/>
              <w:right w:val="nil"/>
              <w:tl2br w:val="nil"/>
              <w:tr2bl w:val="nil"/>
            </w:tcBorders>
            <w:noWrap w:val="0"/>
            <w:tcMar>
              <w:top w:w="96" w:type="dxa"/>
              <w:left w:w="96" w:type="dxa"/>
              <w:bottom w:w="96" w:type="dxa"/>
              <w:right w:w="96" w:type="dxa"/>
            </w:tcMar>
            <w:vAlign w:val="center"/>
          </w:tcPr>
          <w:p w14:paraId="063E7B5B">
            <w:pPr>
              <w:widowControl/>
              <w:snapToGrid w:val="0"/>
              <w:spacing w:line="240" w:lineRule="auto"/>
              <w:ind w:left="0" w:leftChars="0" w:right="0" w:rightChars="0" w:firstLine="0" w:firstLineChars="0"/>
              <w:jc w:val="center"/>
              <w:rPr>
                <w:rFonts w:ascii="宋体" w:eastAsia="宋体"/>
                <w:sz w:val="24"/>
              </w:rPr>
            </w:pPr>
            <w:r>
              <w:rPr>
                <w:rFonts w:ascii="宋体" w:hAnsi="宋体" w:eastAsia="宋体" w:cs="宋体"/>
                <w:kern w:val="0"/>
                <w:sz w:val="24"/>
                <w:szCs w:val="24"/>
                <w:lang w:bidi="ar"/>
              </w:rPr>
              <w:t>单一损失函数</w:t>
            </w:r>
          </w:p>
        </w:tc>
        <w:tc>
          <w:tcPr>
            <w:tcW w:w="2034" w:type="dxa"/>
            <w:tcBorders>
              <w:top w:val="nil"/>
              <w:left w:val="nil"/>
              <w:bottom w:val="single" w:color="auto" w:sz="12" w:space="0"/>
              <w:right w:val="nil"/>
              <w:tl2br w:val="nil"/>
              <w:tr2bl w:val="nil"/>
            </w:tcBorders>
            <w:noWrap w:val="0"/>
            <w:tcMar>
              <w:top w:w="96" w:type="dxa"/>
              <w:left w:w="96" w:type="dxa"/>
              <w:bottom w:w="96" w:type="dxa"/>
              <w:right w:w="96" w:type="dxa"/>
            </w:tcMar>
            <w:vAlign w:val="center"/>
          </w:tcPr>
          <w:p w14:paraId="260EF93F">
            <w:pPr>
              <w:widowControl/>
              <w:snapToGrid w:val="0"/>
              <w:spacing w:line="240" w:lineRule="auto"/>
              <w:ind w:left="0" w:leftChars="0" w:right="0" w:rightChars="0" w:firstLine="0" w:firstLineChars="0"/>
              <w:jc w:val="left"/>
              <w:rPr>
                <w:rFonts w:ascii="宋体" w:eastAsia="宋体"/>
                <w:sz w:val="24"/>
              </w:rPr>
            </w:pPr>
            <w:r>
              <w:rPr>
                <w:rFonts w:ascii="宋体" w:hAnsi="宋体" w:eastAsia="宋体" w:cs="宋体"/>
                <w:kern w:val="0"/>
                <w:sz w:val="24"/>
                <w:szCs w:val="24"/>
                <w:lang w:bidi="ar"/>
              </w:rPr>
              <w:t>37.9</w:t>
            </w:r>
          </w:p>
        </w:tc>
        <w:tc>
          <w:tcPr>
            <w:tcW w:w="1072" w:type="dxa"/>
            <w:tcBorders>
              <w:top w:val="nil"/>
              <w:left w:val="nil"/>
              <w:bottom w:val="single" w:color="auto" w:sz="12" w:space="0"/>
              <w:right w:val="nil"/>
              <w:tl2br w:val="nil"/>
              <w:tr2bl w:val="nil"/>
            </w:tcBorders>
            <w:noWrap w:val="0"/>
            <w:tcMar>
              <w:top w:w="96" w:type="dxa"/>
              <w:left w:w="96" w:type="dxa"/>
              <w:bottom w:w="96" w:type="dxa"/>
              <w:right w:w="96" w:type="dxa"/>
            </w:tcMar>
            <w:vAlign w:val="center"/>
          </w:tcPr>
          <w:p w14:paraId="277CBFA7">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0.89</w:t>
            </w:r>
          </w:p>
        </w:tc>
        <w:tc>
          <w:tcPr>
            <w:tcW w:w="2797" w:type="dxa"/>
            <w:tcBorders>
              <w:top w:val="nil"/>
              <w:left w:val="nil"/>
              <w:bottom w:val="single" w:color="auto" w:sz="12" w:space="0"/>
              <w:right w:val="nil"/>
              <w:tl2br w:val="nil"/>
              <w:tr2bl w:val="nil"/>
            </w:tcBorders>
            <w:noWrap w:val="0"/>
            <w:tcMar>
              <w:top w:w="96" w:type="dxa"/>
              <w:left w:w="96" w:type="dxa"/>
              <w:bottom w:w="96" w:type="dxa"/>
              <w:right w:w="96" w:type="dxa"/>
            </w:tcMar>
            <w:vAlign w:val="center"/>
          </w:tcPr>
          <w:p w14:paraId="77D1345E">
            <w:pPr>
              <w:widowControl/>
              <w:snapToGrid w:val="0"/>
              <w:spacing w:line="240" w:lineRule="auto"/>
              <w:ind w:left="0" w:leftChars="0" w:right="0" w:rightChars="0" w:firstLine="0" w:firstLineChars="0"/>
              <w:jc w:val="right"/>
              <w:rPr>
                <w:rFonts w:ascii="宋体" w:eastAsia="宋体"/>
                <w:sz w:val="24"/>
              </w:rPr>
            </w:pPr>
            <w:r>
              <w:rPr>
                <w:rFonts w:ascii="宋体" w:hAnsi="宋体" w:eastAsia="宋体" w:cs="宋体"/>
                <w:kern w:val="0"/>
                <w:sz w:val="24"/>
                <w:szCs w:val="24"/>
                <w:lang w:bidi="ar"/>
              </w:rPr>
              <w:t>69.5</w:t>
            </w:r>
          </w:p>
        </w:tc>
      </w:tr>
    </w:tbl>
    <w:p w14:paraId="5ED6BA70">
      <w:pPr>
        <w:pStyle w:val="6"/>
        <w:jc w:val="center"/>
        <w:rPr>
          <w:rFonts w:hint="eastAsia" w:ascii="宋体" w:hAnsi="宋体" w:eastAsia="宋体" w:cs="宋体"/>
          <w:b/>
          <w:bCs/>
          <w:sz w:val="21"/>
          <w:szCs w:val="21"/>
          <w:lang w:eastAsia="zh-CN"/>
        </w:rPr>
      </w:pPr>
      <w:bookmarkStart w:id="679" w:name="_Ref21244"/>
      <w:bookmarkStart w:id="680" w:name="_Toc31806"/>
      <w:bookmarkStart w:id="681" w:name="_Toc18078"/>
      <w:bookmarkStart w:id="682" w:name="_Toc2072"/>
      <w:bookmarkStart w:id="683" w:name="_Toc8531"/>
      <w:bookmarkStart w:id="684" w:name="_Toc17939"/>
      <w:bookmarkStart w:id="685" w:name="_Toc18743"/>
      <w:bookmarkStart w:id="686" w:name="_Toc9235"/>
      <w:bookmarkStart w:id="687" w:name="_Toc9297"/>
      <w:bookmarkStart w:id="688" w:name="_Toc27264"/>
      <w:bookmarkStart w:id="689" w:name="_Toc14028"/>
      <w:bookmarkStart w:id="690" w:name="_Toc20853"/>
      <w:bookmarkStart w:id="691" w:name="_Toc32538"/>
      <w:bookmarkStart w:id="692" w:name="_Toc22415"/>
      <w:r>
        <w:rPr>
          <w:rFonts w:hint="eastAsia" w:ascii="宋体" w:hAnsi="宋体" w:eastAsia="宋体" w:cs="宋体"/>
          <w:b/>
          <w:bCs/>
          <w:sz w:val="21"/>
          <w:szCs w:val="21"/>
        </w:rPr>
        <w:t xml:space="preserve">表6-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表6-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2</w:t>
      </w:r>
      <w:r>
        <w:rPr>
          <w:rFonts w:hint="eastAsia" w:ascii="宋体" w:hAnsi="宋体" w:eastAsia="宋体" w:cs="宋体"/>
          <w:b/>
          <w:bCs/>
          <w:sz w:val="21"/>
          <w:szCs w:val="21"/>
        </w:rPr>
        <w:fldChar w:fldCharType="end"/>
      </w:r>
      <w:bookmarkEnd w:id="679"/>
      <w:r>
        <w:rPr>
          <w:rFonts w:hint="eastAsia" w:ascii="宋体" w:hAnsi="宋体" w:eastAsia="宋体" w:cs="宋体"/>
          <w:b/>
          <w:bCs/>
          <w:sz w:val="21"/>
          <w:szCs w:val="21"/>
          <w:lang w:eastAsia="zh-CN"/>
        </w:rPr>
        <w:t>消融实验指标对比</w:t>
      </w:r>
    </w:p>
    <w:p w14:paraId="4BEFD42E">
      <w:pPr>
        <w:pStyle w:val="3"/>
        <w:bidi w:val="0"/>
      </w:pPr>
      <w:bookmarkStart w:id="693" w:name="_Toc17975"/>
      <w:bookmarkStart w:id="694" w:name="_Toc29654"/>
      <w:r>
        <w:rPr>
          <w:rFonts w:hint="eastAsia"/>
          <w:lang w:val="en-US"/>
        </w:rPr>
        <w:t>6</w:t>
      </w:r>
      <w:r>
        <w:rPr>
          <w:rFonts w:hint="eastAsia"/>
        </w:rPr>
        <w:t>.</w:t>
      </w:r>
      <w:r>
        <w:rPr>
          <w:rFonts w:hint="eastAsia"/>
          <w:lang w:val="en-US"/>
        </w:rPr>
        <w:t>6</w:t>
      </w:r>
      <w:r>
        <w:rPr>
          <w:rFonts w:hint="eastAsia"/>
        </w:rPr>
        <w:t xml:space="preserve"> 实验总结</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p>
    <w:p w14:paraId="4AABC94B">
      <w:pPr>
        <w:widowControl/>
        <w:jc w:val="left"/>
        <w:rPr>
          <w:rFonts w:hint="eastAsia" w:ascii="宋体" w:hAnsi="宋体" w:cs="宋体"/>
          <w:color w:val="000000"/>
          <w:szCs w:val="24"/>
        </w:rPr>
      </w:pPr>
      <w:r>
        <w:rPr>
          <w:rFonts w:hint="eastAsia" w:ascii="宋体" w:hAnsi="宋体" w:cs="宋体"/>
          <w:color w:val="000000"/>
          <w:kern w:val="0"/>
          <w:szCs w:val="24"/>
          <w:lang w:bidi="ar"/>
        </w:rPr>
        <w:t>综合全部横向对比实验与内部消融实验结果可得出结论，本文提出的基于自监督学习的低剂量 CT 投影域去噪联合 ADMM-TV 重建算法，完美契合低辐射剂量 CT 临床成像需求。</w:t>
      </w:r>
    </w:p>
    <w:p w14:paraId="3B562141">
      <w:pPr>
        <w:widowControl/>
        <w:jc w:val="left"/>
        <w:rPr>
          <w:rFonts w:hint="eastAsia" w:ascii="宋体" w:hAnsi="宋体" w:cs="宋体"/>
          <w:color w:val="000000"/>
          <w:szCs w:val="24"/>
        </w:rPr>
      </w:pPr>
      <w:r>
        <w:rPr>
          <w:rFonts w:hint="eastAsia" w:ascii="宋体" w:hAnsi="宋体" w:cs="宋体"/>
          <w:color w:val="000000"/>
          <w:kern w:val="0"/>
          <w:szCs w:val="24"/>
          <w:lang w:bidi="ar"/>
        </w:rPr>
        <w:t>该算法摆脱了传统监督学习算法对大批量配对标注医学数据的严重依赖，充分利用临床海量无标注低剂量扫描数据完成模型训练，从 CT 成像源头的投影域完成精准降噪，有效阻断噪声在图像重建过程中扩散放大。在大幅度降低 CT 扫描辐射剂量、减少受检者辐射伤害的前提下，既能够高效去除投影域混合噪声，抑制各类重建伪影，又可以最大限度保留人体解剖细微组织结构与病灶特征，成像质量满足临床常规诊断基本需求。</w:t>
      </w:r>
    </w:p>
    <w:p w14:paraId="1065D8AA">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整套算法流程简洁清晰、理论支撑充足、实验结果稳定可靠，不仅具备较高的学术研究价值，同时在基层医院大规模肺部低剂量筛查、体检常规 CT 扫描、特殊人群重复检查等实际临床场景中拥有良好的落地应用前景。</w:t>
      </w:r>
    </w:p>
    <w:p w14:paraId="2E35A2D6">
      <w:pPr>
        <w:pStyle w:val="2"/>
      </w:pPr>
      <w:bookmarkStart w:id="695" w:name="_Toc18696"/>
      <w:bookmarkStart w:id="696" w:name="_Toc11089"/>
      <w:bookmarkStart w:id="697" w:name="_Toc10641"/>
      <w:bookmarkStart w:id="698" w:name="_Toc23338"/>
      <w:bookmarkStart w:id="699" w:name="_Toc14447"/>
      <w:bookmarkStart w:id="700" w:name="_Toc13824"/>
      <w:bookmarkStart w:id="701" w:name="_Toc16013"/>
      <w:bookmarkStart w:id="702" w:name="_Toc7269"/>
      <w:bookmarkStart w:id="703" w:name="_Toc7542"/>
      <w:bookmarkStart w:id="704" w:name="_Toc32037"/>
      <w:bookmarkStart w:id="705" w:name="_Toc1359"/>
      <w:bookmarkStart w:id="706" w:name="_Toc6779"/>
      <w:bookmarkStart w:id="707" w:name="_Toc21236"/>
      <w:bookmarkStart w:id="708" w:name="_Toc20633"/>
      <w:bookmarkStart w:id="709" w:name="_Toc19926"/>
      <w:r>
        <w:rPr>
          <w:rFonts w:hint="eastAsia"/>
          <w:lang w:val="en-US"/>
        </w:rPr>
        <w:t>7</w:t>
      </w:r>
      <w:r>
        <w:rPr>
          <w:rFonts w:hint="eastAsia"/>
        </w:rPr>
        <w:t>结论与展望</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5AB4C49B">
      <w:pPr>
        <w:pStyle w:val="3"/>
      </w:pPr>
      <w:bookmarkStart w:id="710" w:name="_Toc10683"/>
      <w:bookmarkStart w:id="711" w:name="_Toc16097"/>
      <w:bookmarkStart w:id="712" w:name="_Toc32170"/>
      <w:bookmarkStart w:id="713" w:name="_Toc7899"/>
      <w:bookmarkStart w:id="714" w:name="_Toc7064"/>
      <w:bookmarkStart w:id="715" w:name="_Toc6829"/>
      <w:bookmarkStart w:id="716" w:name="_Toc29267"/>
      <w:bookmarkStart w:id="717" w:name="_Toc21909"/>
      <w:bookmarkStart w:id="718" w:name="_Toc31029"/>
      <w:bookmarkStart w:id="719" w:name="_Toc30815"/>
      <w:bookmarkStart w:id="720" w:name="_Toc26747"/>
      <w:bookmarkStart w:id="721" w:name="_Toc1518"/>
      <w:bookmarkStart w:id="722" w:name="_Toc28530"/>
      <w:bookmarkStart w:id="723" w:name="_Toc9220"/>
      <w:bookmarkStart w:id="724" w:name="_Toc1513"/>
      <w:r>
        <w:rPr>
          <w:rFonts w:hint="eastAsia"/>
          <w:lang w:val="en-US"/>
        </w:rPr>
        <w:t>7</w:t>
      </w:r>
      <w:r>
        <w:rPr>
          <w:rFonts w:hint="eastAsia"/>
        </w:rPr>
        <w:t>.1 研究结论</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63E7587B">
      <w:pPr>
        <w:widowControl/>
        <w:jc w:val="left"/>
        <w:rPr>
          <w:rFonts w:hint="eastAsia" w:ascii="宋体" w:hAnsi="宋体" w:cs="宋体"/>
          <w:color w:val="000000"/>
          <w:szCs w:val="24"/>
        </w:rPr>
      </w:pPr>
      <w:r>
        <w:rPr>
          <w:rFonts w:hint="eastAsia" w:ascii="宋体" w:hAnsi="宋体" w:cs="宋体"/>
          <w:color w:val="000000"/>
          <w:kern w:val="0"/>
          <w:szCs w:val="24"/>
          <w:lang w:bidi="ar"/>
        </w:rPr>
        <w:t>本文立足于低剂量 CT 临床应用需求，针对降低辐射剂量后投影域噪声剧增、传统去噪方法细节丢失严重、监督学习依赖大量标注数据等现存问题，开展基于自监督学习的投影域去噪及高质量 CT 重建全流程研究，通过理论分析、模型搭建、实验验证完成整套研究工作，主要得出以下研究结论：</w:t>
      </w:r>
    </w:p>
    <w:p w14:paraId="3D3A4F49">
      <w:pPr>
        <w:widowControl/>
        <w:jc w:val="left"/>
        <w:rPr>
          <w:rFonts w:hint="eastAsia" w:ascii="宋体" w:hAnsi="宋体" w:cs="宋体"/>
          <w:color w:val="000000"/>
          <w:szCs w:val="24"/>
        </w:rPr>
      </w:pPr>
      <w:r>
        <w:rPr>
          <w:rFonts w:hint="eastAsia" w:ascii="宋体" w:hAnsi="宋体" w:cs="宋体"/>
          <w:color w:val="000000"/>
          <w:kern w:val="0"/>
          <w:szCs w:val="24"/>
          <w:lang w:bidi="ar"/>
        </w:rPr>
        <w:t>第一，系统阐明低剂量 CT 成像噪声机理与成像基础理论。本文梳理了 CT 成像基本原理、投影正弦图生成规律，明确低剂量 CT 成像过程中主要存在泊松量子噪声与高斯电子噪声两类混合噪声，且投影域原始噪声会在重建过程中持续放大传播，证实了在投影域开展前置去噪相比图像域后处理具备更强的降噪优势与临床实用价值。同时总结对比传统滤波方法、迭代重建方法的优势与缺陷，明确现有技术在弱细节保留、无标注数据利用层面存在明显不足。</w:t>
      </w:r>
    </w:p>
    <w:p w14:paraId="01006CE1">
      <w:pPr>
        <w:widowControl/>
        <w:jc w:val="left"/>
        <w:rPr>
          <w:rFonts w:hint="eastAsia" w:ascii="宋体" w:hAnsi="宋体" w:cs="宋体"/>
          <w:color w:val="000000"/>
          <w:szCs w:val="24"/>
        </w:rPr>
      </w:pPr>
      <w:r>
        <w:rPr>
          <w:rFonts w:hint="eastAsia" w:ascii="宋体" w:hAnsi="宋体" w:cs="宋体"/>
          <w:color w:val="000000"/>
          <w:kern w:val="0"/>
          <w:szCs w:val="24"/>
          <w:lang w:bidi="ar"/>
        </w:rPr>
        <w:t>第二，完成自监督学习投影域去噪网络整体设计。以改进 U-Net 为骨干网络，嵌入对比学习特征解耦模块，结合正弦图一致性损失、均方误差损失与结构相似性损失构建多约束训练体系，摒弃对大批量配对干净 - 含噪投影数据的依赖。采用自监督预训练结合少量标注数据跨域微调的两阶段训练策略，让模型依靠无标注临床投影数据自主学习噪声分布与解剖结构特征，有效实现噪声特征与有效组织特征分离，在抑制高强度混合噪声的同时，最大限度保留血管、肺小结节等微弱诊断特征。</w:t>
      </w:r>
    </w:p>
    <w:p w14:paraId="085DA08D">
      <w:pPr>
        <w:widowControl/>
        <w:jc w:val="left"/>
        <w:rPr>
          <w:rFonts w:hint="eastAsia" w:ascii="宋体" w:hAnsi="宋体" w:cs="宋体"/>
          <w:color w:val="000000"/>
          <w:szCs w:val="24"/>
        </w:rPr>
      </w:pPr>
      <w:r>
        <w:rPr>
          <w:rFonts w:hint="eastAsia" w:ascii="宋体" w:hAnsi="宋体" w:cs="宋体"/>
          <w:color w:val="000000"/>
          <w:kern w:val="0"/>
          <w:szCs w:val="24"/>
          <w:lang w:bidi="ar"/>
        </w:rPr>
        <w:t>第三，构建去噪投影联合 ADMM-TV 的高质量 CT 重建方案。将经过自监督模型净化后的低噪声投影数据作为输入，采用交替方向乘子法结合总变分正则化完成图像迭代重建。相较于传统 FBP 解析重建算法，该组合方案能够有效抑制条纹伪影与块状伪影，大幅提升重建图像空间分辨率与组织对比度。实验证实，投影域前置去噪可从源头减少噪声传递，显著提升后续重建图像整体质量，实现低辐射剂量下高清晰 CT 成像。</w:t>
      </w:r>
    </w:p>
    <w:p w14:paraId="0AE4E62B">
      <w:pPr>
        <w:widowControl/>
        <w:jc w:val="left"/>
        <w:rPr>
          <w:rFonts w:hint="eastAsia" w:ascii="宋体" w:hAnsi="宋体" w:cs="宋体"/>
          <w:color w:val="000000"/>
          <w:kern w:val="0"/>
          <w:szCs w:val="24"/>
          <w:lang w:bidi="ar"/>
        </w:rPr>
      </w:pPr>
      <w:r>
        <w:rPr>
          <w:rFonts w:hint="eastAsia" w:ascii="宋体" w:hAnsi="宋体" w:cs="宋体"/>
          <w:color w:val="000000"/>
          <w:kern w:val="0"/>
          <w:szCs w:val="24"/>
          <w:lang w:bidi="ar"/>
        </w:rPr>
        <w:t>第四，通过多组对比实验与消融实验完成模型性能综合验证。从投影域、图像域两个维度，依托 PSNR、SSIM、CNR、MTF 等多项客观评价指标，结合临床主观视觉评价完成效果评估。对比实验结果表明，本文所提算法去噪与重建效果明显优于多种传统滤波算法与基础深度学习算法；消融实验进一步证实，对比学习模块、自监督预训练策略、多损失约束机制均为提升模型综合性能的核心关键，各模块协同作用可有效保障模型整体稳定性与泛化能力。</w:t>
      </w:r>
    </w:p>
    <w:p w14:paraId="0A5EAD4B">
      <w:pPr>
        <w:widowControl/>
        <w:ind w:left="0" w:leftChars="0" w:firstLine="0" w:firstLineChars="0"/>
        <w:jc w:val="both"/>
        <w:rPr>
          <w:rFonts w:hint="eastAsia" w:ascii="宋体" w:hAnsi="宋体" w:cs="宋体"/>
          <w:color w:val="000000"/>
          <w:kern w:val="0"/>
          <w:szCs w:val="24"/>
          <w:lang w:bidi="ar"/>
        </w:rPr>
      </w:pPr>
      <w:r>
        <w:rPr>
          <w:rFonts w:hint="eastAsia" w:ascii="宋体" w:hAnsi="宋体" w:cs="宋体"/>
          <w:color w:val="1F2329"/>
          <w:szCs w:val="24"/>
          <w:shd w:val="clear" w:color="auto" w:fill="FFFFFF"/>
          <w:lang w:val="en-US" w:eastAsia="zh-CN"/>
        </w:rPr>
        <w:t>如</w:t>
      </w:r>
      <w:r>
        <w:rPr>
          <w:rFonts w:hint="eastAsia" w:ascii="宋体" w:hAnsi="宋体" w:cs="宋体"/>
          <w:b w:val="0"/>
          <w:bCs w:val="0"/>
          <w:color w:val="1F2329"/>
          <w:szCs w:val="24"/>
          <w:shd w:val="clear" w:color="auto" w:fill="FFFFFF"/>
          <w:lang w:val="en-US" w:eastAsia="zh-CN"/>
        </w:rPr>
        <w:fldChar w:fldCharType="begin"/>
      </w:r>
      <w:r>
        <w:rPr>
          <w:b w:val="0"/>
          <w:bCs w:val="0"/>
        </w:rPr>
        <w:instrText xml:space="preserve"> REF _Ref812 \h  \* MERGEFORMAT</w:instrText>
      </w:r>
      <w:r>
        <w:rPr>
          <w:rFonts w:hint="eastAsia" w:ascii="宋体" w:hAnsi="宋体" w:cs="宋体"/>
          <w:b w:val="0"/>
          <w:bCs w:val="0"/>
          <w:color w:val="1F2329"/>
          <w:szCs w:val="24"/>
          <w:shd w:val="clear" w:color="auto" w:fill="FFFFFF"/>
          <w:lang w:val="en-US" w:eastAsia="zh-CN"/>
        </w:rPr>
        <w:fldChar w:fldCharType="separate"/>
      </w:r>
      <w:r>
        <w:rPr>
          <w:rFonts w:hint="eastAsia" w:ascii="宋体" w:hAnsi="宋体" w:eastAsia="宋体" w:cs="宋体"/>
          <w:b w:val="0"/>
          <w:bCs w:val="0"/>
          <w:sz w:val="21"/>
          <w:szCs w:val="21"/>
        </w:rPr>
        <w:t>图7- 1</w:t>
      </w:r>
      <w:r>
        <w:rPr>
          <w:rFonts w:hint="eastAsia" w:ascii="宋体" w:hAnsi="宋体" w:cs="宋体"/>
          <w:b w:val="0"/>
          <w:bCs w:val="0"/>
          <w:color w:val="1F2329"/>
          <w:szCs w:val="24"/>
          <w:shd w:val="clear" w:color="auto" w:fill="FFFFFF"/>
          <w:lang w:val="en-US" w:eastAsia="zh-CN"/>
        </w:rPr>
        <w:fldChar w:fldCharType="end"/>
      </w:r>
      <w:r>
        <w:rPr>
          <w:rFonts w:hint="eastAsia" w:ascii="宋体" w:hAnsi="宋体" w:cs="宋体"/>
          <w:color w:val="1F2329"/>
          <w:szCs w:val="24"/>
          <w:shd w:val="clear" w:color="auto" w:fill="FFFFFF"/>
          <w:lang w:val="en-US" w:eastAsia="zh-CN"/>
        </w:rPr>
        <w:t>所示为</w:t>
      </w:r>
      <w:r>
        <w:rPr>
          <w:rFonts w:hint="eastAsia" w:ascii="宋体" w:hAnsi="宋体" w:cs="宋体"/>
          <w:color w:val="1F2329"/>
          <w:szCs w:val="24"/>
          <w:shd w:val="clear" w:color="auto" w:fill="FFFFFF"/>
        </w:rPr>
        <w:t>自监督去噪→投影域处理→重建→评估，完整技术路线</w:t>
      </w:r>
    </w:p>
    <w:p w14:paraId="6D2AD1C6">
      <w:pPr>
        <w:widowControl/>
        <w:jc w:val="center"/>
        <w:rPr>
          <w:rFonts w:ascii="宋体" w:hAnsi="宋体" w:cs="宋体"/>
          <w:szCs w:val="24"/>
        </w:rPr>
      </w:pPr>
      <w:r>
        <w:rPr>
          <w:rFonts w:ascii="宋体" w:hAnsi="宋体" w:cs="宋体"/>
          <w:szCs w:val="24"/>
        </w:rPr>
        <w:drawing>
          <wp:inline distT="0" distB="0" distL="114300" distR="114300">
            <wp:extent cx="5746115" cy="2948305"/>
            <wp:effectExtent l="0" t="0" r="14605" b="8255"/>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21"/>
                    <a:stretch>
                      <a:fillRect/>
                    </a:stretch>
                  </pic:blipFill>
                  <pic:spPr>
                    <a:xfrm>
                      <a:off x="0" y="0"/>
                      <a:ext cx="5746115" cy="2948305"/>
                    </a:xfrm>
                    <a:prstGeom prst="rect">
                      <a:avLst/>
                    </a:prstGeom>
                    <a:noFill/>
                    <a:ln w="9525">
                      <a:noFill/>
                    </a:ln>
                  </pic:spPr>
                </pic:pic>
              </a:graphicData>
            </a:graphic>
          </wp:inline>
        </w:drawing>
      </w:r>
    </w:p>
    <w:p w14:paraId="387EDEB3">
      <w:pPr>
        <w:pStyle w:val="6"/>
        <w:widowControl/>
        <w:jc w:val="center"/>
        <w:rPr>
          <w:rFonts w:hint="eastAsia" w:ascii="宋体" w:hAnsi="宋体" w:eastAsia="宋体" w:cs="宋体"/>
          <w:b/>
          <w:bCs/>
          <w:sz w:val="21"/>
          <w:szCs w:val="21"/>
          <w:lang w:eastAsia="zh-CN"/>
        </w:rPr>
      </w:pPr>
      <w:bookmarkStart w:id="725" w:name="_Ref812"/>
      <w:r>
        <w:rPr>
          <w:rFonts w:hint="eastAsia" w:ascii="宋体" w:hAnsi="宋体" w:eastAsia="宋体" w:cs="宋体"/>
          <w:b/>
          <w:bCs/>
          <w:sz w:val="21"/>
          <w:szCs w:val="21"/>
        </w:rPr>
        <w:t xml:space="preserve">图7-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图7-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bookmarkEnd w:id="725"/>
      <w:r>
        <w:rPr>
          <w:rFonts w:hint="eastAsia" w:ascii="宋体" w:hAnsi="宋体" w:eastAsia="宋体" w:cs="宋体"/>
          <w:b/>
          <w:bCs/>
          <w:sz w:val="21"/>
          <w:szCs w:val="21"/>
          <w:lang w:eastAsia="zh-CN"/>
        </w:rPr>
        <w:t>胸部CT局部放大区域去噪效果</w:t>
      </w:r>
    </w:p>
    <w:p w14:paraId="1EBE91FB">
      <w:pPr>
        <w:pStyle w:val="3"/>
      </w:pPr>
      <w:bookmarkStart w:id="726" w:name="_Toc14251"/>
      <w:bookmarkStart w:id="727" w:name="_Toc19668"/>
      <w:bookmarkStart w:id="728" w:name="_Toc12834"/>
      <w:bookmarkStart w:id="729" w:name="_Toc16360"/>
      <w:bookmarkStart w:id="730" w:name="_Toc12403"/>
      <w:bookmarkStart w:id="731" w:name="_Toc19466"/>
      <w:bookmarkStart w:id="732" w:name="_Toc24668"/>
      <w:bookmarkStart w:id="733" w:name="_Toc24176"/>
      <w:bookmarkStart w:id="734" w:name="_Toc7227"/>
      <w:bookmarkStart w:id="735" w:name="_Toc12334"/>
      <w:bookmarkStart w:id="736" w:name="_Toc15937"/>
      <w:bookmarkStart w:id="737" w:name="_Toc26209"/>
      <w:bookmarkStart w:id="738" w:name="_Toc18108"/>
      <w:bookmarkStart w:id="739" w:name="_Toc17703"/>
      <w:bookmarkStart w:id="740" w:name="_Toc1297"/>
      <w:r>
        <w:rPr>
          <w:rFonts w:hint="eastAsia"/>
          <w:lang w:val="en-US"/>
        </w:rPr>
        <w:t>7</w:t>
      </w:r>
      <w:r>
        <w:rPr>
          <w:rFonts w:hint="eastAsia"/>
        </w:rPr>
        <w:t>.2 本文主要创新点</w:t>
      </w:r>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p>
    <w:p w14:paraId="0FF2FB6A">
      <w:pPr>
        <w:widowControl/>
        <w:jc w:val="left"/>
        <w:rPr>
          <w:rFonts w:hint="eastAsia" w:ascii="宋体" w:hAnsi="宋体" w:cs="宋体"/>
          <w:color w:val="000000"/>
          <w:szCs w:val="24"/>
        </w:rPr>
      </w:pPr>
      <w:r>
        <w:rPr>
          <w:rFonts w:hint="eastAsia" w:ascii="宋体" w:hAnsi="宋体" w:cs="宋体"/>
          <w:color w:val="000000"/>
          <w:kern w:val="0"/>
          <w:szCs w:val="24"/>
          <w:lang w:bidi="ar"/>
        </w:rPr>
        <w:t>研究视角创新打破多数研究聚焦 CT 图像域去噪的固有思路，立足 CT 成像原始投影域开展去噪研究，贴合 CT 物理成像流程，从噪声产生源头完成噪声抑制，有效规避图像域去噪难以消除深层伪影的弊端，研究思路更贴合医学影像实际成像逻辑。</w:t>
      </w:r>
    </w:p>
    <w:p w14:paraId="77A3D1F1">
      <w:pPr>
        <w:widowControl/>
        <w:jc w:val="left"/>
        <w:rPr>
          <w:rFonts w:hint="eastAsia" w:ascii="宋体" w:hAnsi="宋体" w:cs="宋体"/>
          <w:color w:val="000000"/>
          <w:szCs w:val="24"/>
        </w:rPr>
      </w:pPr>
      <w:r>
        <w:rPr>
          <w:rFonts w:hint="eastAsia" w:ascii="宋体" w:hAnsi="宋体" w:cs="宋体"/>
          <w:color w:val="000000"/>
          <w:kern w:val="0"/>
          <w:szCs w:val="24"/>
          <w:lang w:bidi="ar"/>
        </w:rPr>
        <w:t>训练模式创新将自监督学习引入低剂量 CT 投影域去噪任务，摆脱传统监督深度学习对大量临床配对标注数据的严苛需求，仅利用医院常规采集的无标注低剂量投影数据即可完成模型基础训练，少量标注数据微调便可满足临床使用需求，大幅降低医学影像数据集制作成本与研究落地门槛。</w:t>
      </w:r>
    </w:p>
    <w:p w14:paraId="62BA12D8">
      <w:pPr>
        <w:widowControl/>
        <w:jc w:val="left"/>
        <w:rPr>
          <w:rFonts w:hint="eastAsia" w:ascii="宋体" w:hAnsi="宋体" w:cs="宋体"/>
          <w:color w:val="000000"/>
          <w:szCs w:val="24"/>
        </w:rPr>
      </w:pPr>
      <w:r>
        <w:rPr>
          <w:rFonts w:hint="eastAsia" w:ascii="宋体" w:hAnsi="宋体" w:cs="宋体"/>
          <w:color w:val="000000"/>
          <w:kern w:val="0"/>
          <w:szCs w:val="24"/>
          <w:lang w:bidi="ar"/>
        </w:rPr>
        <w:t>算法组合创新搭建 “自监督投影域去噪 + ADMM-TV 迭代重建” 一体化处理框架，实现数据预处理与图像重建深度协同匹配，通过数学建模完成整体流程优化，兼顾噪声抑制、边缘细节保留与成像运算效率，平衡算法实用性与成像精准度，更适配基层医院大规模低剂量 CT 筛查场景。</w:t>
      </w:r>
    </w:p>
    <w:p w14:paraId="1771D1E5">
      <w:pPr>
        <w:pStyle w:val="3"/>
      </w:pPr>
      <w:bookmarkStart w:id="741" w:name="_Toc30991"/>
      <w:bookmarkStart w:id="742" w:name="_Toc18214"/>
      <w:bookmarkStart w:id="743" w:name="_Toc13768"/>
      <w:bookmarkStart w:id="744" w:name="_Toc31314"/>
      <w:bookmarkStart w:id="745" w:name="_Toc19183"/>
      <w:bookmarkStart w:id="746" w:name="_Toc8261"/>
      <w:bookmarkStart w:id="747" w:name="_Toc26754"/>
      <w:bookmarkStart w:id="748" w:name="_Toc21878"/>
      <w:bookmarkStart w:id="749" w:name="_Toc12383"/>
      <w:bookmarkStart w:id="750" w:name="_Toc27036"/>
      <w:bookmarkStart w:id="751" w:name="_Toc23217"/>
      <w:bookmarkStart w:id="752" w:name="_Toc8702"/>
      <w:bookmarkStart w:id="753" w:name="_Toc30122"/>
      <w:bookmarkStart w:id="754" w:name="_Toc26215"/>
      <w:bookmarkStart w:id="755" w:name="_Toc22944"/>
      <w:r>
        <w:rPr>
          <w:rFonts w:hint="eastAsia"/>
          <w:lang w:val="en-US"/>
        </w:rPr>
        <w:t>7</w:t>
      </w:r>
      <w:r>
        <w:rPr>
          <w:rFonts w:hint="eastAsia"/>
        </w:rPr>
        <w:t>.3 研究存在的不足</w:t>
      </w:r>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p>
    <w:p w14:paraId="048E077A">
      <w:pPr>
        <w:widowControl/>
        <w:jc w:val="left"/>
        <w:rPr>
          <w:rFonts w:hint="eastAsia" w:ascii="宋体" w:hAnsi="宋体" w:cs="宋体"/>
          <w:color w:val="000000"/>
          <w:szCs w:val="24"/>
        </w:rPr>
      </w:pPr>
      <w:r>
        <w:rPr>
          <w:rFonts w:hint="eastAsia" w:ascii="宋体" w:hAnsi="宋体" w:cs="宋体"/>
          <w:color w:val="000000"/>
          <w:kern w:val="0"/>
          <w:szCs w:val="24"/>
          <w:lang w:bidi="ar"/>
        </w:rPr>
        <w:t>虽然本文所提方法能够有效完成低剂量 CT 投影去噪与高质量重建任务，但受限于实验条件、研究时长与硬件资源，本研究仍存在部分有待完善之处。</w:t>
      </w:r>
    </w:p>
    <w:p w14:paraId="57C17928">
      <w:pPr>
        <w:widowControl/>
        <w:jc w:val="left"/>
        <w:rPr>
          <w:rFonts w:hint="eastAsia" w:ascii="宋体" w:hAnsi="宋体" w:cs="宋体"/>
          <w:color w:val="000000"/>
          <w:szCs w:val="24"/>
        </w:rPr>
      </w:pPr>
      <w:r>
        <w:rPr>
          <w:rFonts w:hint="eastAsia" w:ascii="宋体" w:hAnsi="宋体" w:cs="宋体"/>
          <w:color w:val="000000"/>
          <w:kern w:val="0"/>
          <w:szCs w:val="24"/>
          <w:lang w:bidi="ar"/>
        </w:rPr>
        <w:t>其一，模型泛化场景存在局限。本文实验数据主要以胸部低剂量 CT 投影数据为主，未充分融入头部、腹部、骨骼等多部位 CT 影像数据进行训练与测试，模型对不同人体部位、不同扫描设备、不同扫描参数下的复杂噪声适配能力仍有提升空间。</w:t>
      </w:r>
    </w:p>
    <w:p w14:paraId="3451E952">
      <w:pPr>
        <w:widowControl/>
        <w:jc w:val="left"/>
        <w:rPr>
          <w:rFonts w:hint="eastAsia" w:ascii="宋体" w:hAnsi="宋体" w:cs="宋体"/>
          <w:color w:val="000000"/>
          <w:szCs w:val="24"/>
        </w:rPr>
      </w:pPr>
      <w:r>
        <w:rPr>
          <w:rFonts w:hint="eastAsia" w:ascii="宋体" w:hAnsi="宋体" w:cs="宋体"/>
          <w:color w:val="000000"/>
          <w:kern w:val="0"/>
          <w:szCs w:val="24"/>
          <w:lang w:bidi="ar"/>
        </w:rPr>
        <w:t>其二，网络模型体量偏大，实时性有待优化。本文搭建的自监督去噪网络结构较为完整，虽能够保证去噪精度，但模型参数量与计算量偏大，在便携式医疗设备、移动端快速成像场景中部署难度较高，难以满足极速扫描成像的实时运算需求。</w:t>
      </w:r>
    </w:p>
    <w:p w14:paraId="4570B6F2">
      <w:pPr>
        <w:widowControl/>
        <w:jc w:val="left"/>
        <w:rPr>
          <w:rFonts w:hint="eastAsia" w:ascii="宋体" w:hAnsi="宋体" w:cs="宋体"/>
          <w:color w:val="000000"/>
          <w:szCs w:val="24"/>
        </w:rPr>
      </w:pPr>
      <w:r>
        <w:rPr>
          <w:rFonts w:hint="eastAsia" w:ascii="宋体" w:hAnsi="宋体" w:cs="宋体"/>
          <w:color w:val="000000"/>
          <w:kern w:val="0"/>
          <w:szCs w:val="24"/>
          <w:lang w:bidi="ar"/>
        </w:rPr>
        <w:t>其三，临床深度验证不够充分。本文目前仅完成公开数据集与少量临床脱敏数据的仿真实验与效果验证，尚未开展大批量临床病例对照研究，未结合实际临床诊断流程进行病灶检出率、诊断准确率等深度临床指标统计，距离真正落地临床辅助诊断仍存在一定距离。</w:t>
      </w:r>
    </w:p>
    <w:p w14:paraId="102738AF">
      <w:pPr>
        <w:pStyle w:val="3"/>
      </w:pPr>
      <w:bookmarkStart w:id="756" w:name="_Toc15181"/>
      <w:bookmarkStart w:id="757" w:name="_Toc16288"/>
      <w:bookmarkStart w:id="758" w:name="_Toc11235"/>
      <w:bookmarkStart w:id="759" w:name="_Toc9925"/>
      <w:bookmarkStart w:id="760" w:name="_Toc23204"/>
      <w:bookmarkStart w:id="761" w:name="_Toc22362"/>
      <w:bookmarkStart w:id="762" w:name="_Toc8224"/>
      <w:bookmarkStart w:id="763" w:name="_Toc19228"/>
      <w:bookmarkStart w:id="764" w:name="_Toc6813"/>
      <w:bookmarkStart w:id="765" w:name="_Toc6896"/>
      <w:bookmarkStart w:id="766" w:name="_Toc28053"/>
      <w:bookmarkStart w:id="767" w:name="_Toc29420"/>
      <w:bookmarkStart w:id="768" w:name="_Toc26981"/>
      <w:bookmarkStart w:id="769" w:name="_Toc21216"/>
      <w:bookmarkStart w:id="770" w:name="_Toc5470"/>
      <w:r>
        <w:rPr>
          <w:rFonts w:hint="eastAsia"/>
          <w:lang w:val="en-US"/>
        </w:rPr>
        <w:t>7</w:t>
      </w:r>
      <w:r>
        <w:rPr>
          <w:rFonts w:hint="eastAsia"/>
        </w:rPr>
        <w:t>.4 未来研究展望</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p>
    <w:p w14:paraId="4BB65216">
      <w:pPr>
        <w:widowControl/>
        <w:jc w:val="left"/>
        <w:rPr>
          <w:rFonts w:hint="eastAsia" w:ascii="宋体" w:hAnsi="宋体" w:cs="宋体"/>
          <w:color w:val="000000"/>
          <w:szCs w:val="24"/>
        </w:rPr>
      </w:pPr>
      <w:r>
        <w:rPr>
          <w:rFonts w:hint="eastAsia" w:ascii="宋体" w:hAnsi="宋体" w:cs="宋体"/>
          <w:color w:val="000000"/>
          <w:kern w:val="0"/>
          <w:szCs w:val="24"/>
          <w:lang w:bidi="ar"/>
        </w:rPr>
        <w:t>结合本次研究存在的不足与低剂量 CT 智能成像领域发展趋势，后续可从以下多个方向开展进一步深入研究：</w:t>
      </w:r>
    </w:p>
    <w:p w14:paraId="2C77FEE5">
      <w:pPr>
        <w:widowControl/>
        <w:jc w:val="left"/>
        <w:rPr>
          <w:rFonts w:hint="eastAsia" w:ascii="宋体" w:hAnsi="宋体" w:cs="宋体"/>
          <w:color w:val="000000"/>
          <w:szCs w:val="24"/>
        </w:rPr>
      </w:pPr>
      <w:r>
        <w:rPr>
          <w:rFonts w:hint="eastAsia" w:ascii="宋体" w:hAnsi="宋体" w:cs="宋体"/>
          <w:color w:val="000000"/>
          <w:kern w:val="0"/>
          <w:szCs w:val="24"/>
          <w:lang w:bidi="ar"/>
        </w:rPr>
        <w:t>第一，实现多部位、多场景通用化模型优化。扩充全身多部位低剂量 CT 投影数据集，丰富噪声类型与扫描工况，对网络进行多场景联合训练，提升模型在不同扫描体位、不同辐射剂量等级、不同医疗设备下的通用适配能力，打造通用性更强的低剂量 CT 智能去噪重建模型。</w:t>
      </w:r>
    </w:p>
    <w:p w14:paraId="127A560F">
      <w:pPr>
        <w:widowControl/>
        <w:jc w:val="left"/>
        <w:rPr>
          <w:rFonts w:hint="eastAsia" w:ascii="宋体" w:hAnsi="宋体" w:cs="宋体"/>
          <w:color w:val="000000"/>
          <w:szCs w:val="24"/>
        </w:rPr>
      </w:pPr>
      <w:r>
        <w:rPr>
          <w:rFonts w:hint="eastAsia" w:ascii="宋体" w:hAnsi="宋体" w:cs="宋体"/>
          <w:color w:val="000000"/>
          <w:kern w:val="0"/>
          <w:szCs w:val="24"/>
          <w:lang w:bidi="ar"/>
        </w:rPr>
        <w:t>第二，开展网络轻量化与高效推理研究。在保证核心去噪与重建精度不变的前提下，通过深度卷积裁剪、模型蒸馏、稀疏化训练等方式压缩网络结构，减少模型参数量与运算开销，实现模型轻量化改造，使其能够顺利嵌入临床 CT 扫描设备，实现扫描、去噪、重建一体化实时处理。</w:t>
      </w:r>
    </w:p>
    <w:p w14:paraId="7A444022">
      <w:pPr>
        <w:widowControl/>
        <w:jc w:val="left"/>
        <w:rPr>
          <w:rFonts w:hint="eastAsia" w:ascii="宋体" w:hAnsi="宋体" w:cs="宋体"/>
          <w:color w:val="000000"/>
          <w:szCs w:val="24"/>
        </w:rPr>
      </w:pPr>
      <w:r>
        <w:rPr>
          <w:rFonts w:hint="eastAsia" w:ascii="宋体" w:hAnsi="宋体" w:cs="宋体"/>
          <w:color w:val="000000"/>
          <w:kern w:val="0"/>
          <w:szCs w:val="24"/>
          <w:lang w:bidi="ar"/>
        </w:rPr>
        <w:t>第三，推动多模态信息融合研究。后续可将 CT 影像与胸片、磁共振影像等多模态医学影像信息相结合，融合多维度先验知识进一步优化正则化约束条件，进一步提升极低剂量条件下细微病灶、早期病变区域的特征还原能力，助力早期疾病筛查诊断。</w:t>
      </w:r>
    </w:p>
    <w:p w14:paraId="275D4B85">
      <w:pPr>
        <w:ind w:firstLine="0" w:firstLineChars="0"/>
        <w:rPr>
          <w:rFonts w:ascii="Times New Roman" w:hAnsi="Times New Roman" w:cstheme="minorBidi"/>
          <w:kern w:val="0"/>
          <w:szCs w:val="22"/>
        </w:rPr>
      </w:pPr>
      <w:r>
        <w:rPr>
          <w:rFonts w:ascii="Times New Roman" w:hAnsi="Times New Roman" w:cstheme="minorBidi"/>
          <w:kern w:val="0"/>
          <w:szCs w:val="22"/>
        </w:rPr>
        <w:br w:type="page"/>
      </w:r>
    </w:p>
    <w:p w14:paraId="0C98D144">
      <w:pPr>
        <w:ind w:firstLine="0" w:firstLineChars="0"/>
        <w:jc w:val="center"/>
        <w:outlineLvl w:val="0"/>
        <w:rPr>
          <w:rFonts w:ascii="Times New Roman" w:hAnsi="Times New Roman"/>
          <w:kern w:val="0"/>
          <w:szCs w:val="24"/>
        </w:rPr>
      </w:pPr>
      <w:bookmarkStart w:id="771" w:name="_Toc21247"/>
      <w:bookmarkStart w:id="772" w:name="_Toc1258"/>
      <w:bookmarkStart w:id="773" w:name="_Toc8093"/>
      <w:bookmarkStart w:id="774" w:name="_Toc5358"/>
      <w:bookmarkStart w:id="775" w:name="_Toc15352"/>
      <w:bookmarkStart w:id="776" w:name="_Toc12924"/>
      <w:bookmarkStart w:id="777" w:name="_Toc13007"/>
      <w:bookmarkStart w:id="778" w:name="_Toc25149"/>
      <w:bookmarkStart w:id="779" w:name="_Toc616"/>
      <w:bookmarkStart w:id="780" w:name="_Toc22806"/>
      <w:bookmarkStart w:id="781" w:name="_Toc13621"/>
      <w:bookmarkStart w:id="782" w:name="_Toc27496"/>
      <w:bookmarkStart w:id="783" w:name="_Toc1102"/>
      <w:bookmarkStart w:id="784" w:name="_Toc9837"/>
      <w:bookmarkStart w:id="785" w:name="_Toc14460"/>
      <w:bookmarkStart w:id="786" w:name="_Toc8827"/>
      <w:bookmarkStart w:id="787" w:name="_Toc28870"/>
      <w:r>
        <w:rPr>
          <w:rFonts w:hint="eastAsia" w:ascii="Times New Roman" w:hAnsi="Times New Roman" w:eastAsia="黑体"/>
          <w:kern w:val="0"/>
          <w:sz w:val="32"/>
          <w:szCs w:val="32"/>
        </w:rPr>
        <w:t>结束语</w:t>
      </w:r>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p>
    <w:p w14:paraId="5DA0CCFB">
      <w:pPr>
        <w:widowControl/>
        <w:spacing w:line="288" w:lineRule="atLeast"/>
        <w:jc w:val="left"/>
        <w:rPr>
          <w:color w:val="000000"/>
          <w:szCs w:val="24"/>
        </w:rPr>
      </w:pPr>
      <w:bookmarkStart w:id="788" w:name="_Toc486603437"/>
      <w:bookmarkStart w:id="789" w:name="_Toc19179"/>
      <w:bookmarkStart w:id="790" w:name="_Toc484469558"/>
      <w:bookmarkStart w:id="791" w:name="_Toc486853306"/>
      <w:bookmarkStart w:id="792" w:name="_Toc484465785"/>
      <w:bookmarkStart w:id="793" w:name="_Toc486852605"/>
      <w:bookmarkStart w:id="794" w:name="_Toc486853113"/>
      <w:r>
        <w:rPr>
          <w:rFonts w:ascii="宋体" w:hAnsi="宋体" w:cs="宋体"/>
          <w:color w:val="000000"/>
          <w:kern w:val="0"/>
          <w:szCs w:val="24"/>
          <w:lang w:bidi="ar"/>
        </w:rPr>
        <w:t>本研究围绕</w:t>
      </w:r>
      <w:r>
        <w:rPr>
          <w:rStyle w:val="34"/>
          <w:rFonts w:ascii="宋体" w:hAnsi="宋体" w:cs="宋体"/>
          <w:color w:val="000000"/>
          <w:kern w:val="0"/>
          <w:szCs w:val="24"/>
          <w:lang w:bidi="ar"/>
        </w:rPr>
        <w:t>基于自监督学习的低剂量 CT 投影域去噪与高质量重建</w:t>
      </w:r>
      <w:r>
        <w:rPr>
          <w:rFonts w:ascii="宋体" w:hAnsi="宋体" w:cs="宋体"/>
          <w:color w:val="000000"/>
          <w:kern w:val="0"/>
          <w:szCs w:val="24"/>
          <w:lang w:bidi="ar"/>
        </w:rPr>
        <w:t>展开系统探索，针对低剂量 CT 成像噪声突出、传统方法细节丢失、监督学习依赖标注数据等痛点，完成了从理论分析、模型构建到实验验证的全流程工作。通过将自监督学习与 CT 投影域物理特性深度结合，构建了 “自监督去噪 + ADMM-TV 迭代重建” 的一体化框架，有效实现了噪声精准抑制与解剖细节完整保留，为低剂量 CT 临床应用提供了可行的技术方案。</w:t>
      </w:r>
    </w:p>
    <w:p w14:paraId="7CE4AA9F">
      <w:pPr>
        <w:widowControl/>
        <w:spacing w:line="288" w:lineRule="atLeast"/>
        <w:jc w:val="left"/>
        <w:rPr>
          <w:color w:val="000000"/>
          <w:szCs w:val="24"/>
        </w:rPr>
      </w:pPr>
      <w:r>
        <w:rPr>
          <w:rFonts w:ascii="宋体" w:hAnsi="宋体" w:cs="宋体"/>
          <w:color w:val="000000"/>
          <w:kern w:val="0"/>
          <w:szCs w:val="24"/>
          <w:lang w:bidi="ar"/>
        </w:rPr>
        <w:t>本次毕业设计的研究过程，让我系统掌握了 CT 成像原理、深度学习去噪与迭代重建的核心方法，深刻体会到医学影像处理领域 “理论严谨、实践落地” 的科研要求。从文献研读、算法设计到实验调试与论文撰写，每一步都离不开严谨的逻辑推导与反复的实践验证，不仅夯实了人工智能专业知识，更提升了独立科研、问题解决与工程实践能力。</w:t>
      </w:r>
    </w:p>
    <w:p w14:paraId="6B72961D">
      <w:pPr>
        <w:widowControl/>
        <w:spacing w:line="288" w:lineRule="atLeast"/>
        <w:jc w:val="left"/>
        <w:rPr>
          <w:color w:val="000000"/>
          <w:szCs w:val="24"/>
        </w:rPr>
      </w:pPr>
      <w:r>
        <w:rPr>
          <w:rFonts w:ascii="宋体" w:hAnsi="宋体" w:cs="宋体"/>
          <w:color w:val="000000"/>
          <w:kern w:val="0"/>
          <w:szCs w:val="24"/>
          <w:lang w:bidi="ar"/>
        </w:rPr>
        <w:t>低剂量 CT 是未来医学影像发展的重要方向，自监督学习为无标注医学数据处理提供了全新思路。尽管本研究仍存在场景适配、模型轻量化等不足，但为后续多部位通用模型、端到端协同重建与临床落地研究奠定了基础。未来，我将继续深耕医学影像人工智能领域，不断优化算法、推动技术转化，力求用智能技术提升医学影像质量，为临床诊断与公共卫生健康事业贡献力量。</w:t>
      </w:r>
    </w:p>
    <w:p w14:paraId="5E5C5A88">
      <w:pPr>
        <w:widowControl/>
        <w:spacing w:line="288" w:lineRule="atLeast"/>
        <w:jc w:val="left"/>
        <w:rPr>
          <w:rFonts w:hint="eastAsia" w:ascii="Times New Roman" w:hAnsi="Times New Roman" w:eastAsia="宋体" w:cstheme="minorBidi"/>
          <w:kern w:val="0"/>
          <w:szCs w:val="22"/>
          <w:lang w:eastAsia="zh-CN"/>
        </w:rPr>
        <w:sectPr>
          <w:footerReference r:id="rId8" w:type="default"/>
          <w:pgSz w:w="11906" w:h="16838"/>
          <w:pgMar w:top="1418" w:right="1134" w:bottom="1418" w:left="1701" w:header="680" w:footer="992" w:gutter="0"/>
          <w:pgBorders>
            <w:top w:val="none" w:sz="0" w:space="0"/>
            <w:left w:val="none" w:sz="0" w:space="0"/>
            <w:bottom w:val="none" w:sz="0" w:space="0"/>
            <w:right w:val="none" w:sz="0" w:space="0"/>
          </w:pgBorders>
          <w:pgNumType w:fmt="decimal" w:start="1"/>
          <w:cols w:space="425" w:num="1"/>
          <w:docGrid w:type="lines" w:linePitch="326" w:charSpace="0"/>
        </w:sectPr>
      </w:pPr>
      <w:r>
        <w:rPr>
          <w:rFonts w:ascii="宋体" w:hAnsi="宋体" w:cs="宋体"/>
          <w:color w:val="000000"/>
          <w:kern w:val="0"/>
          <w:szCs w:val="24"/>
          <w:lang w:bidi="ar"/>
        </w:rPr>
        <w:t>至此，本次本科毕业设计工作圆满完成。这段科研经历将成为我学术与职业道路上的宝贵财富，激励我在技术探索之路上持续</w:t>
      </w:r>
    </w:p>
    <w:p w14:paraId="0527AFC7">
      <w:pPr>
        <w:ind w:left="0" w:leftChars="0" w:firstLine="0" w:firstLineChars="0"/>
        <w:jc w:val="center"/>
        <w:outlineLvl w:val="0"/>
        <w:rPr>
          <w:rFonts w:ascii="Times New Roman" w:hAnsi="Times New Roman"/>
          <w:kern w:val="0"/>
          <w:szCs w:val="24"/>
        </w:rPr>
      </w:pPr>
      <w:bookmarkStart w:id="795" w:name="_Toc6975"/>
      <w:bookmarkStart w:id="796" w:name="_Toc22656"/>
      <w:bookmarkStart w:id="797" w:name="_Toc10870"/>
      <w:bookmarkStart w:id="798" w:name="_Toc23049"/>
      <w:bookmarkStart w:id="799" w:name="_Toc15540"/>
      <w:bookmarkStart w:id="800" w:name="_Toc32293"/>
      <w:bookmarkStart w:id="801" w:name="_Toc23222"/>
      <w:bookmarkStart w:id="802" w:name="_Toc12425"/>
      <w:bookmarkStart w:id="803" w:name="_Toc27362"/>
      <w:bookmarkStart w:id="804" w:name="_Toc26416"/>
      <w:bookmarkStart w:id="805" w:name="_Toc27976"/>
      <w:bookmarkStart w:id="806" w:name="_Toc5566"/>
      <w:bookmarkStart w:id="807" w:name="_Toc23785"/>
      <w:bookmarkStart w:id="808" w:name="_Toc1186"/>
      <w:bookmarkStart w:id="809" w:name="_Toc1398"/>
      <w:bookmarkStart w:id="810" w:name="_Toc9695"/>
      <w:r>
        <w:rPr>
          <w:rFonts w:hint="eastAsia" w:ascii="Times New Roman" w:hAnsi="Times New Roman" w:eastAsia="黑体"/>
          <w:kern w:val="0"/>
          <w:sz w:val="32"/>
          <w:szCs w:val="32"/>
        </w:rPr>
        <w:t>致  谢</w:t>
      </w:r>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p>
    <w:p w14:paraId="5A833F37">
      <w:pPr>
        <w:pStyle w:val="28"/>
        <w:keepNext w:val="0"/>
        <w:keepLines w:val="0"/>
        <w:widowControl/>
        <w:suppressLineNumbers w:val="0"/>
        <w:shd w:val="clear" w:fill="FFFFFF"/>
        <w:spacing w:before="192" w:beforeAutospacing="0" w:after="192"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研究针对低剂量CT投影域噪声问题，提出了基于自监督学习的去噪与ADMM-TV重建一体化框架。实验表明，本方法噪声抑制率达82.3%，重建图像SSIM达0.94、PSNR达41.2dB，显著优于传统方法。创新点包括：立足投影域源头去噪、引入自监督学习降低标注依赖、构建去噪</w:t>
      </w:r>
      <w:r>
        <w:rPr>
          <w:rFonts w:hint="eastAsia" w:ascii="宋体" w:hAnsi="宋体" w:eastAsia="宋体" w:cs="宋体"/>
          <w:i w:val="0"/>
          <w:iCs w:val="0"/>
          <w:caps w:val="0"/>
          <w:color w:val="0F1115"/>
          <w:spacing w:val="0"/>
          <w:sz w:val="24"/>
          <w:szCs w:val="24"/>
          <w:shd w:val="clear" w:fill="FFFFFF"/>
        </w:rPr>
        <w:noBreakHyphen/>
      </w:r>
      <w:r>
        <w:rPr>
          <w:rFonts w:hint="eastAsia" w:ascii="宋体" w:hAnsi="宋体" w:eastAsia="宋体" w:cs="宋体"/>
          <w:i w:val="0"/>
          <w:iCs w:val="0"/>
          <w:caps w:val="0"/>
          <w:color w:val="0F1115"/>
          <w:spacing w:val="0"/>
          <w:sz w:val="24"/>
          <w:szCs w:val="24"/>
          <w:shd w:val="clear" w:fill="FFFFFF"/>
        </w:rPr>
        <w:t>重建协同框架。当前模型存在泛化局限与体量偏大问题，未来将致力于多部位通用化与轻量化研究。</w:t>
      </w:r>
    </w:p>
    <w:p w14:paraId="04FB795F">
      <w:pPr>
        <w:pStyle w:val="28"/>
        <w:keepNext w:val="0"/>
        <w:keepLines w:val="0"/>
        <w:widowControl/>
        <w:suppressLineNumbers w:val="0"/>
        <w:shd w:val="clear" w:fill="FFFFFF"/>
        <w:spacing w:before="192" w:beforeAutospacing="0" w:after="192" w:afterAutospacing="0" w:line="360" w:lineRule="auto"/>
        <w:ind w:right="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大学生活即将结束，这段时间的学习和生活让我受益匪浅。经过了大半年的努力，毕业论文终于完稿。回首这段收集、整理、思索、修改的过程，我受到了许多人的关怀和帮助，在此向他们表达我最诚挚的谢意。</w:t>
      </w:r>
    </w:p>
    <w:p w14:paraId="0C623B08">
      <w:pPr>
        <w:pStyle w:val="28"/>
        <w:keepNext w:val="0"/>
        <w:keepLines w:val="0"/>
        <w:widowControl/>
        <w:suppressLineNumbers w:val="0"/>
        <w:shd w:val="clear" w:fill="FFFFFF"/>
        <w:spacing w:before="192" w:beforeAutospacing="0" w:after="192"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首先，深深感谢我的导师。他为人谦和，平易近人，在论文选题、资料搜集和写作阶段，他给予了我极大的关怀和鼓励。每当我遇到困惑时，他总会抽出时间不厌其烦地为我指点迷津。在初稿完成后，他又抽出宝贵的时间认真批改我的论文，提出许多中肯的指导意见，让我在研究和写作过程中不至迷失方向。他严谨的治学态度和对事业的孜孜追求将影响和激励我一生，他对我的关心和教诲我将永远铭记。我也要感谢我的大学室友和同学们，他们在写论文时和我相互勉励并且互帮互助。</w:t>
      </w:r>
    </w:p>
    <w:p w14:paraId="7EE5679D">
      <w:pPr>
        <w:pStyle w:val="28"/>
        <w:keepNext w:val="0"/>
        <w:keepLines w:val="0"/>
        <w:widowControl/>
        <w:suppressLineNumbers w:val="0"/>
        <w:shd w:val="clear" w:fill="FFFFFF"/>
        <w:spacing w:before="192" w:beforeAutospacing="0" w:after="192"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我还要感谢我的家人们，他们从始至终都给予了我很大的支持和鼓励，我一定要在今后的工作和学习中加倍努力以能够取得更多的成果来回报社会，回报家人。</w:t>
      </w:r>
    </w:p>
    <w:p w14:paraId="5CAEF7EC">
      <w:pPr>
        <w:pStyle w:val="28"/>
        <w:keepNext w:val="0"/>
        <w:keepLines w:val="0"/>
        <w:widowControl/>
        <w:suppressLineNumbers w:val="0"/>
        <w:shd w:val="clear" w:fill="FFFFFF"/>
        <w:spacing w:before="192" w:beforeAutospacing="0" w:after="192" w:afterAutospacing="0" w:line="36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花开花落万物到，聚散离别终有时。大学的生活即将结束，感恩每个在我身边出现的人，正是有你们的善意和陪伴，才拼凑出我这段旅程的不舍与热爱，祝福你们的未来都如鲜花般灿烂。</w:t>
      </w:r>
    </w:p>
    <w:p w14:paraId="4CE014F6">
      <w:pPr>
        <w:pStyle w:val="2"/>
        <w:bidi w:val="0"/>
        <w:jc w:val="center"/>
      </w:pPr>
      <w:r>
        <w:rPr>
          <w:rFonts w:ascii="Times New Roman" w:hAnsi="Times New Roman" w:eastAsia="黑体"/>
          <w:kern w:val="0"/>
          <w:szCs w:val="24"/>
        </w:rPr>
        <w:br w:type="page"/>
      </w:r>
      <w:bookmarkStart w:id="811" w:name="_Toc27967"/>
      <w:bookmarkStart w:id="812" w:name="_Toc17374"/>
      <w:bookmarkStart w:id="813" w:name="_Toc484469559"/>
      <w:bookmarkStart w:id="814" w:name="_Toc486853307"/>
      <w:bookmarkStart w:id="815" w:name="_Toc12320"/>
      <w:bookmarkStart w:id="816" w:name="_Toc3936"/>
      <w:bookmarkStart w:id="817" w:name="_Toc940"/>
      <w:bookmarkStart w:id="818" w:name="_Toc486853114"/>
      <w:bookmarkStart w:id="819" w:name="_Toc27077"/>
      <w:bookmarkStart w:id="820" w:name="_Toc486852606"/>
      <w:bookmarkStart w:id="821" w:name="_Toc23830"/>
      <w:bookmarkStart w:id="822" w:name="_Toc24879"/>
      <w:bookmarkStart w:id="823" w:name="_Toc484465786"/>
      <w:bookmarkStart w:id="824" w:name="_Toc23737"/>
      <w:bookmarkStart w:id="825" w:name="_Toc26501"/>
      <w:bookmarkStart w:id="826" w:name="_Toc486603438"/>
      <w:bookmarkStart w:id="827" w:name="_Toc1043"/>
      <w:bookmarkStart w:id="828" w:name="_Toc8951"/>
      <w:bookmarkStart w:id="829" w:name="_Toc32010"/>
      <w:bookmarkStart w:id="830" w:name="_Toc23267"/>
      <w:bookmarkStart w:id="831" w:name="_Toc31190"/>
      <w:bookmarkStart w:id="832" w:name="_Toc19628"/>
      <w:r>
        <w:rPr>
          <w:rFonts w:hint="eastAsia"/>
        </w:rPr>
        <w:t>参考文献</w:t>
      </w:r>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p>
    <w:p w14:paraId="1000AFAC">
      <w:pPr>
        <w:widowControl w:val="0"/>
        <w:numPr>
          <w:ilvl w:val="0"/>
          <w:numId w:val="6"/>
        </w:numPr>
        <w:spacing w:after="120" w:line="360" w:lineRule="auto"/>
        <w:ind w:leftChars="0" w:firstLine="480" w:firstLineChars="20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Chen H, Zhang Y, Kalra M K, et al. Low-dose CT with a residual encoder-decoder convolutional neural network [J]. IEEE transactions on medical imaging, 2017, 36 (12):2524-2535.</w:t>
      </w:r>
    </w:p>
    <w:p w14:paraId="1045C9FB">
      <w:pPr>
        <w:widowControl w:val="0"/>
        <w:numPr>
          <w:ilvl w:val="0"/>
          <w:numId w:val="6"/>
        </w:numPr>
        <w:spacing w:after="120" w:line="360" w:lineRule="auto"/>
        <w:ind w:leftChars="0" w:firstLine="480" w:firstLineChars="20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 xml:space="preserve"> Barber F R, Sidky Y E, Schmidt G T, et al. An algorithm for constrained one-step inversion of spectral CT data [J]. Physics in Medicine and Biology, 2016, 61 (10):3784-3818.</w:t>
      </w:r>
    </w:p>
    <w:p w14:paraId="5ADE4E41">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姜一，田葵，沙晋璐，等。基于能谱纯化结合迭代重建算法在继发性肺结核患者低剂量 CT 检查中的应用 [J]. CT 理论与应用研究，2022,31 (1):95-101. </w:t>
      </w:r>
    </w:p>
    <w:p w14:paraId="16837269">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郭馥佩。基于卷积神经网络的低剂量 CT 重建方法研究 [D]. 四川：电子科技大学，2023.</w:t>
      </w:r>
    </w:p>
    <w:p w14:paraId="2888C42D">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汪琴，严伟杰，袁元，等。深度学习重建算法在上腹部能谱 CT 小血管显示中的研究 [J]. CT 理论与应用研究，2025,34 (1):37-43. </w:t>
      </w:r>
    </w:p>
    <w:p w14:paraId="3894D75C">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张世宇。基于深度学习的低剂量 CT 图像降噪算法研究 [D]. 甘肃：中国科学院近代物理研究所，2023.</w:t>
      </w:r>
    </w:p>
    <w:p w14:paraId="6A3DE12B">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张辉。工业场景下基于深度学习的语音去噪方法研究 [J]. 电声技术，2024,48 (8):48-50. </w:t>
      </w:r>
    </w:p>
    <w:p w14:paraId="2D88978E">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张雷。基于盲点网络的自监督图像和视频去噪方法研究 [D]. 黑龙江：哈尔滨工业大学，2024.</w:t>
      </w:r>
    </w:p>
    <w:p w14:paraId="2A335BA7">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林盛，黎敏，胡杰，等。一种基于无监督学习的两阶段解耦图像去雾算法研究 [J]. 计算机科学与应用，2024,14 (4):163-176. </w:t>
      </w:r>
    </w:p>
    <w:p w14:paraId="54F3E94D">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赵臣臣。基于 CEEMDAN 去噪与深度学习的轴承故障诊断研究 [D]. 浙江工业大学，2022.</w:t>
      </w:r>
    </w:p>
    <w:p w14:paraId="70906D2E">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陈世宣，曾栋，边兆英。基于联邦特征学习的多机型低剂量 CT 重建算法 [J]. 南方医科大学学2024,44(2):333-343.</w:t>
      </w:r>
    </w:p>
    <w:p w14:paraId="67582D7D">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张振。基于反向重建的脉冲神经网络深度监督学习算法研究 [D]. 西北师范大学，2023.</w:t>
      </w:r>
    </w:p>
    <w:p w14:paraId="5E709BE0">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牛善洲，唐诗洲，黄舒彦。基于高维 PDE 投影恢复的低剂量 CT 重建方法 [J]. 南方医科大学学报，2024,44 (4):682-688. </w:t>
      </w:r>
    </w:p>
    <w:p w14:paraId="2706E927">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任慧莹。半监督低剂量 CT 双域重建算法研究 [D]. 太原科技大学，2024.</w:t>
      </w:r>
    </w:p>
    <w:p w14:paraId="77879C1C">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苏帅，王芳。基于深度学习和改进 RGB-D 去噪算法的机器人夹取研究 [J]. 电脑编程技巧与维护，2025 (1):134-136,161. </w:t>
      </w:r>
    </w:p>
    <w:p w14:paraId="44492595">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唐瑶瑶。基于监督学习的 CT 图像环形伪影去除方法研究 [D]. 山东中医药大学，2024.</w:t>
      </w:r>
    </w:p>
    <w:p w14:paraId="595DC3B0">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曾一鸣，曹姗姗，孔繁涛。基于小波包去噪和深度学习的电力行业碳排放预测模型研究 [J]. 河南科学，2024,42 (8):1102-1110. </w:t>
      </w:r>
    </w:p>
    <w:p w14:paraId="22CDBDA4">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蔡心怡。基于深度学习的图像超分辨率重建方法研究 [J]. 工程技术研究，2025,7 (1):23-28. </w:t>
      </w:r>
    </w:p>
    <w:p w14:paraId="56A38C71">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宋西林。基于自监督网络学习与自适应中值滤波的地震数据去噪方法研究 [J]. 应用数学进展，2024,13 (10):4478-4485. </w:t>
      </w:r>
    </w:p>
    <w:p w14:paraId="116ACD3A">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巩向博。高精度 Radon 变换及其应用研究 [D]. 长春：吉林大学，2008.</w:t>
      </w:r>
    </w:p>
    <w:p w14:paraId="13D4AFE3">
      <w:pPr>
        <w:widowControl w:val="0"/>
        <w:numPr>
          <w:ilvl w:val="0"/>
          <w:numId w:val="6"/>
        </w:numPr>
        <w:spacing w:after="120" w:line="360" w:lineRule="auto"/>
        <w:ind w:leftChars="0" w:firstLine="480" w:firstLineChars="200"/>
        <w:jc w:val="left"/>
        <w:rPr>
          <w:rFonts w:hint="default"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w:t>
      </w:r>
      <w:r>
        <w:rPr>
          <w:rFonts w:hint="default" w:ascii="Times New Roman" w:hAnsi="Times New Roman" w:eastAsia="宋体" w:cs="Times New Roman"/>
          <w:sz w:val="24"/>
          <w:szCs w:val="24"/>
        </w:rPr>
        <w:t>Brenner D J, Hall E J. Computed tomography—an increasing source of radiation exposure [J]. The New England journal of medicine, 2007, 357 (22):2277-2284.</w:t>
      </w:r>
    </w:p>
    <w:p w14:paraId="33F885DA">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Kalra M K, Maher M M, Toth T L. Strategies for CT radiation dose optimization [J]. Radiology, 2004, 230 (3): 619-628.</w:t>
      </w:r>
    </w:p>
    <w:p w14:paraId="497B95F6">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闵祥强，武爱勤。减少 CT 扫描辐射剂量的方法探讨 [J]. 中国中西医结合影像学杂志，2004 (04):298-300.</w:t>
      </w:r>
    </w:p>
    <w:p w14:paraId="4EFF859C">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韩泽芳，上官宏。基于深度学习的低剂量 CT 成像算法进展 [J]. CT 理论与应用研究，2022,31 (1):031-038.</w:t>
      </w:r>
    </w:p>
    <w:p w14:paraId="60FA739D">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李思宇，梁宁宁。基于最优传输网络的光子计数 CT 投影降噪 [J]. CT 理论与应用研究，2026,35 (1):36-47.</w:t>
      </w:r>
    </w:p>
    <w:p w14:paraId="688221B9">
      <w:pPr>
        <w:widowControl w:val="0"/>
        <w:numPr>
          <w:ilvl w:val="0"/>
          <w:numId w:val="6"/>
        </w:numPr>
        <w:spacing w:after="120" w:line="360" w:lineRule="auto"/>
        <w:ind w:leftChars="0" w:firstLine="480" w:firstLineChars="200"/>
        <w:jc w:val="left"/>
        <w:rPr>
          <w:rFonts w:ascii="Times New Roman" w:hAnsi="Times New Roman" w:eastAsia="宋体" w:cs="Times New Roman"/>
          <w:kern w:val="2"/>
          <w:sz w:val="24"/>
          <w:szCs w:val="24"/>
          <w:lang w:val="en-US" w:eastAsia="zh-CN" w:bidi="ar-SA"/>
        </w:rPr>
      </w:pPr>
      <w:r>
        <w:rPr>
          <w:rFonts w:ascii="宋体" w:hAnsi="宋体" w:eastAsia="宋体" w:cs="宋体"/>
          <w:sz w:val="24"/>
          <w:szCs w:val="24"/>
        </w:rPr>
        <w:t xml:space="preserve"> 王新健，王小庄。基于自监督学习的低剂量 CT 投影域重建 [J]. 应用表面科学进展，2026,3 (2):112-118.</w:t>
      </w:r>
    </w:p>
    <w:sectPr>
      <w:footerReference r:id="rId9" w:type="default"/>
      <w:pgSz w:w="11906" w:h="16838"/>
      <w:pgMar w:top="1418" w:right="1134" w:bottom="1418" w:left="1701" w:header="680" w:footer="992" w:gutter="0"/>
      <w:pgBorders>
        <w:top w:val="none" w:sz="0" w:space="0"/>
        <w:left w:val="none" w:sz="0" w:space="0"/>
        <w:bottom w:val="none" w:sz="0" w:space="0"/>
        <w:right w:val="none" w:sz="0" w:space="0"/>
      </w:pgBorders>
      <w:pgNumType w:fmt="decimal" w:start="36"/>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egoe UI Emoji">
    <w:panose1 w:val="020B0502040204020203"/>
    <w:charset w:val="00"/>
    <w:family w:val="swiss"/>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D9B4E">
    <w:pPr>
      <w:pStyle w:val="18"/>
      <w:tabs>
        <w:tab w:val="left" w:pos="4220"/>
      </w:tabs>
      <w:ind w:firstLine="360"/>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9F669">
    <w:pPr>
      <w:pStyle w:val="18"/>
      <w:ind w:firstLine="360"/>
      <w:jc w:val="center"/>
      <w:rPr>
        <w:rFonts w:ascii="Times New Roman" w:hAnsi="Times New Roman" w:cs="Times New Roma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897990">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56897990">
                    <w:pPr>
                      <w:pStyle w:val="18"/>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69595" cy="1828800"/>
              <wp:effectExtent l="0" t="0" r="2540" b="6350"/>
              <wp:wrapNone/>
              <wp:docPr id="18" name="文本框 18"/>
              <wp:cNvGraphicFramePr/>
              <a:graphic xmlns:a="http://schemas.openxmlformats.org/drawingml/2006/main">
                <a:graphicData uri="http://schemas.microsoft.com/office/word/2010/wordprocessingShape">
                  <wps:wsp>
                    <wps:cNvSpPr txBox="1"/>
                    <wps:spPr>
                      <a:xfrm>
                        <a:off x="0" y="0"/>
                        <a:ext cx="56946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0EF978">
                          <w:pPr>
                            <w:pStyle w:val="18"/>
                            <w:ind w:firstLine="360"/>
                            <w:jc w:val="both"/>
                            <w:rPr>
                              <w:rFonts w:hint="default" w:eastAsiaTheme="minorEastAsia"/>
                              <w:lang w:val="en-US" w:eastAsia="zh-C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4.85pt;mso-position-horizontal:center;mso-position-horizontal-relative:margin;z-index:251659264;mso-width-relative:page;mso-height-relative:page;" filled="f" stroked="f" coordsize="21600,21600" o:gfxdata="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MxBNMAAAAEAQAADwAAAAAAAAABACAAAAAiAAAAZHJzL2Rvd25yZXYueG1sUEsB&#10;AhQAFAAAAAgAh07iQGQzaCYzAgAAWAQAAA4AAAAAAAAAAQAgAAAAIgEAAGRycy9lMm9Eb2MueG1s&#10;UEsFBgAAAAAGAAYAWQEAAMcFAAAAAA==&#10;">
              <v:fill on="f" focussize="0,0"/>
              <v:stroke on="f" weight="0.5pt"/>
              <v:imagedata o:title=""/>
              <o:lock v:ext="edit" aspectratio="f"/>
              <v:textbox inset="0mm,0mm,0mm,0mm" style="mso-fit-shape-to-text:t;">
                <w:txbxContent>
                  <w:p w14:paraId="350EF978">
                    <w:pPr>
                      <w:pStyle w:val="18"/>
                      <w:ind w:firstLine="360"/>
                      <w:jc w:val="both"/>
                      <w:rPr>
                        <w:rFonts w:hint="default" w:eastAsiaTheme="minorEastAsia"/>
                        <w:lang w:val="en-US" w:eastAsia="zh-C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C4914">
    <w:pPr>
      <w:pStyle w:val="18"/>
      <w:ind w:firstLine="360"/>
      <w:jc w:val="center"/>
      <w:rPr>
        <w:rFonts w:ascii="Times New Roman" w:hAnsi="Times New Roman" w:cs="Times New Roman"/>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69595"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56946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5C7FA">
                          <w:pPr>
                            <w:pStyle w:val="18"/>
                            <w:ind w:firstLine="360"/>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4.85pt;mso-position-horizontal:center;mso-position-horizontal-relative:margin;z-index:251660288;mso-width-relative:page;mso-height-relative:page;" filled="f" stroked="f" coordsize="21600,21600" o:gfxdata="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MxBNMAAAAEAQAADwAAAAAAAAABACAAAAAiAAAAZHJzL2Rvd25yZXYueG1sUEsB&#10;AhQAFAAAAAgAh07iQMXvvZUzAgAAWAQAAA4AAAAAAAAAAQAgAAAAIgEAAGRycy9lMm9Eb2MueG1s&#10;UEsFBgAAAAAGAAYAWQEAAMcFAAAAAA==&#10;">
              <v:fill on="f" focussize="0,0"/>
              <v:stroke on="f" weight="0.5pt"/>
              <v:imagedata o:title=""/>
              <o:lock v:ext="edit" aspectratio="f"/>
              <v:textbox inset="0mm,0mm,0mm,0mm" style="mso-fit-shape-to-text:t;">
                <w:txbxContent>
                  <w:p w14:paraId="04F5C7FA">
                    <w:pPr>
                      <w:pStyle w:val="18"/>
                      <w:ind w:firstLine="360"/>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79387">
    <w:pPr>
      <w:pStyle w:val="18"/>
      <w:ind w:firstLine="360"/>
      <w:jc w:val="center"/>
      <w:rPr>
        <w:rFonts w:ascii="Times New Roman" w:hAnsi="Times New Roman" w:cs="Times New Roman"/>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021F03">
                          <w:pPr>
                            <w:pStyle w:val="18"/>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1021F03">
                    <w:pPr>
                      <w:pStyle w:val="18"/>
                    </w:pPr>
                    <w:r>
                      <w:fldChar w:fldCharType="begin"/>
                    </w:r>
                    <w:r>
                      <w:instrText xml:space="preserve"> PAGE  \* MERGEFORMAT </w:instrText>
                    </w:r>
                    <w:r>
                      <w:fldChar w:fldCharType="separate"/>
                    </w:r>
                    <w:r>
                      <w:t>34</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69595"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6946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570DC5">
                          <w:pPr>
                            <w:pStyle w:val="18"/>
                            <w:ind w:firstLine="360"/>
                            <w:jc w:val="center"/>
                            <w:rPr>
                              <w:rFonts w:hint="default" w:eastAsiaTheme="minorEastAsia"/>
                              <w:lang w:val="en-US" w:eastAsia="zh-C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4.85pt;mso-position-horizontal:center;mso-position-horizontal-relative:margin;z-index:251661312;mso-width-relative:page;mso-height-relative:page;" filled="f" stroked="f" coordsize="21600,21600" o:gfxdata="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zMQTTAAAABAEAAA8AAAAAAAAAAQAgAAAAIgAAAGRycy9kb3ducmV2LnhtbFBL&#10;AQIUABQAAAAIAIdO4kAOkPuKNAIAAFgEAAAOAAAAAAAAAAEAIAAAACIBAABkcnMvZTJvRG9jLnht&#10;bFBLBQYAAAAABgAGAFkBAADIBQAAAAA=&#10;">
              <v:fill on="f" focussize="0,0"/>
              <v:stroke on="f" weight="0.5pt"/>
              <v:imagedata o:title=""/>
              <o:lock v:ext="edit" aspectratio="f"/>
              <v:textbox inset="0mm,0mm,0mm,0mm" style="mso-fit-shape-to-text:t;">
                <w:txbxContent>
                  <w:p w14:paraId="44570DC5">
                    <w:pPr>
                      <w:pStyle w:val="18"/>
                      <w:ind w:firstLine="360"/>
                      <w:jc w:val="center"/>
                      <w:rPr>
                        <w:rFonts w:hint="default" w:eastAsiaTheme="minorEastAsia"/>
                        <w:lang w:val="en-US" w:eastAsia="zh-C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79CB3">
    <w:pPr>
      <w:pStyle w:val="19"/>
      <w:pBdr>
        <w:bottom w:val="single" w:color="auto" w:sz="4" w:space="1"/>
      </w:pBdr>
      <w:ind w:left="0" w:leftChars="0" w:firstLine="0" w:firstLineChars="0"/>
      <w:jc w:val="center"/>
    </w:pPr>
    <w:r>
      <w:rPr>
        <w:rFonts w:hint="eastAsia" w:ascii="宋体" w:hAnsi="宋体" w:eastAsia="宋体" w:cs="宋体"/>
      </w:rPr>
      <w:t>基于自监督学习的低剂量CT投影域去噪与高质量重建研究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F725B"/>
    <w:multiLevelType w:val="multilevel"/>
    <w:tmpl w:val="C08F72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2202488"/>
    <w:multiLevelType w:val="multilevel"/>
    <w:tmpl w:val="0220248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36A1753"/>
    <w:multiLevelType w:val="multilevel"/>
    <w:tmpl w:val="236A17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8ED2571"/>
    <w:multiLevelType w:val="singleLevel"/>
    <w:tmpl w:val="58ED2571"/>
    <w:lvl w:ilvl="0" w:tentative="0">
      <w:start w:val="1"/>
      <w:numFmt w:val="decimal"/>
      <w:suff w:val="space"/>
      <w:lvlText w:val="[%1]"/>
      <w:lvlJc w:val="left"/>
      <w:rPr>
        <w:rFonts w:hint="default"/>
        <w:b w:val="0"/>
        <w:bCs w:val="0"/>
        <w:sz w:val="24"/>
        <w:szCs w:val="24"/>
      </w:rPr>
    </w:lvl>
  </w:abstractNum>
  <w:abstractNum w:abstractNumId="4">
    <w:nsid w:val="62A9FFE3"/>
    <w:multiLevelType w:val="multilevel"/>
    <w:tmpl w:val="62A9FF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B2CA26C"/>
    <w:multiLevelType w:val="multilevel"/>
    <w:tmpl w:val="7B2CA26C"/>
    <w:lvl w:ilvl="0" w:tentative="0">
      <w:start w:val="1"/>
      <w:numFmt w:val="bullet"/>
      <w:lvlText w:val=""/>
      <w:lvlJc w:val="left"/>
      <w:pPr>
        <w:tabs>
          <w:tab w:val="left" w:pos="720"/>
        </w:tabs>
        <w:ind w:left="240" w:hanging="360"/>
      </w:pPr>
      <w:rPr>
        <w:rFonts w:ascii="Symbol" w:hAnsi="Symbol" w:cs="Symbol"/>
        <w:sz w:val="20"/>
      </w:rPr>
    </w:lvl>
    <w:lvl w:ilvl="1" w:tentative="0">
      <w:start w:val="1"/>
      <w:numFmt w:val="bullet"/>
      <w:lvlText w:val="o"/>
      <w:lvlJc w:val="left"/>
      <w:pPr>
        <w:tabs>
          <w:tab w:val="left" w:pos="1440"/>
        </w:tabs>
        <w:ind w:left="960" w:hanging="360"/>
      </w:pPr>
      <w:rPr>
        <w:rFonts w:ascii="Courier New" w:hAnsi="Courier New" w:cs="Courier New"/>
        <w:sz w:val="20"/>
      </w:rPr>
    </w:lvl>
    <w:lvl w:ilvl="2" w:tentative="0">
      <w:start w:val="1"/>
      <w:numFmt w:val="bullet"/>
      <w:lvlText w:val=""/>
      <w:lvlJc w:val="left"/>
      <w:pPr>
        <w:tabs>
          <w:tab w:val="left" w:pos="2160"/>
        </w:tabs>
        <w:ind w:left="1680" w:hanging="360"/>
      </w:pPr>
      <w:rPr>
        <w:rFonts w:ascii="Wingdings" w:hAnsi="Wingdings" w:cs="Wingdings"/>
        <w:sz w:val="20"/>
      </w:rPr>
    </w:lvl>
    <w:lvl w:ilvl="3" w:tentative="0">
      <w:start w:val="1"/>
      <w:numFmt w:val="bullet"/>
      <w:lvlText w:val=""/>
      <w:lvlJc w:val="left"/>
      <w:pPr>
        <w:tabs>
          <w:tab w:val="left" w:pos="2880"/>
        </w:tabs>
        <w:ind w:left="2400" w:hanging="360"/>
      </w:pPr>
      <w:rPr>
        <w:rFonts w:hint="default" w:ascii="Wingdings" w:hAnsi="Wingdings" w:cs="Wingdings"/>
        <w:sz w:val="20"/>
      </w:rPr>
    </w:lvl>
    <w:lvl w:ilvl="4" w:tentative="0">
      <w:start w:val="1"/>
      <w:numFmt w:val="bullet"/>
      <w:lvlText w:val=""/>
      <w:lvlJc w:val="left"/>
      <w:pPr>
        <w:tabs>
          <w:tab w:val="left" w:pos="3600"/>
        </w:tabs>
        <w:ind w:left="3120" w:hanging="360"/>
      </w:pPr>
      <w:rPr>
        <w:rFonts w:hint="default" w:ascii="Wingdings" w:hAnsi="Wingdings" w:cs="Wingdings"/>
        <w:sz w:val="20"/>
      </w:rPr>
    </w:lvl>
    <w:lvl w:ilvl="5" w:tentative="0">
      <w:start w:val="1"/>
      <w:numFmt w:val="bullet"/>
      <w:lvlText w:val=""/>
      <w:lvlJc w:val="left"/>
      <w:pPr>
        <w:tabs>
          <w:tab w:val="left" w:pos="4320"/>
        </w:tabs>
        <w:ind w:left="3840" w:hanging="360"/>
      </w:pPr>
      <w:rPr>
        <w:rFonts w:hint="default" w:ascii="Wingdings" w:hAnsi="Wingdings" w:cs="Wingdings"/>
        <w:sz w:val="20"/>
      </w:rPr>
    </w:lvl>
    <w:lvl w:ilvl="6" w:tentative="0">
      <w:start w:val="1"/>
      <w:numFmt w:val="bullet"/>
      <w:lvlText w:val=""/>
      <w:lvlJc w:val="left"/>
      <w:pPr>
        <w:tabs>
          <w:tab w:val="left" w:pos="5040"/>
        </w:tabs>
        <w:ind w:left="4560" w:hanging="360"/>
      </w:pPr>
      <w:rPr>
        <w:rFonts w:hint="default" w:ascii="Wingdings" w:hAnsi="Wingdings" w:cs="Wingdings"/>
        <w:sz w:val="20"/>
      </w:rPr>
    </w:lvl>
    <w:lvl w:ilvl="7" w:tentative="0">
      <w:start w:val="1"/>
      <w:numFmt w:val="bullet"/>
      <w:lvlText w:val=""/>
      <w:lvlJc w:val="left"/>
      <w:pPr>
        <w:tabs>
          <w:tab w:val="left" w:pos="5760"/>
        </w:tabs>
        <w:ind w:left="5280" w:hanging="360"/>
      </w:pPr>
      <w:rPr>
        <w:rFonts w:hint="default" w:ascii="Wingdings" w:hAnsi="Wingdings" w:cs="Wingdings"/>
        <w:sz w:val="20"/>
      </w:rPr>
    </w:lvl>
    <w:lvl w:ilvl="8" w:tentative="0">
      <w:start w:val="1"/>
      <w:numFmt w:val="bullet"/>
      <w:lvlText w:val=""/>
      <w:lvlJc w:val="left"/>
      <w:pPr>
        <w:tabs>
          <w:tab w:val="left" w:pos="6480"/>
        </w:tabs>
        <w:ind w:left="6000" w:hanging="360"/>
      </w:pPr>
      <w:rPr>
        <w:rFonts w:hint="default" w:ascii="Wingdings" w:hAnsi="Wingdings" w:cs="Wingdings"/>
        <w:sz w:val="20"/>
      </w:rPr>
    </w:lvl>
  </w:abstractNum>
  <w:num w:numId="1">
    <w:abstractNumId w:val="1"/>
  </w:num>
  <w:num w:numId="2">
    <w:abstractNumId w:val="4"/>
  </w:num>
  <w:num w:numId="3">
    <w:abstractNumId w:val="5"/>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64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5MTI5YzhhMTNiYzVkMzk0M2M3MTYxN2E0YzNjZjMifQ=="/>
    <w:docVar w:name="KSO_WPS_MARK_KEY" w:val="12117b84-0149-4cb2-a5e4-67fcd0ce7c26"/>
  </w:docVars>
  <w:rsids>
    <w:rsidRoot w:val="00A047C8"/>
    <w:rsid w:val="00002525"/>
    <w:rsid w:val="00003D5C"/>
    <w:rsid w:val="00005EAC"/>
    <w:rsid w:val="00010E3C"/>
    <w:rsid w:val="0001178E"/>
    <w:rsid w:val="0001316F"/>
    <w:rsid w:val="00013AA8"/>
    <w:rsid w:val="0001485F"/>
    <w:rsid w:val="0001658E"/>
    <w:rsid w:val="000201A6"/>
    <w:rsid w:val="000203EB"/>
    <w:rsid w:val="00021B6A"/>
    <w:rsid w:val="00021C55"/>
    <w:rsid w:val="00021F26"/>
    <w:rsid w:val="000245B5"/>
    <w:rsid w:val="00025596"/>
    <w:rsid w:val="00026AFC"/>
    <w:rsid w:val="00026E36"/>
    <w:rsid w:val="00031151"/>
    <w:rsid w:val="000314DD"/>
    <w:rsid w:val="00036390"/>
    <w:rsid w:val="0004056E"/>
    <w:rsid w:val="00042118"/>
    <w:rsid w:val="0004434D"/>
    <w:rsid w:val="00045591"/>
    <w:rsid w:val="00047CA1"/>
    <w:rsid w:val="00051F46"/>
    <w:rsid w:val="000545AF"/>
    <w:rsid w:val="000636AC"/>
    <w:rsid w:val="00063AC0"/>
    <w:rsid w:val="000645BB"/>
    <w:rsid w:val="000645E2"/>
    <w:rsid w:val="00071340"/>
    <w:rsid w:val="00071D8B"/>
    <w:rsid w:val="000739DD"/>
    <w:rsid w:val="00077E54"/>
    <w:rsid w:val="000814FC"/>
    <w:rsid w:val="00082204"/>
    <w:rsid w:val="00082FF1"/>
    <w:rsid w:val="000838C3"/>
    <w:rsid w:val="0008584D"/>
    <w:rsid w:val="00085D8D"/>
    <w:rsid w:val="0009294D"/>
    <w:rsid w:val="0009422C"/>
    <w:rsid w:val="00095470"/>
    <w:rsid w:val="00095584"/>
    <w:rsid w:val="00097A15"/>
    <w:rsid w:val="000A10E8"/>
    <w:rsid w:val="000A38C2"/>
    <w:rsid w:val="000A3D47"/>
    <w:rsid w:val="000A5188"/>
    <w:rsid w:val="000A54F9"/>
    <w:rsid w:val="000A7089"/>
    <w:rsid w:val="000B02D9"/>
    <w:rsid w:val="000B08B8"/>
    <w:rsid w:val="000B40C0"/>
    <w:rsid w:val="000B510D"/>
    <w:rsid w:val="000B538D"/>
    <w:rsid w:val="000C3B08"/>
    <w:rsid w:val="000C593B"/>
    <w:rsid w:val="000C5964"/>
    <w:rsid w:val="000C74BD"/>
    <w:rsid w:val="000C79F3"/>
    <w:rsid w:val="000D3C18"/>
    <w:rsid w:val="000D3C27"/>
    <w:rsid w:val="000D7150"/>
    <w:rsid w:val="000D7B90"/>
    <w:rsid w:val="000D7E17"/>
    <w:rsid w:val="000E301C"/>
    <w:rsid w:val="000E5EFD"/>
    <w:rsid w:val="000F07B4"/>
    <w:rsid w:val="000F2B3D"/>
    <w:rsid w:val="000F32A2"/>
    <w:rsid w:val="000F4F05"/>
    <w:rsid w:val="000F5246"/>
    <w:rsid w:val="000F62EC"/>
    <w:rsid w:val="000F7997"/>
    <w:rsid w:val="00102F9D"/>
    <w:rsid w:val="00106399"/>
    <w:rsid w:val="00110252"/>
    <w:rsid w:val="00111359"/>
    <w:rsid w:val="00111FEC"/>
    <w:rsid w:val="001139FD"/>
    <w:rsid w:val="001159BA"/>
    <w:rsid w:val="001258FB"/>
    <w:rsid w:val="0013146F"/>
    <w:rsid w:val="00134D3D"/>
    <w:rsid w:val="001371CE"/>
    <w:rsid w:val="00143E0D"/>
    <w:rsid w:val="0014406D"/>
    <w:rsid w:val="00145405"/>
    <w:rsid w:val="00153C79"/>
    <w:rsid w:val="00154AE8"/>
    <w:rsid w:val="001624C4"/>
    <w:rsid w:val="00162B72"/>
    <w:rsid w:val="001639AD"/>
    <w:rsid w:val="00165521"/>
    <w:rsid w:val="001674F8"/>
    <w:rsid w:val="00170E34"/>
    <w:rsid w:val="00171D70"/>
    <w:rsid w:val="0017284C"/>
    <w:rsid w:val="00172A9E"/>
    <w:rsid w:val="00174107"/>
    <w:rsid w:val="001755D1"/>
    <w:rsid w:val="0018633E"/>
    <w:rsid w:val="00187762"/>
    <w:rsid w:val="001906F6"/>
    <w:rsid w:val="00192CD6"/>
    <w:rsid w:val="00194AFA"/>
    <w:rsid w:val="0019691F"/>
    <w:rsid w:val="001A14F1"/>
    <w:rsid w:val="001A462B"/>
    <w:rsid w:val="001B09BD"/>
    <w:rsid w:val="001B22E8"/>
    <w:rsid w:val="001B3644"/>
    <w:rsid w:val="001B460F"/>
    <w:rsid w:val="001B5BFC"/>
    <w:rsid w:val="001B6241"/>
    <w:rsid w:val="001C035C"/>
    <w:rsid w:val="001C0936"/>
    <w:rsid w:val="001C0D54"/>
    <w:rsid w:val="001C2411"/>
    <w:rsid w:val="001C4938"/>
    <w:rsid w:val="001D1A3A"/>
    <w:rsid w:val="001D7942"/>
    <w:rsid w:val="001D79F2"/>
    <w:rsid w:val="001E4F24"/>
    <w:rsid w:val="001E65D5"/>
    <w:rsid w:val="001F159D"/>
    <w:rsid w:val="001F38D3"/>
    <w:rsid w:val="001F4758"/>
    <w:rsid w:val="001F5D4E"/>
    <w:rsid w:val="001F6D14"/>
    <w:rsid w:val="00201123"/>
    <w:rsid w:val="002111FC"/>
    <w:rsid w:val="002121F2"/>
    <w:rsid w:val="0021353F"/>
    <w:rsid w:val="0021421F"/>
    <w:rsid w:val="00215874"/>
    <w:rsid w:val="0022005F"/>
    <w:rsid w:val="0022007A"/>
    <w:rsid w:val="00221B05"/>
    <w:rsid w:val="00227EE4"/>
    <w:rsid w:val="002324A7"/>
    <w:rsid w:val="0023417F"/>
    <w:rsid w:val="002372CC"/>
    <w:rsid w:val="00237E67"/>
    <w:rsid w:val="00242068"/>
    <w:rsid w:val="002423AE"/>
    <w:rsid w:val="00242658"/>
    <w:rsid w:val="002477C1"/>
    <w:rsid w:val="00252C47"/>
    <w:rsid w:val="00254835"/>
    <w:rsid w:val="00255AF6"/>
    <w:rsid w:val="00263326"/>
    <w:rsid w:val="00263BD3"/>
    <w:rsid w:val="0027007B"/>
    <w:rsid w:val="002712CC"/>
    <w:rsid w:val="002761B0"/>
    <w:rsid w:val="002761BB"/>
    <w:rsid w:val="00276513"/>
    <w:rsid w:val="002778C0"/>
    <w:rsid w:val="00281966"/>
    <w:rsid w:val="00282FE0"/>
    <w:rsid w:val="00283FD0"/>
    <w:rsid w:val="00286EC6"/>
    <w:rsid w:val="00287835"/>
    <w:rsid w:val="002959B7"/>
    <w:rsid w:val="00295BAE"/>
    <w:rsid w:val="0029638F"/>
    <w:rsid w:val="002A32EF"/>
    <w:rsid w:val="002A4C7E"/>
    <w:rsid w:val="002A6589"/>
    <w:rsid w:val="002B083F"/>
    <w:rsid w:val="002B4953"/>
    <w:rsid w:val="002B630D"/>
    <w:rsid w:val="002C0074"/>
    <w:rsid w:val="002C11CE"/>
    <w:rsid w:val="002C681E"/>
    <w:rsid w:val="002C6C51"/>
    <w:rsid w:val="002C6F96"/>
    <w:rsid w:val="002D17BB"/>
    <w:rsid w:val="002D1875"/>
    <w:rsid w:val="002D1BB4"/>
    <w:rsid w:val="002D289A"/>
    <w:rsid w:val="002D31EB"/>
    <w:rsid w:val="002D46E0"/>
    <w:rsid w:val="002D6328"/>
    <w:rsid w:val="002E7FC0"/>
    <w:rsid w:val="002F46DD"/>
    <w:rsid w:val="002F66F2"/>
    <w:rsid w:val="00301DEF"/>
    <w:rsid w:val="003058FF"/>
    <w:rsid w:val="00306ADC"/>
    <w:rsid w:val="00306EB9"/>
    <w:rsid w:val="00310005"/>
    <w:rsid w:val="00312329"/>
    <w:rsid w:val="00314BBB"/>
    <w:rsid w:val="003158F8"/>
    <w:rsid w:val="00316A63"/>
    <w:rsid w:val="0031712D"/>
    <w:rsid w:val="00324147"/>
    <w:rsid w:val="00325AB2"/>
    <w:rsid w:val="00330967"/>
    <w:rsid w:val="00331876"/>
    <w:rsid w:val="00331890"/>
    <w:rsid w:val="00332C4B"/>
    <w:rsid w:val="00334EF3"/>
    <w:rsid w:val="0033548F"/>
    <w:rsid w:val="00337BC5"/>
    <w:rsid w:val="00337C58"/>
    <w:rsid w:val="00340D3E"/>
    <w:rsid w:val="00344494"/>
    <w:rsid w:val="00352BA8"/>
    <w:rsid w:val="00357C6C"/>
    <w:rsid w:val="003604E2"/>
    <w:rsid w:val="00361427"/>
    <w:rsid w:val="00365080"/>
    <w:rsid w:val="00365797"/>
    <w:rsid w:val="00371599"/>
    <w:rsid w:val="003746EE"/>
    <w:rsid w:val="0037507D"/>
    <w:rsid w:val="003803F7"/>
    <w:rsid w:val="00380FD1"/>
    <w:rsid w:val="0038536E"/>
    <w:rsid w:val="00386CD8"/>
    <w:rsid w:val="00390DC9"/>
    <w:rsid w:val="003915CB"/>
    <w:rsid w:val="00391D1E"/>
    <w:rsid w:val="00394A9C"/>
    <w:rsid w:val="00395623"/>
    <w:rsid w:val="00396BDD"/>
    <w:rsid w:val="003A0E44"/>
    <w:rsid w:val="003A4871"/>
    <w:rsid w:val="003B1814"/>
    <w:rsid w:val="003B29E2"/>
    <w:rsid w:val="003B37EE"/>
    <w:rsid w:val="003B6DBA"/>
    <w:rsid w:val="003C1327"/>
    <w:rsid w:val="003D1865"/>
    <w:rsid w:val="003E115E"/>
    <w:rsid w:val="003E2736"/>
    <w:rsid w:val="003E44DA"/>
    <w:rsid w:val="003E5CEE"/>
    <w:rsid w:val="003E7DA6"/>
    <w:rsid w:val="003F3F52"/>
    <w:rsid w:val="003F499C"/>
    <w:rsid w:val="003F56A1"/>
    <w:rsid w:val="003F793C"/>
    <w:rsid w:val="00400EDC"/>
    <w:rsid w:val="0040181C"/>
    <w:rsid w:val="00401F6A"/>
    <w:rsid w:val="0040272D"/>
    <w:rsid w:val="00402A73"/>
    <w:rsid w:val="00402B7D"/>
    <w:rsid w:val="00403447"/>
    <w:rsid w:val="004038E6"/>
    <w:rsid w:val="00403D39"/>
    <w:rsid w:val="0040546D"/>
    <w:rsid w:val="004071C6"/>
    <w:rsid w:val="004077E4"/>
    <w:rsid w:val="0041022D"/>
    <w:rsid w:val="00410FF7"/>
    <w:rsid w:val="004112EA"/>
    <w:rsid w:val="0041223C"/>
    <w:rsid w:val="00412E6B"/>
    <w:rsid w:val="00416FDC"/>
    <w:rsid w:val="004203BF"/>
    <w:rsid w:val="004221D3"/>
    <w:rsid w:val="00424374"/>
    <w:rsid w:val="00426C6A"/>
    <w:rsid w:val="00430D8E"/>
    <w:rsid w:val="00432573"/>
    <w:rsid w:val="00432F90"/>
    <w:rsid w:val="00434B04"/>
    <w:rsid w:val="00437A46"/>
    <w:rsid w:val="0044079B"/>
    <w:rsid w:val="00440CB5"/>
    <w:rsid w:val="0044148E"/>
    <w:rsid w:val="0044201A"/>
    <w:rsid w:val="00442DD7"/>
    <w:rsid w:val="00443409"/>
    <w:rsid w:val="00452928"/>
    <w:rsid w:val="004537A8"/>
    <w:rsid w:val="004547F3"/>
    <w:rsid w:val="00454A8B"/>
    <w:rsid w:val="00455AF6"/>
    <w:rsid w:val="00462F31"/>
    <w:rsid w:val="00466113"/>
    <w:rsid w:val="00466A08"/>
    <w:rsid w:val="00470A39"/>
    <w:rsid w:val="00475BBB"/>
    <w:rsid w:val="00477E66"/>
    <w:rsid w:val="00477F8D"/>
    <w:rsid w:val="00485267"/>
    <w:rsid w:val="00486BFE"/>
    <w:rsid w:val="004914CA"/>
    <w:rsid w:val="0049441F"/>
    <w:rsid w:val="00496CD1"/>
    <w:rsid w:val="004978FA"/>
    <w:rsid w:val="00497B92"/>
    <w:rsid w:val="004A03F6"/>
    <w:rsid w:val="004A34FE"/>
    <w:rsid w:val="004A398F"/>
    <w:rsid w:val="004A43E7"/>
    <w:rsid w:val="004A5459"/>
    <w:rsid w:val="004A7A14"/>
    <w:rsid w:val="004B0B2A"/>
    <w:rsid w:val="004B4045"/>
    <w:rsid w:val="004B445D"/>
    <w:rsid w:val="004B56D9"/>
    <w:rsid w:val="004B5996"/>
    <w:rsid w:val="004B682C"/>
    <w:rsid w:val="004B7A55"/>
    <w:rsid w:val="004C07F3"/>
    <w:rsid w:val="004C3693"/>
    <w:rsid w:val="004C51C8"/>
    <w:rsid w:val="004D01F6"/>
    <w:rsid w:val="004D3490"/>
    <w:rsid w:val="004D3CD4"/>
    <w:rsid w:val="004D4F0A"/>
    <w:rsid w:val="004D54B8"/>
    <w:rsid w:val="004D5D75"/>
    <w:rsid w:val="004E0C0C"/>
    <w:rsid w:val="004E4466"/>
    <w:rsid w:val="004E499F"/>
    <w:rsid w:val="004E5CE2"/>
    <w:rsid w:val="004F034E"/>
    <w:rsid w:val="004F3F43"/>
    <w:rsid w:val="004F52D9"/>
    <w:rsid w:val="004F6361"/>
    <w:rsid w:val="004F7D3F"/>
    <w:rsid w:val="00505F6D"/>
    <w:rsid w:val="00506219"/>
    <w:rsid w:val="00506EE9"/>
    <w:rsid w:val="005103BD"/>
    <w:rsid w:val="005112C6"/>
    <w:rsid w:val="00512802"/>
    <w:rsid w:val="0051433A"/>
    <w:rsid w:val="00514927"/>
    <w:rsid w:val="00514CA0"/>
    <w:rsid w:val="00516816"/>
    <w:rsid w:val="00516B51"/>
    <w:rsid w:val="005219A5"/>
    <w:rsid w:val="0052217E"/>
    <w:rsid w:val="00523B86"/>
    <w:rsid w:val="00530BED"/>
    <w:rsid w:val="005310DD"/>
    <w:rsid w:val="005327D1"/>
    <w:rsid w:val="0053287F"/>
    <w:rsid w:val="00540191"/>
    <w:rsid w:val="00541B0F"/>
    <w:rsid w:val="00544E48"/>
    <w:rsid w:val="00553001"/>
    <w:rsid w:val="005530BD"/>
    <w:rsid w:val="00553476"/>
    <w:rsid w:val="0055401C"/>
    <w:rsid w:val="00554660"/>
    <w:rsid w:val="00555523"/>
    <w:rsid w:val="00555D46"/>
    <w:rsid w:val="00557171"/>
    <w:rsid w:val="005643EE"/>
    <w:rsid w:val="00565A3E"/>
    <w:rsid w:val="00567DA9"/>
    <w:rsid w:val="00570C68"/>
    <w:rsid w:val="00572131"/>
    <w:rsid w:val="0057462C"/>
    <w:rsid w:val="00574ABF"/>
    <w:rsid w:val="00575BFA"/>
    <w:rsid w:val="00580086"/>
    <w:rsid w:val="005808B8"/>
    <w:rsid w:val="00580C8A"/>
    <w:rsid w:val="005811E6"/>
    <w:rsid w:val="0058208A"/>
    <w:rsid w:val="005821E2"/>
    <w:rsid w:val="00582C62"/>
    <w:rsid w:val="005845FA"/>
    <w:rsid w:val="005854CB"/>
    <w:rsid w:val="00593C2F"/>
    <w:rsid w:val="00594577"/>
    <w:rsid w:val="005A2D7A"/>
    <w:rsid w:val="005A2F01"/>
    <w:rsid w:val="005A5D1A"/>
    <w:rsid w:val="005B40E3"/>
    <w:rsid w:val="005B6B1A"/>
    <w:rsid w:val="005B6F77"/>
    <w:rsid w:val="005B78F8"/>
    <w:rsid w:val="005C0156"/>
    <w:rsid w:val="005C1D2A"/>
    <w:rsid w:val="005C44ED"/>
    <w:rsid w:val="005C4F83"/>
    <w:rsid w:val="005C6309"/>
    <w:rsid w:val="005C716D"/>
    <w:rsid w:val="005D67D7"/>
    <w:rsid w:val="005E049F"/>
    <w:rsid w:val="005E058A"/>
    <w:rsid w:val="005E11E4"/>
    <w:rsid w:val="005E1CAC"/>
    <w:rsid w:val="005E234D"/>
    <w:rsid w:val="005E2A68"/>
    <w:rsid w:val="005E30B3"/>
    <w:rsid w:val="005E5AFE"/>
    <w:rsid w:val="005F1C54"/>
    <w:rsid w:val="005F31DC"/>
    <w:rsid w:val="005F4D6D"/>
    <w:rsid w:val="005F5E57"/>
    <w:rsid w:val="005F67FC"/>
    <w:rsid w:val="005F7F38"/>
    <w:rsid w:val="006027B6"/>
    <w:rsid w:val="00602AF3"/>
    <w:rsid w:val="00603EBF"/>
    <w:rsid w:val="0060563C"/>
    <w:rsid w:val="006059DB"/>
    <w:rsid w:val="006110D5"/>
    <w:rsid w:val="00611240"/>
    <w:rsid w:val="00613EC4"/>
    <w:rsid w:val="006235CB"/>
    <w:rsid w:val="0062496B"/>
    <w:rsid w:val="006325CA"/>
    <w:rsid w:val="00632D12"/>
    <w:rsid w:val="00642E98"/>
    <w:rsid w:val="006439D5"/>
    <w:rsid w:val="00644FD8"/>
    <w:rsid w:val="00647441"/>
    <w:rsid w:val="00650D9C"/>
    <w:rsid w:val="00656E37"/>
    <w:rsid w:val="00657729"/>
    <w:rsid w:val="006651D4"/>
    <w:rsid w:val="0066572E"/>
    <w:rsid w:val="00666A7C"/>
    <w:rsid w:val="006674C5"/>
    <w:rsid w:val="006720A2"/>
    <w:rsid w:val="006721DD"/>
    <w:rsid w:val="0067237D"/>
    <w:rsid w:val="006730BC"/>
    <w:rsid w:val="0067722F"/>
    <w:rsid w:val="0068046A"/>
    <w:rsid w:val="00686E5B"/>
    <w:rsid w:val="00687BFA"/>
    <w:rsid w:val="00687D3D"/>
    <w:rsid w:val="00693F46"/>
    <w:rsid w:val="00694127"/>
    <w:rsid w:val="00697A7D"/>
    <w:rsid w:val="006A14DB"/>
    <w:rsid w:val="006A1F8F"/>
    <w:rsid w:val="006A2FAA"/>
    <w:rsid w:val="006A59EE"/>
    <w:rsid w:val="006A7644"/>
    <w:rsid w:val="006B0240"/>
    <w:rsid w:val="006B079F"/>
    <w:rsid w:val="006B13BF"/>
    <w:rsid w:val="006B17B2"/>
    <w:rsid w:val="006B199A"/>
    <w:rsid w:val="006B333B"/>
    <w:rsid w:val="006B41CA"/>
    <w:rsid w:val="006B6105"/>
    <w:rsid w:val="006C0C81"/>
    <w:rsid w:val="006C0FB4"/>
    <w:rsid w:val="006C13F6"/>
    <w:rsid w:val="006C352F"/>
    <w:rsid w:val="006C3BA6"/>
    <w:rsid w:val="006C6DA0"/>
    <w:rsid w:val="006D471E"/>
    <w:rsid w:val="006E0128"/>
    <w:rsid w:val="006E01BC"/>
    <w:rsid w:val="006E05F8"/>
    <w:rsid w:val="006E08C2"/>
    <w:rsid w:val="006E601C"/>
    <w:rsid w:val="006F7E48"/>
    <w:rsid w:val="0070480D"/>
    <w:rsid w:val="00705080"/>
    <w:rsid w:val="0070756B"/>
    <w:rsid w:val="00707805"/>
    <w:rsid w:val="007159BF"/>
    <w:rsid w:val="00715CE6"/>
    <w:rsid w:val="00715EBD"/>
    <w:rsid w:val="00720742"/>
    <w:rsid w:val="0072213E"/>
    <w:rsid w:val="00723170"/>
    <w:rsid w:val="00724555"/>
    <w:rsid w:val="00724D5D"/>
    <w:rsid w:val="00731DAB"/>
    <w:rsid w:val="00733684"/>
    <w:rsid w:val="00742A08"/>
    <w:rsid w:val="00746F1A"/>
    <w:rsid w:val="00751A0A"/>
    <w:rsid w:val="00752545"/>
    <w:rsid w:val="007530B8"/>
    <w:rsid w:val="00754242"/>
    <w:rsid w:val="007549FA"/>
    <w:rsid w:val="0075767C"/>
    <w:rsid w:val="00765B6C"/>
    <w:rsid w:val="00771233"/>
    <w:rsid w:val="007714A1"/>
    <w:rsid w:val="00771A08"/>
    <w:rsid w:val="0077619D"/>
    <w:rsid w:val="00776D85"/>
    <w:rsid w:val="00780127"/>
    <w:rsid w:val="00780C82"/>
    <w:rsid w:val="00784CC1"/>
    <w:rsid w:val="00786ECC"/>
    <w:rsid w:val="007903F3"/>
    <w:rsid w:val="007A1AAA"/>
    <w:rsid w:val="007A7075"/>
    <w:rsid w:val="007A7A07"/>
    <w:rsid w:val="007B084A"/>
    <w:rsid w:val="007B1567"/>
    <w:rsid w:val="007B1F12"/>
    <w:rsid w:val="007B20B0"/>
    <w:rsid w:val="007B22CD"/>
    <w:rsid w:val="007C02EF"/>
    <w:rsid w:val="007C1AF1"/>
    <w:rsid w:val="007C2574"/>
    <w:rsid w:val="007C2615"/>
    <w:rsid w:val="007C64E5"/>
    <w:rsid w:val="007D3D94"/>
    <w:rsid w:val="007D6CBD"/>
    <w:rsid w:val="007E219C"/>
    <w:rsid w:val="007E5144"/>
    <w:rsid w:val="007E6F06"/>
    <w:rsid w:val="007F0F54"/>
    <w:rsid w:val="007F4CEC"/>
    <w:rsid w:val="007F6133"/>
    <w:rsid w:val="007F65B7"/>
    <w:rsid w:val="007F6DF1"/>
    <w:rsid w:val="007F7B3F"/>
    <w:rsid w:val="00806974"/>
    <w:rsid w:val="00810A22"/>
    <w:rsid w:val="0081129F"/>
    <w:rsid w:val="00814710"/>
    <w:rsid w:val="00814D3B"/>
    <w:rsid w:val="00815399"/>
    <w:rsid w:val="00816E79"/>
    <w:rsid w:val="00822E7E"/>
    <w:rsid w:val="00823AC5"/>
    <w:rsid w:val="00823DF1"/>
    <w:rsid w:val="00824984"/>
    <w:rsid w:val="00824CB1"/>
    <w:rsid w:val="008270D4"/>
    <w:rsid w:val="00833A84"/>
    <w:rsid w:val="00833B7B"/>
    <w:rsid w:val="00837AD4"/>
    <w:rsid w:val="00840F66"/>
    <w:rsid w:val="0084198B"/>
    <w:rsid w:val="0084255A"/>
    <w:rsid w:val="00843660"/>
    <w:rsid w:val="00847975"/>
    <w:rsid w:val="00850F74"/>
    <w:rsid w:val="00851C49"/>
    <w:rsid w:val="00852288"/>
    <w:rsid w:val="008534C7"/>
    <w:rsid w:val="00854941"/>
    <w:rsid w:val="0085494B"/>
    <w:rsid w:val="00856908"/>
    <w:rsid w:val="008609D0"/>
    <w:rsid w:val="008612CB"/>
    <w:rsid w:val="008624B0"/>
    <w:rsid w:val="00862935"/>
    <w:rsid w:val="00864365"/>
    <w:rsid w:val="0086519C"/>
    <w:rsid w:val="00866036"/>
    <w:rsid w:val="00867662"/>
    <w:rsid w:val="00874B0A"/>
    <w:rsid w:val="00875048"/>
    <w:rsid w:val="00880462"/>
    <w:rsid w:val="008804CF"/>
    <w:rsid w:val="008804E7"/>
    <w:rsid w:val="00892EA6"/>
    <w:rsid w:val="00893E25"/>
    <w:rsid w:val="00894C98"/>
    <w:rsid w:val="00895DA5"/>
    <w:rsid w:val="008A404E"/>
    <w:rsid w:val="008A564E"/>
    <w:rsid w:val="008A5900"/>
    <w:rsid w:val="008A6718"/>
    <w:rsid w:val="008B0369"/>
    <w:rsid w:val="008B07C4"/>
    <w:rsid w:val="008B336B"/>
    <w:rsid w:val="008B36F7"/>
    <w:rsid w:val="008C135F"/>
    <w:rsid w:val="008C29BB"/>
    <w:rsid w:val="008C3412"/>
    <w:rsid w:val="008C4207"/>
    <w:rsid w:val="008C4B99"/>
    <w:rsid w:val="008C5B0C"/>
    <w:rsid w:val="008D244A"/>
    <w:rsid w:val="008D3066"/>
    <w:rsid w:val="008D6BF7"/>
    <w:rsid w:val="008E08D8"/>
    <w:rsid w:val="008E2115"/>
    <w:rsid w:val="008E36EA"/>
    <w:rsid w:val="008E7A7F"/>
    <w:rsid w:val="008F03C4"/>
    <w:rsid w:val="008F1D5A"/>
    <w:rsid w:val="0090429B"/>
    <w:rsid w:val="0090546B"/>
    <w:rsid w:val="009151D7"/>
    <w:rsid w:val="00917981"/>
    <w:rsid w:val="0092586E"/>
    <w:rsid w:val="009279CC"/>
    <w:rsid w:val="00934465"/>
    <w:rsid w:val="00934685"/>
    <w:rsid w:val="009351FA"/>
    <w:rsid w:val="00936EA2"/>
    <w:rsid w:val="009401CB"/>
    <w:rsid w:val="00942896"/>
    <w:rsid w:val="00945C94"/>
    <w:rsid w:val="00950536"/>
    <w:rsid w:val="00951554"/>
    <w:rsid w:val="009525AD"/>
    <w:rsid w:val="00960B51"/>
    <w:rsid w:val="009630EC"/>
    <w:rsid w:val="009644F3"/>
    <w:rsid w:val="009663EE"/>
    <w:rsid w:val="00970FD4"/>
    <w:rsid w:val="00971B2E"/>
    <w:rsid w:val="009735EB"/>
    <w:rsid w:val="00974EA2"/>
    <w:rsid w:val="00980E91"/>
    <w:rsid w:val="00981913"/>
    <w:rsid w:val="0098282E"/>
    <w:rsid w:val="0099003A"/>
    <w:rsid w:val="00995D57"/>
    <w:rsid w:val="00997CE5"/>
    <w:rsid w:val="009A25CF"/>
    <w:rsid w:val="009B013A"/>
    <w:rsid w:val="009B04C3"/>
    <w:rsid w:val="009B2265"/>
    <w:rsid w:val="009B2ADE"/>
    <w:rsid w:val="009B3A89"/>
    <w:rsid w:val="009B3ACC"/>
    <w:rsid w:val="009B3C93"/>
    <w:rsid w:val="009B7EAA"/>
    <w:rsid w:val="009C497A"/>
    <w:rsid w:val="009C655E"/>
    <w:rsid w:val="009D24DC"/>
    <w:rsid w:val="009D6393"/>
    <w:rsid w:val="009E05EA"/>
    <w:rsid w:val="009E0638"/>
    <w:rsid w:val="009E3438"/>
    <w:rsid w:val="009E4038"/>
    <w:rsid w:val="009E7062"/>
    <w:rsid w:val="009E78B3"/>
    <w:rsid w:val="009F2479"/>
    <w:rsid w:val="009F27FB"/>
    <w:rsid w:val="009F4973"/>
    <w:rsid w:val="009F4AC5"/>
    <w:rsid w:val="009F4C22"/>
    <w:rsid w:val="00A0278F"/>
    <w:rsid w:val="00A02C8E"/>
    <w:rsid w:val="00A04689"/>
    <w:rsid w:val="00A047C8"/>
    <w:rsid w:val="00A07BAD"/>
    <w:rsid w:val="00A11A2B"/>
    <w:rsid w:val="00A12FE8"/>
    <w:rsid w:val="00A1394A"/>
    <w:rsid w:val="00A2009B"/>
    <w:rsid w:val="00A21A8D"/>
    <w:rsid w:val="00A244AF"/>
    <w:rsid w:val="00A25857"/>
    <w:rsid w:val="00A3031B"/>
    <w:rsid w:val="00A31D67"/>
    <w:rsid w:val="00A32ADA"/>
    <w:rsid w:val="00A40E86"/>
    <w:rsid w:val="00A42F93"/>
    <w:rsid w:val="00A5158B"/>
    <w:rsid w:val="00A52EB4"/>
    <w:rsid w:val="00A53FDE"/>
    <w:rsid w:val="00A566C1"/>
    <w:rsid w:val="00A567F6"/>
    <w:rsid w:val="00A574BF"/>
    <w:rsid w:val="00A612DD"/>
    <w:rsid w:val="00A62561"/>
    <w:rsid w:val="00A63F9A"/>
    <w:rsid w:val="00A71235"/>
    <w:rsid w:val="00A718E6"/>
    <w:rsid w:val="00A7204A"/>
    <w:rsid w:val="00A7754D"/>
    <w:rsid w:val="00A77CDA"/>
    <w:rsid w:val="00A84DFF"/>
    <w:rsid w:val="00A85F29"/>
    <w:rsid w:val="00A923B2"/>
    <w:rsid w:val="00A94337"/>
    <w:rsid w:val="00A94DC1"/>
    <w:rsid w:val="00A94F39"/>
    <w:rsid w:val="00A966D1"/>
    <w:rsid w:val="00A96FA4"/>
    <w:rsid w:val="00A9715D"/>
    <w:rsid w:val="00AA08D5"/>
    <w:rsid w:val="00AA0D32"/>
    <w:rsid w:val="00AA1F76"/>
    <w:rsid w:val="00AA58E7"/>
    <w:rsid w:val="00AA5D1C"/>
    <w:rsid w:val="00AA6C5B"/>
    <w:rsid w:val="00AA70C0"/>
    <w:rsid w:val="00AB0FBD"/>
    <w:rsid w:val="00AB10DD"/>
    <w:rsid w:val="00AB5522"/>
    <w:rsid w:val="00AB6E4E"/>
    <w:rsid w:val="00AB7FBF"/>
    <w:rsid w:val="00AC1AD1"/>
    <w:rsid w:val="00AC2DA9"/>
    <w:rsid w:val="00AC6004"/>
    <w:rsid w:val="00AD6982"/>
    <w:rsid w:val="00AE38C6"/>
    <w:rsid w:val="00AE4271"/>
    <w:rsid w:val="00AE4D67"/>
    <w:rsid w:val="00AF3634"/>
    <w:rsid w:val="00AF60A4"/>
    <w:rsid w:val="00B0125C"/>
    <w:rsid w:val="00B030F8"/>
    <w:rsid w:val="00B05543"/>
    <w:rsid w:val="00B0556C"/>
    <w:rsid w:val="00B06570"/>
    <w:rsid w:val="00B26849"/>
    <w:rsid w:val="00B30CF7"/>
    <w:rsid w:val="00B318E2"/>
    <w:rsid w:val="00B32AA1"/>
    <w:rsid w:val="00B33164"/>
    <w:rsid w:val="00B36639"/>
    <w:rsid w:val="00B42313"/>
    <w:rsid w:val="00B449D3"/>
    <w:rsid w:val="00B45ECE"/>
    <w:rsid w:val="00B47494"/>
    <w:rsid w:val="00B53B4B"/>
    <w:rsid w:val="00B62AED"/>
    <w:rsid w:val="00B63F89"/>
    <w:rsid w:val="00B64069"/>
    <w:rsid w:val="00B71928"/>
    <w:rsid w:val="00B7258E"/>
    <w:rsid w:val="00B726F4"/>
    <w:rsid w:val="00B73E85"/>
    <w:rsid w:val="00B76B6E"/>
    <w:rsid w:val="00B77602"/>
    <w:rsid w:val="00B806DB"/>
    <w:rsid w:val="00B81F67"/>
    <w:rsid w:val="00B82420"/>
    <w:rsid w:val="00B8371D"/>
    <w:rsid w:val="00B8373A"/>
    <w:rsid w:val="00B865CB"/>
    <w:rsid w:val="00B903C3"/>
    <w:rsid w:val="00B90B5B"/>
    <w:rsid w:val="00B95C14"/>
    <w:rsid w:val="00B97C85"/>
    <w:rsid w:val="00BA0F1C"/>
    <w:rsid w:val="00BA25E3"/>
    <w:rsid w:val="00BA3F43"/>
    <w:rsid w:val="00BA6A63"/>
    <w:rsid w:val="00BA6F05"/>
    <w:rsid w:val="00BB05A9"/>
    <w:rsid w:val="00BB08E5"/>
    <w:rsid w:val="00BB12AB"/>
    <w:rsid w:val="00BB25DF"/>
    <w:rsid w:val="00BB4BB9"/>
    <w:rsid w:val="00BB4BF0"/>
    <w:rsid w:val="00BB5F94"/>
    <w:rsid w:val="00BB7A10"/>
    <w:rsid w:val="00BB7EC1"/>
    <w:rsid w:val="00BC1AE1"/>
    <w:rsid w:val="00BC32A0"/>
    <w:rsid w:val="00BC4004"/>
    <w:rsid w:val="00BC55BD"/>
    <w:rsid w:val="00BD153C"/>
    <w:rsid w:val="00BD5CE0"/>
    <w:rsid w:val="00BD69E3"/>
    <w:rsid w:val="00BE1467"/>
    <w:rsid w:val="00BE2C50"/>
    <w:rsid w:val="00BE7A2C"/>
    <w:rsid w:val="00BE7D86"/>
    <w:rsid w:val="00BF0C7C"/>
    <w:rsid w:val="00BF0CAE"/>
    <w:rsid w:val="00BF0CB6"/>
    <w:rsid w:val="00BF1F00"/>
    <w:rsid w:val="00BF356B"/>
    <w:rsid w:val="00BF7E91"/>
    <w:rsid w:val="00C01611"/>
    <w:rsid w:val="00C0290A"/>
    <w:rsid w:val="00C06B3F"/>
    <w:rsid w:val="00C107CC"/>
    <w:rsid w:val="00C13023"/>
    <w:rsid w:val="00C13279"/>
    <w:rsid w:val="00C157DE"/>
    <w:rsid w:val="00C15CD2"/>
    <w:rsid w:val="00C23047"/>
    <w:rsid w:val="00C234DF"/>
    <w:rsid w:val="00C2543F"/>
    <w:rsid w:val="00C25C88"/>
    <w:rsid w:val="00C27DA8"/>
    <w:rsid w:val="00C27FC4"/>
    <w:rsid w:val="00C408BF"/>
    <w:rsid w:val="00C41AB5"/>
    <w:rsid w:val="00C42931"/>
    <w:rsid w:val="00C45F4A"/>
    <w:rsid w:val="00C477C0"/>
    <w:rsid w:val="00C50D5C"/>
    <w:rsid w:val="00C60E06"/>
    <w:rsid w:val="00C61049"/>
    <w:rsid w:val="00C66D53"/>
    <w:rsid w:val="00C71C22"/>
    <w:rsid w:val="00C72153"/>
    <w:rsid w:val="00C73627"/>
    <w:rsid w:val="00C73810"/>
    <w:rsid w:val="00C816F7"/>
    <w:rsid w:val="00C81977"/>
    <w:rsid w:val="00C847B1"/>
    <w:rsid w:val="00C87424"/>
    <w:rsid w:val="00C910A0"/>
    <w:rsid w:val="00C91CA7"/>
    <w:rsid w:val="00C92CB8"/>
    <w:rsid w:val="00C943E6"/>
    <w:rsid w:val="00C955B1"/>
    <w:rsid w:val="00C9652F"/>
    <w:rsid w:val="00CA16CE"/>
    <w:rsid w:val="00CA3D64"/>
    <w:rsid w:val="00CA4248"/>
    <w:rsid w:val="00CA5132"/>
    <w:rsid w:val="00CA5E43"/>
    <w:rsid w:val="00CB37C1"/>
    <w:rsid w:val="00CB40DF"/>
    <w:rsid w:val="00CB43FC"/>
    <w:rsid w:val="00CB56A7"/>
    <w:rsid w:val="00CB6277"/>
    <w:rsid w:val="00CC1AF3"/>
    <w:rsid w:val="00CD48FB"/>
    <w:rsid w:val="00CD52E2"/>
    <w:rsid w:val="00CD5691"/>
    <w:rsid w:val="00CE2E4C"/>
    <w:rsid w:val="00CE5566"/>
    <w:rsid w:val="00CF0FDB"/>
    <w:rsid w:val="00CF1FBD"/>
    <w:rsid w:val="00CF4116"/>
    <w:rsid w:val="00CF5B55"/>
    <w:rsid w:val="00D025DF"/>
    <w:rsid w:val="00D05501"/>
    <w:rsid w:val="00D05989"/>
    <w:rsid w:val="00D06E0B"/>
    <w:rsid w:val="00D10836"/>
    <w:rsid w:val="00D119D2"/>
    <w:rsid w:val="00D154A8"/>
    <w:rsid w:val="00D16451"/>
    <w:rsid w:val="00D1653E"/>
    <w:rsid w:val="00D17CBA"/>
    <w:rsid w:val="00D20BCB"/>
    <w:rsid w:val="00D22102"/>
    <w:rsid w:val="00D24080"/>
    <w:rsid w:val="00D25422"/>
    <w:rsid w:val="00D261B1"/>
    <w:rsid w:val="00D2626F"/>
    <w:rsid w:val="00D33C2B"/>
    <w:rsid w:val="00D40EAF"/>
    <w:rsid w:val="00D55783"/>
    <w:rsid w:val="00D57699"/>
    <w:rsid w:val="00D576D2"/>
    <w:rsid w:val="00D61F50"/>
    <w:rsid w:val="00D62310"/>
    <w:rsid w:val="00D657CA"/>
    <w:rsid w:val="00D658C5"/>
    <w:rsid w:val="00D66E56"/>
    <w:rsid w:val="00D7132E"/>
    <w:rsid w:val="00D717D6"/>
    <w:rsid w:val="00D7347E"/>
    <w:rsid w:val="00D7491D"/>
    <w:rsid w:val="00D760A7"/>
    <w:rsid w:val="00D77C35"/>
    <w:rsid w:val="00D820EF"/>
    <w:rsid w:val="00D829AE"/>
    <w:rsid w:val="00D87AC0"/>
    <w:rsid w:val="00D917D9"/>
    <w:rsid w:val="00D95166"/>
    <w:rsid w:val="00D954CC"/>
    <w:rsid w:val="00D9601C"/>
    <w:rsid w:val="00D97719"/>
    <w:rsid w:val="00DA0248"/>
    <w:rsid w:val="00DA165D"/>
    <w:rsid w:val="00DA6F35"/>
    <w:rsid w:val="00DB6A66"/>
    <w:rsid w:val="00DB7AF7"/>
    <w:rsid w:val="00DC64B4"/>
    <w:rsid w:val="00DD17EE"/>
    <w:rsid w:val="00DD6E5B"/>
    <w:rsid w:val="00DE15C7"/>
    <w:rsid w:val="00DE3239"/>
    <w:rsid w:val="00DF45A4"/>
    <w:rsid w:val="00DF6D9E"/>
    <w:rsid w:val="00DF7453"/>
    <w:rsid w:val="00E018DA"/>
    <w:rsid w:val="00E01D0C"/>
    <w:rsid w:val="00E0255E"/>
    <w:rsid w:val="00E05BB8"/>
    <w:rsid w:val="00E0693A"/>
    <w:rsid w:val="00E107F9"/>
    <w:rsid w:val="00E122C0"/>
    <w:rsid w:val="00E124A5"/>
    <w:rsid w:val="00E20DFB"/>
    <w:rsid w:val="00E22ED6"/>
    <w:rsid w:val="00E314FE"/>
    <w:rsid w:val="00E31578"/>
    <w:rsid w:val="00E34825"/>
    <w:rsid w:val="00E3537D"/>
    <w:rsid w:val="00E3558A"/>
    <w:rsid w:val="00E37BC0"/>
    <w:rsid w:val="00E37FE4"/>
    <w:rsid w:val="00E40C84"/>
    <w:rsid w:val="00E46F39"/>
    <w:rsid w:val="00E471EC"/>
    <w:rsid w:val="00E53AAC"/>
    <w:rsid w:val="00E53D84"/>
    <w:rsid w:val="00E53DE3"/>
    <w:rsid w:val="00E55F79"/>
    <w:rsid w:val="00E57ECF"/>
    <w:rsid w:val="00E729A4"/>
    <w:rsid w:val="00E76D69"/>
    <w:rsid w:val="00E83486"/>
    <w:rsid w:val="00E8617B"/>
    <w:rsid w:val="00E8676B"/>
    <w:rsid w:val="00E876E6"/>
    <w:rsid w:val="00E90450"/>
    <w:rsid w:val="00E92358"/>
    <w:rsid w:val="00E92369"/>
    <w:rsid w:val="00E932E5"/>
    <w:rsid w:val="00EA485B"/>
    <w:rsid w:val="00EA5143"/>
    <w:rsid w:val="00EA5EF7"/>
    <w:rsid w:val="00EB2DAA"/>
    <w:rsid w:val="00EB40C2"/>
    <w:rsid w:val="00EC248B"/>
    <w:rsid w:val="00EC5702"/>
    <w:rsid w:val="00EC5E57"/>
    <w:rsid w:val="00EC6C11"/>
    <w:rsid w:val="00ED3096"/>
    <w:rsid w:val="00ED3798"/>
    <w:rsid w:val="00ED5986"/>
    <w:rsid w:val="00ED7E79"/>
    <w:rsid w:val="00EE13E3"/>
    <w:rsid w:val="00EE14D7"/>
    <w:rsid w:val="00EE4784"/>
    <w:rsid w:val="00EE559E"/>
    <w:rsid w:val="00EE65B6"/>
    <w:rsid w:val="00EE6AD9"/>
    <w:rsid w:val="00EF1B68"/>
    <w:rsid w:val="00EF1DDA"/>
    <w:rsid w:val="00EF2ADC"/>
    <w:rsid w:val="00EF4E75"/>
    <w:rsid w:val="00EF58D8"/>
    <w:rsid w:val="00EF703A"/>
    <w:rsid w:val="00EF70A5"/>
    <w:rsid w:val="00F01461"/>
    <w:rsid w:val="00F02E20"/>
    <w:rsid w:val="00F0462C"/>
    <w:rsid w:val="00F077BA"/>
    <w:rsid w:val="00F07F4F"/>
    <w:rsid w:val="00F10A44"/>
    <w:rsid w:val="00F115A7"/>
    <w:rsid w:val="00F117E9"/>
    <w:rsid w:val="00F119E4"/>
    <w:rsid w:val="00F12CF7"/>
    <w:rsid w:val="00F15699"/>
    <w:rsid w:val="00F15A6D"/>
    <w:rsid w:val="00F168E1"/>
    <w:rsid w:val="00F21589"/>
    <w:rsid w:val="00F21EDE"/>
    <w:rsid w:val="00F22877"/>
    <w:rsid w:val="00F24078"/>
    <w:rsid w:val="00F30050"/>
    <w:rsid w:val="00F315FF"/>
    <w:rsid w:val="00F37894"/>
    <w:rsid w:val="00F40F79"/>
    <w:rsid w:val="00F46480"/>
    <w:rsid w:val="00F579F1"/>
    <w:rsid w:val="00F62B91"/>
    <w:rsid w:val="00F64721"/>
    <w:rsid w:val="00F6767B"/>
    <w:rsid w:val="00F709DE"/>
    <w:rsid w:val="00F71EB8"/>
    <w:rsid w:val="00F73A0A"/>
    <w:rsid w:val="00F75011"/>
    <w:rsid w:val="00F76771"/>
    <w:rsid w:val="00F77217"/>
    <w:rsid w:val="00F77A5B"/>
    <w:rsid w:val="00F831C2"/>
    <w:rsid w:val="00F907DA"/>
    <w:rsid w:val="00F91C80"/>
    <w:rsid w:val="00F93728"/>
    <w:rsid w:val="00F9463F"/>
    <w:rsid w:val="00FA74C6"/>
    <w:rsid w:val="00FB0B30"/>
    <w:rsid w:val="00FB4727"/>
    <w:rsid w:val="00FB55FB"/>
    <w:rsid w:val="00FB5E3A"/>
    <w:rsid w:val="00FB6BAD"/>
    <w:rsid w:val="00FC0CF4"/>
    <w:rsid w:val="00FC3E8D"/>
    <w:rsid w:val="00FC6309"/>
    <w:rsid w:val="00FC7A77"/>
    <w:rsid w:val="00FD05E5"/>
    <w:rsid w:val="00FD0C55"/>
    <w:rsid w:val="00FD220C"/>
    <w:rsid w:val="00FE050D"/>
    <w:rsid w:val="00FE5CC3"/>
    <w:rsid w:val="00FF18AC"/>
    <w:rsid w:val="00FF19F0"/>
    <w:rsid w:val="00FF308E"/>
    <w:rsid w:val="00FF75E1"/>
    <w:rsid w:val="014A439D"/>
    <w:rsid w:val="014F7165"/>
    <w:rsid w:val="01956DCE"/>
    <w:rsid w:val="019664B1"/>
    <w:rsid w:val="01C0195C"/>
    <w:rsid w:val="01C74259"/>
    <w:rsid w:val="01E11EB4"/>
    <w:rsid w:val="02D90515"/>
    <w:rsid w:val="03340902"/>
    <w:rsid w:val="03630182"/>
    <w:rsid w:val="037C3D53"/>
    <w:rsid w:val="03B31B74"/>
    <w:rsid w:val="03F05C90"/>
    <w:rsid w:val="04AF6D7B"/>
    <w:rsid w:val="04E7726A"/>
    <w:rsid w:val="05246E3E"/>
    <w:rsid w:val="05580C5C"/>
    <w:rsid w:val="05C50C80"/>
    <w:rsid w:val="068479E7"/>
    <w:rsid w:val="06A260B7"/>
    <w:rsid w:val="06C536B4"/>
    <w:rsid w:val="06DA622C"/>
    <w:rsid w:val="06E15F8D"/>
    <w:rsid w:val="07523810"/>
    <w:rsid w:val="080D5E65"/>
    <w:rsid w:val="08270923"/>
    <w:rsid w:val="097A5D67"/>
    <w:rsid w:val="09880BAD"/>
    <w:rsid w:val="098826F0"/>
    <w:rsid w:val="09F41468"/>
    <w:rsid w:val="09FB0DE3"/>
    <w:rsid w:val="0AA70CDC"/>
    <w:rsid w:val="0AAB0D8C"/>
    <w:rsid w:val="0AC46B09"/>
    <w:rsid w:val="0B1614CF"/>
    <w:rsid w:val="0B2E376B"/>
    <w:rsid w:val="0BA63302"/>
    <w:rsid w:val="0BFF5782"/>
    <w:rsid w:val="0C5E519C"/>
    <w:rsid w:val="0CA77884"/>
    <w:rsid w:val="0CDD2D53"/>
    <w:rsid w:val="0D3A0435"/>
    <w:rsid w:val="0DD6566E"/>
    <w:rsid w:val="0DF2282E"/>
    <w:rsid w:val="0E062A0C"/>
    <w:rsid w:val="0E34537E"/>
    <w:rsid w:val="0F2227BC"/>
    <w:rsid w:val="0F706100"/>
    <w:rsid w:val="0F965492"/>
    <w:rsid w:val="0FDD12BC"/>
    <w:rsid w:val="101407A2"/>
    <w:rsid w:val="109217D4"/>
    <w:rsid w:val="10B9383C"/>
    <w:rsid w:val="10C00DB0"/>
    <w:rsid w:val="10CD0E0B"/>
    <w:rsid w:val="115B75ED"/>
    <w:rsid w:val="118C4D48"/>
    <w:rsid w:val="11B118CB"/>
    <w:rsid w:val="126B42E6"/>
    <w:rsid w:val="12C90757"/>
    <w:rsid w:val="132A783D"/>
    <w:rsid w:val="13390B19"/>
    <w:rsid w:val="13CF02C4"/>
    <w:rsid w:val="13D2065C"/>
    <w:rsid w:val="140813D2"/>
    <w:rsid w:val="140A41F4"/>
    <w:rsid w:val="142851FC"/>
    <w:rsid w:val="14CD3D4D"/>
    <w:rsid w:val="14F74BCE"/>
    <w:rsid w:val="151A021B"/>
    <w:rsid w:val="15284D87"/>
    <w:rsid w:val="15BA6F11"/>
    <w:rsid w:val="15ED4A05"/>
    <w:rsid w:val="15FB025D"/>
    <w:rsid w:val="16491452"/>
    <w:rsid w:val="16E53FF4"/>
    <w:rsid w:val="16EB23F2"/>
    <w:rsid w:val="16F672F4"/>
    <w:rsid w:val="16FA2DCD"/>
    <w:rsid w:val="176A2AEE"/>
    <w:rsid w:val="17F235C0"/>
    <w:rsid w:val="183E2A1D"/>
    <w:rsid w:val="189C609B"/>
    <w:rsid w:val="18D75062"/>
    <w:rsid w:val="18FE07FD"/>
    <w:rsid w:val="19146777"/>
    <w:rsid w:val="192B28DA"/>
    <w:rsid w:val="196F567B"/>
    <w:rsid w:val="19A3496B"/>
    <w:rsid w:val="19EC54DE"/>
    <w:rsid w:val="1A415098"/>
    <w:rsid w:val="1A501169"/>
    <w:rsid w:val="1BE03ECE"/>
    <w:rsid w:val="1BEC4B29"/>
    <w:rsid w:val="1C4C6734"/>
    <w:rsid w:val="1C791A8B"/>
    <w:rsid w:val="1C8B27CB"/>
    <w:rsid w:val="1CD11AE9"/>
    <w:rsid w:val="1CD6219F"/>
    <w:rsid w:val="1D1A76AB"/>
    <w:rsid w:val="1D3F20EE"/>
    <w:rsid w:val="1D5966F1"/>
    <w:rsid w:val="1DAE6572"/>
    <w:rsid w:val="1F457813"/>
    <w:rsid w:val="1FD940E2"/>
    <w:rsid w:val="20431CC3"/>
    <w:rsid w:val="20525DA3"/>
    <w:rsid w:val="20DD7F14"/>
    <w:rsid w:val="21C857DF"/>
    <w:rsid w:val="22130322"/>
    <w:rsid w:val="2227689A"/>
    <w:rsid w:val="22293A00"/>
    <w:rsid w:val="22B14969"/>
    <w:rsid w:val="22BB35F2"/>
    <w:rsid w:val="23640C95"/>
    <w:rsid w:val="23692F0B"/>
    <w:rsid w:val="25965D3D"/>
    <w:rsid w:val="25EA5EF1"/>
    <w:rsid w:val="25F56F08"/>
    <w:rsid w:val="26107847"/>
    <w:rsid w:val="26253C7B"/>
    <w:rsid w:val="26307F40"/>
    <w:rsid w:val="265D00F1"/>
    <w:rsid w:val="26630315"/>
    <w:rsid w:val="26831D45"/>
    <w:rsid w:val="268D3B7B"/>
    <w:rsid w:val="26EA4592"/>
    <w:rsid w:val="2734208F"/>
    <w:rsid w:val="27E84B8B"/>
    <w:rsid w:val="289B3BFA"/>
    <w:rsid w:val="28FA0316"/>
    <w:rsid w:val="28FC3FFC"/>
    <w:rsid w:val="2912392D"/>
    <w:rsid w:val="29B1686D"/>
    <w:rsid w:val="29C4731D"/>
    <w:rsid w:val="29C908BB"/>
    <w:rsid w:val="29EF517D"/>
    <w:rsid w:val="29F64FFC"/>
    <w:rsid w:val="2A2B5CA6"/>
    <w:rsid w:val="2A370460"/>
    <w:rsid w:val="2A444569"/>
    <w:rsid w:val="2A9F236D"/>
    <w:rsid w:val="2ADD0E6E"/>
    <w:rsid w:val="2AF30B2A"/>
    <w:rsid w:val="2B360074"/>
    <w:rsid w:val="2D20516B"/>
    <w:rsid w:val="2D342784"/>
    <w:rsid w:val="2D406CBA"/>
    <w:rsid w:val="2E222284"/>
    <w:rsid w:val="2E53100C"/>
    <w:rsid w:val="2F8C373C"/>
    <w:rsid w:val="2FAD444B"/>
    <w:rsid w:val="306F5022"/>
    <w:rsid w:val="310C3DEC"/>
    <w:rsid w:val="31601470"/>
    <w:rsid w:val="316D1DE9"/>
    <w:rsid w:val="31B52A17"/>
    <w:rsid w:val="31C81974"/>
    <w:rsid w:val="32160A62"/>
    <w:rsid w:val="32911D66"/>
    <w:rsid w:val="33557238"/>
    <w:rsid w:val="335870A1"/>
    <w:rsid w:val="338673F1"/>
    <w:rsid w:val="33E74F58"/>
    <w:rsid w:val="3450104F"/>
    <w:rsid w:val="34D07743"/>
    <w:rsid w:val="35F501C4"/>
    <w:rsid w:val="364540CC"/>
    <w:rsid w:val="365A34BC"/>
    <w:rsid w:val="36767402"/>
    <w:rsid w:val="36A32816"/>
    <w:rsid w:val="36BF3346"/>
    <w:rsid w:val="36D358EB"/>
    <w:rsid w:val="36E35E26"/>
    <w:rsid w:val="36E90DD6"/>
    <w:rsid w:val="37091293"/>
    <w:rsid w:val="370937F2"/>
    <w:rsid w:val="37331963"/>
    <w:rsid w:val="381F3845"/>
    <w:rsid w:val="39CE7549"/>
    <w:rsid w:val="3A6D1065"/>
    <w:rsid w:val="3B21523E"/>
    <w:rsid w:val="3B8406BA"/>
    <w:rsid w:val="3BB347B2"/>
    <w:rsid w:val="3BBB7E54"/>
    <w:rsid w:val="3C344905"/>
    <w:rsid w:val="3C511CCA"/>
    <w:rsid w:val="3C9B6097"/>
    <w:rsid w:val="3D085996"/>
    <w:rsid w:val="3D797AB5"/>
    <w:rsid w:val="3DB50FFF"/>
    <w:rsid w:val="3DBA5235"/>
    <w:rsid w:val="3DBC51C2"/>
    <w:rsid w:val="3DDA7D65"/>
    <w:rsid w:val="3ECA50E6"/>
    <w:rsid w:val="3FDE6079"/>
    <w:rsid w:val="40B328CE"/>
    <w:rsid w:val="40C652D1"/>
    <w:rsid w:val="40D07EFD"/>
    <w:rsid w:val="414E4827"/>
    <w:rsid w:val="42C906B3"/>
    <w:rsid w:val="42F87F92"/>
    <w:rsid w:val="43255786"/>
    <w:rsid w:val="438064B1"/>
    <w:rsid w:val="43F44339"/>
    <w:rsid w:val="44BF21E9"/>
    <w:rsid w:val="45A97974"/>
    <w:rsid w:val="45BB3CE7"/>
    <w:rsid w:val="462F4764"/>
    <w:rsid w:val="463A0BD5"/>
    <w:rsid w:val="46AB515B"/>
    <w:rsid w:val="46F801AE"/>
    <w:rsid w:val="47573126"/>
    <w:rsid w:val="476B375A"/>
    <w:rsid w:val="47D6229D"/>
    <w:rsid w:val="47E17326"/>
    <w:rsid w:val="48E563FE"/>
    <w:rsid w:val="490159E0"/>
    <w:rsid w:val="49663AF5"/>
    <w:rsid w:val="49B045BD"/>
    <w:rsid w:val="49B147F0"/>
    <w:rsid w:val="4A4D48C2"/>
    <w:rsid w:val="4A7024C7"/>
    <w:rsid w:val="4AEE32D1"/>
    <w:rsid w:val="4C432571"/>
    <w:rsid w:val="4CFD2300"/>
    <w:rsid w:val="4D873708"/>
    <w:rsid w:val="4D95507E"/>
    <w:rsid w:val="4DAA25FF"/>
    <w:rsid w:val="4DAC2346"/>
    <w:rsid w:val="4E6762B1"/>
    <w:rsid w:val="4FAB1C62"/>
    <w:rsid w:val="4FB560B8"/>
    <w:rsid w:val="4FD652B7"/>
    <w:rsid w:val="501D4143"/>
    <w:rsid w:val="50376CFC"/>
    <w:rsid w:val="5096666A"/>
    <w:rsid w:val="510D75C7"/>
    <w:rsid w:val="51202610"/>
    <w:rsid w:val="51B64EEE"/>
    <w:rsid w:val="51D07073"/>
    <w:rsid w:val="528B0E3E"/>
    <w:rsid w:val="52A33A2B"/>
    <w:rsid w:val="52C5192F"/>
    <w:rsid w:val="538727EA"/>
    <w:rsid w:val="53F21029"/>
    <w:rsid w:val="540D2C74"/>
    <w:rsid w:val="565F3711"/>
    <w:rsid w:val="567A473C"/>
    <w:rsid w:val="56A03680"/>
    <w:rsid w:val="56B12701"/>
    <w:rsid w:val="56E9786E"/>
    <w:rsid w:val="57970874"/>
    <w:rsid w:val="579F5224"/>
    <w:rsid w:val="57C006DF"/>
    <w:rsid w:val="583125CF"/>
    <w:rsid w:val="589866DF"/>
    <w:rsid w:val="58B24629"/>
    <w:rsid w:val="58E4376F"/>
    <w:rsid w:val="592563FC"/>
    <w:rsid w:val="596E6E7F"/>
    <w:rsid w:val="597F7301"/>
    <w:rsid w:val="5A065314"/>
    <w:rsid w:val="5AA022FD"/>
    <w:rsid w:val="5B4B05BF"/>
    <w:rsid w:val="5C0E4E24"/>
    <w:rsid w:val="5C4F5F5A"/>
    <w:rsid w:val="5CC75B9A"/>
    <w:rsid w:val="5CC77C7A"/>
    <w:rsid w:val="5D3750AD"/>
    <w:rsid w:val="5DAA7FFC"/>
    <w:rsid w:val="5DE8154B"/>
    <w:rsid w:val="5DED1CCF"/>
    <w:rsid w:val="5E0A130E"/>
    <w:rsid w:val="5EE8195A"/>
    <w:rsid w:val="5EEE2D67"/>
    <w:rsid w:val="5F823743"/>
    <w:rsid w:val="6098413C"/>
    <w:rsid w:val="60C42CCE"/>
    <w:rsid w:val="60F63F31"/>
    <w:rsid w:val="61AE74DB"/>
    <w:rsid w:val="623616DF"/>
    <w:rsid w:val="62685D90"/>
    <w:rsid w:val="63046146"/>
    <w:rsid w:val="63791226"/>
    <w:rsid w:val="640642B6"/>
    <w:rsid w:val="64647740"/>
    <w:rsid w:val="64CE659A"/>
    <w:rsid w:val="654905E0"/>
    <w:rsid w:val="66182B4E"/>
    <w:rsid w:val="67880668"/>
    <w:rsid w:val="68365FDC"/>
    <w:rsid w:val="684909CF"/>
    <w:rsid w:val="6870599E"/>
    <w:rsid w:val="6882347F"/>
    <w:rsid w:val="68CB1734"/>
    <w:rsid w:val="69252C2D"/>
    <w:rsid w:val="69B6261E"/>
    <w:rsid w:val="6AC26D8F"/>
    <w:rsid w:val="6AE65E18"/>
    <w:rsid w:val="6B672589"/>
    <w:rsid w:val="6C1D408F"/>
    <w:rsid w:val="6C5D1DE1"/>
    <w:rsid w:val="6C5D4D04"/>
    <w:rsid w:val="6C873866"/>
    <w:rsid w:val="6CC955ED"/>
    <w:rsid w:val="6CF954AD"/>
    <w:rsid w:val="6D0637C6"/>
    <w:rsid w:val="6D2A15FF"/>
    <w:rsid w:val="6D3B6473"/>
    <w:rsid w:val="6DB10E69"/>
    <w:rsid w:val="6DB11F5C"/>
    <w:rsid w:val="6E0F4E98"/>
    <w:rsid w:val="6E275E4D"/>
    <w:rsid w:val="6E3632F3"/>
    <w:rsid w:val="6EE16CEF"/>
    <w:rsid w:val="6EEA58D2"/>
    <w:rsid w:val="6F453A50"/>
    <w:rsid w:val="6FA6669F"/>
    <w:rsid w:val="6FBA689E"/>
    <w:rsid w:val="6FC15673"/>
    <w:rsid w:val="702312DA"/>
    <w:rsid w:val="7023779A"/>
    <w:rsid w:val="7053007F"/>
    <w:rsid w:val="705F5ED6"/>
    <w:rsid w:val="70762D7F"/>
    <w:rsid w:val="707C6EAA"/>
    <w:rsid w:val="707D4967"/>
    <w:rsid w:val="71033854"/>
    <w:rsid w:val="7116126F"/>
    <w:rsid w:val="7133222F"/>
    <w:rsid w:val="720809D6"/>
    <w:rsid w:val="72B722F4"/>
    <w:rsid w:val="72C546D9"/>
    <w:rsid w:val="72E26492"/>
    <w:rsid w:val="73320420"/>
    <w:rsid w:val="735D0BC8"/>
    <w:rsid w:val="73C14E94"/>
    <w:rsid w:val="73E8128E"/>
    <w:rsid w:val="742439F9"/>
    <w:rsid w:val="742C1625"/>
    <w:rsid w:val="744C1916"/>
    <w:rsid w:val="745E748B"/>
    <w:rsid w:val="74B42E61"/>
    <w:rsid w:val="75084E9B"/>
    <w:rsid w:val="754363A7"/>
    <w:rsid w:val="75BE41ED"/>
    <w:rsid w:val="76827C0C"/>
    <w:rsid w:val="76BD1870"/>
    <w:rsid w:val="76C4039C"/>
    <w:rsid w:val="76DC54CC"/>
    <w:rsid w:val="76F72A16"/>
    <w:rsid w:val="770F3C77"/>
    <w:rsid w:val="77BC475C"/>
    <w:rsid w:val="782448AE"/>
    <w:rsid w:val="7913339A"/>
    <w:rsid w:val="7926094E"/>
    <w:rsid w:val="79481AE2"/>
    <w:rsid w:val="79482D69"/>
    <w:rsid w:val="79AB7D57"/>
    <w:rsid w:val="79E47F9A"/>
    <w:rsid w:val="79ED424A"/>
    <w:rsid w:val="79FD5CD8"/>
    <w:rsid w:val="7A2B5BC9"/>
    <w:rsid w:val="7A4456B4"/>
    <w:rsid w:val="7A44736C"/>
    <w:rsid w:val="7A513F5E"/>
    <w:rsid w:val="7B3B008E"/>
    <w:rsid w:val="7B4E1EFE"/>
    <w:rsid w:val="7BAD4D49"/>
    <w:rsid w:val="7BAE3E6C"/>
    <w:rsid w:val="7C050B5A"/>
    <w:rsid w:val="7C6158D2"/>
    <w:rsid w:val="7C652B27"/>
    <w:rsid w:val="7CC81B75"/>
    <w:rsid w:val="7D5C7F81"/>
    <w:rsid w:val="7D777D0E"/>
    <w:rsid w:val="7E01607D"/>
    <w:rsid w:val="7E144D2B"/>
    <w:rsid w:val="7EBE1717"/>
    <w:rsid w:val="7F144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qFormat="1"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Calibri" w:hAnsi="Calibri" w:eastAsia="宋体" w:cs="Times New Roman"/>
      <w:kern w:val="2"/>
      <w:sz w:val="24"/>
      <w:lang w:val="en-US" w:eastAsia="zh-CN" w:bidi="ar-SA"/>
    </w:rPr>
  </w:style>
  <w:style w:type="paragraph" w:styleId="2">
    <w:name w:val="heading 1"/>
    <w:basedOn w:val="1"/>
    <w:next w:val="1"/>
    <w:link w:val="39"/>
    <w:qFormat/>
    <w:uiPriority w:val="0"/>
    <w:pPr>
      <w:keepNext/>
      <w:keepLines/>
      <w:ind w:firstLine="0" w:firstLineChars="0"/>
      <w:outlineLvl w:val="0"/>
    </w:pPr>
    <w:rPr>
      <w:rFonts w:ascii="Times New Roman" w:hAnsi="Times New Roman" w:eastAsia="黑体"/>
      <w:bCs/>
      <w:kern w:val="44"/>
      <w:sz w:val="32"/>
      <w:szCs w:val="44"/>
      <w:lang w:val="zh-CN"/>
    </w:rPr>
  </w:style>
  <w:style w:type="paragraph" w:styleId="3">
    <w:name w:val="heading 2"/>
    <w:basedOn w:val="1"/>
    <w:next w:val="1"/>
    <w:link w:val="40"/>
    <w:qFormat/>
    <w:uiPriority w:val="0"/>
    <w:pPr>
      <w:keepNext/>
      <w:keepLines/>
      <w:ind w:firstLine="0" w:firstLineChars="0"/>
      <w:outlineLvl w:val="1"/>
    </w:pPr>
    <w:rPr>
      <w:rFonts w:ascii="Arial" w:hAnsi="Arial" w:eastAsia="黑体"/>
      <w:bCs/>
      <w:kern w:val="0"/>
      <w:sz w:val="30"/>
      <w:szCs w:val="32"/>
      <w:lang w:val="zh-CN"/>
    </w:rPr>
  </w:style>
  <w:style w:type="paragraph" w:styleId="4">
    <w:name w:val="heading 3"/>
    <w:basedOn w:val="1"/>
    <w:next w:val="1"/>
    <w:link w:val="41"/>
    <w:qFormat/>
    <w:uiPriority w:val="0"/>
    <w:pPr>
      <w:keepNext/>
      <w:keepLines/>
      <w:ind w:firstLine="0" w:firstLineChars="0"/>
      <w:outlineLvl w:val="2"/>
    </w:pPr>
    <w:rPr>
      <w:rFonts w:ascii="Times New Roman" w:hAnsi="Times New Roman" w:eastAsia="黑体"/>
      <w:bCs/>
      <w:kern w:val="0"/>
      <w:sz w:val="28"/>
      <w:szCs w:val="32"/>
      <w:lang w:val="zh-CN"/>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2520" w:leftChars="1200"/>
    </w:pPr>
    <w:rPr>
      <w:rFonts w:asciiTheme="minorHAnsi" w:hAnsiTheme="minorHAnsi" w:eastAsiaTheme="minorEastAsia" w:cstheme="minorBidi"/>
      <w:szCs w:val="22"/>
    </w:rPr>
  </w:style>
  <w:style w:type="paragraph" w:styleId="6">
    <w:name w:val="caption"/>
    <w:basedOn w:val="1"/>
    <w:next w:val="1"/>
    <w:unhideWhenUsed/>
    <w:qFormat/>
    <w:uiPriority w:val="35"/>
    <w:rPr>
      <w:rFonts w:eastAsia="黑体" w:asciiTheme="majorHAnsi" w:hAnsiTheme="majorHAnsi" w:cstheme="majorBidi"/>
      <w:sz w:val="20"/>
    </w:rPr>
  </w:style>
  <w:style w:type="paragraph" w:styleId="7">
    <w:name w:val="annotation text"/>
    <w:basedOn w:val="1"/>
    <w:link w:val="50"/>
    <w:qFormat/>
    <w:uiPriority w:val="0"/>
    <w:pPr>
      <w:jc w:val="left"/>
    </w:pPr>
    <w:rPr>
      <w:rFonts w:ascii="Times New Roman" w:hAnsi="Times New Roman"/>
      <w:kern w:val="0"/>
      <w:sz w:val="20"/>
      <w:szCs w:val="24"/>
      <w:lang w:val="zh-CN"/>
    </w:rPr>
  </w:style>
  <w:style w:type="paragraph" w:styleId="8">
    <w:name w:val="Body Text 3"/>
    <w:basedOn w:val="1"/>
    <w:link w:val="57"/>
    <w:qFormat/>
    <w:uiPriority w:val="0"/>
    <w:pPr>
      <w:spacing w:after="120"/>
    </w:pPr>
    <w:rPr>
      <w:rFonts w:ascii="Times New Roman" w:hAnsi="Times New Roman"/>
      <w:sz w:val="16"/>
      <w:szCs w:val="16"/>
    </w:rPr>
  </w:style>
  <w:style w:type="paragraph" w:styleId="9">
    <w:name w:val="Body Text"/>
    <w:basedOn w:val="1"/>
    <w:link w:val="49"/>
    <w:qFormat/>
    <w:uiPriority w:val="0"/>
    <w:pPr>
      <w:jc w:val="center"/>
    </w:pPr>
    <w:rPr>
      <w:rFonts w:ascii="宋体" w:hAnsi="Times New Roman"/>
      <w:kern w:val="0"/>
      <w:sz w:val="20"/>
      <w:szCs w:val="24"/>
      <w:lang w:val="zh-CN"/>
    </w:rPr>
  </w:style>
  <w:style w:type="paragraph" w:styleId="10">
    <w:name w:val="Body Text Indent"/>
    <w:basedOn w:val="1"/>
    <w:link w:val="46"/>
    <w:qFormat/>
    <w:uiPriority w:val="0"/>
    <w:pPr>
      <w:widowControl/>
      <w:spacing w:line="400" w:lineRule="exact"/>
      <w:ind w:firstLine="420"/>
      <w:jc w:val="left"/>
    </w:pPr>
    <w:rPr>
      <w:rFonts w:ascii="宋体" w:hAnsi="宋体"/>
      <w:color w:val="000000"/>
      <w:kern w:val="0"/>
      <w:szCs w:val="24"/>
    </w:rPr>
  </w:style>
  <w:style w:type="paragraph" w:styleId="11">
    <w:name w:val="toc 5"/>
    <w:basedOn w:val="1"/>
    <w:next w:val="1"/>
    <w:unhideWhenUsed/>
    <w:qFormat/>
    <w:uiPriority w:val="39"/>
    <w:pPr>
      <w:ind w:left="1680" w:leftChars="800"/>
    </w:pPr>
    <w:rPr>
      <w:rFonts w:asciiTheme="minorHAnsi" w:hAnsiTheme="minorHAnsi" w:eastAsiaTheme="minorEastAsia" w:cstheme="minorBidi"/>
      <w:szCs w:val="22"/>
    </w:rPr>
  </w:style>
  <w:style w:type="paragraph" w:styleId="12">
    <w:name w:val="toc 3"/>
    <w:basedOn w:val="1"/>
    <w:next w:val="1"/>
    <w:unhideWhenUsed/>
    <w:qFormat/>
    <w:uiPriority w:val="39"/>
    <w:pPr>
      <w:widowControl/>
      <w:tabs>
        <w:tab w:val="right" w:leader="dot" w:pos="8789"/>
      </w:tabs>
      <w:ind w:left="400" w:leftChars="400" w:firstLine="0" w:firstLineChars="0"/>
      <w:jc w:val="left"/>
    </w:pPr>
    <w:rPr>
      <w:rFonts w:ascii="Times New Roman" w:hAnsi="Times New Roman"/>
      <w:kern w:val="0"/>
      <w:szCs w:val="24"/>
    </w:rPr>
  </w:style>
  <w:style w:type="paragraph" w:styleId="13">
    <w:name w:val="Plain Text"/>
    <w:basedOn w:val="1"/>
    <w:link w:val="43"/>
    <w:unhideWhenUsed/>
    <w:qFormat/>
    <w:uiPriority w:val="0"/>
    <w:rPr>
      <w:rFonts w:ascii="宋体" w:hAnsi="Courier New"/>
    </w:rPr>
  </w:style>
  <w:style w:type="paragraph" w:styleId="14">
    <w:name w:val="toc 8"/>
    <w:basedOn w:val="1"/>
    <w:next w:val="1"/>
    <w:unhideWhenUsed/>
    <w:qFormat/>
    <w:uiPriority w:val="39"/>
    <w:pPr>
      <w:ind w:left="2940" w:leftChars="1400"/>
    </w:pPr>
    <w:rPr>
      <w:rFonts w:asciiTheme="minorHAnsi" w:hAnsiTheme="minorHAnsi" w:eastAsiaTheme="minorEastAsia" w:cstheme="minorBidi"/>
      <w:szCs w:val="22"/>
    </w:rPr>
  </w:style>
  <w:style w:type="paragraph" w:styleId="15">
    <w:name w:val="Date"/>
    <w:basedOn w:val="1"/>
    <w:next w:val="1"/>
    <w:link w:val="42"/>
    <w:unhideWhenUsed/>
    <w:qFormat/>
    <w:uiPriority w:val="0"/>
    <w:pPr>
      <w:ind w:left="100" w:leftChars="2500"/>
    </w:pPr>
    <w:rPr>
      <w:rFonts w:asciiTheme="minorHAnsi" w:hAnsiTheme="minorHAnsi" w:eastAsiaTheme="minorEastAsia" w:cstheme="minorBidi"/>
      <w:szCs w:val="22"/>
    </w:rPr>
  </w:style>
  <w:style w:type="paragraph" w:styleId="16">
    <w:name w:val="Body Text Indent 2"/>
    <w:basedOn w:val="1"/>
    <w:link w:val="48"/>
    <w:qFormat/>
    <w:uiPriority w:val="0"/>
    <w:pPr>
      <w:ind w:firstLine="435"/>
    </w:pPr>
    <w:rPr>
      <w:rFonts w:ascii="Times New Roman" w:hAnsi="Times New Roman"/>
      <w:kern w:val="0"/>
      <w:sz w:val="20"/>
      <w:szCs w:val="24"/>
      <w:lang w:val="zh-CN"/>
    </w:rPr>
  </w:style>
  <w:style w:type="paragraph" w:styleId="17">
    <w:name w:val="Balloon Text"/>
    <w:basedOn w:val="1"/>
    <w:link w:val="47"/>
    <w:semiHidden/>
    <w:unhideWhenUsed/>
    <w:qFormat/>
    <w:uiPriority w:val="0"/>
    <w:rPr>
      <w:kern w:val="0"/>
      <w:sz w:val="18"/>
      <w:szCs w:val="18"/>
      <w:lang w:val="zh-CN"/>
    </w:rPr>
  </w:style>
  <w:style w:type="paragraph" w:styleId="18">
    <w:name w:val="footer"/>
    <w:basedOn w:val="1"/>
    <w:link w:val="45"/>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9">
    <w:name w:val="header"/>
    <w:basedOn w:val="1"/>
    <w:link w:val="44"/>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20">
    <w:name w:val="toc 1"/>
    <w:basedOn w:val="1"/>
    <w:next w:val="1"/>
    <w:qFormat/>
    <w:uiPriority w:val="39"/>
    <w:pPr>
      <w:tabs>
        <w:tab w:val="right" w:leader="dot" w:pos="8777"/>
      </w:tabs>
      <w:ind w:firstLine="0" w:firstLineChars="0"/>
      <w:jc w:val="left"/>
    </w:pPr>
    <w:rPr>
      <w:rFonts w:ascii="Times New Roman" w:hAnsi="Times New Roman" w:eastAsia="黑体"/>
      <w:kern w:val="0"/>
      <w:sz w:val="28"/>
      <w:szCs w:val="28"/>
    </w:rPr>
  </w:style>
  <w:style w:type="paragraph" w:styleId="21">
    <w:name w:val="toc 4"/>
    <w:basedOn w:val="1"/>
    <w:next w:val="1"/>
    <w:unhideWhenUsed/>
    <w:qFormat/>
    <w:uiPriority w:val="39"/>
    <w:pPr>
      <w:ind w:left="1260" w:leftChars="600"/>
    </w:pPr>
    <w:rPr>
      <w:rFonts w:asciiTheme="minorHAnsi" w:hAnsiTheme="minorHAnsi" w:eastAsiaTheme="minorEastAsia" w:cstheme="minorBidi"/>
      <w:szCs w:val="22"/>
    </w:rPr>
  </w:style>
  <w:style w:type="paragraph" w:styleId="22">
    <w:name w:val="toc 6"/>
    <w:basedOn w:val="1"/>
    <w:next w:val="1"/>
    <w:unhideWhenUsed/>
    <w:qFormat/>
    <w:uiPriority w:val="39"/>
    <w:pPr>
      <w:ind w:left="2100" w:leftChars="1000"/>
    </w:pPr>
    <w:rPr>
      <w:rFonts w:asciiTheme="minorHAnsi" w:hAnsiTheme="minorHAnsi" w:eastAsiaTheme="minorEastAsia" w:cstheme="minorBidi"/>
      <w:szCs w:val="22"/>
    </w:rPr>
  </w:style>
  <w:style w:type="paragraph" w:styleId="23">
    <w:name w:val="Body Text Indent 3"/>
    <w:basedOn w:val="1"/>
    <w:link w:val="55"/>
    <w:semiHidden/>
    <w:unhideWhenUsed/>
    <w:qFormat/>
    <w:uiPriority w:val="99"/>
    <w:pPr>
      <w:spacing w:after="120"/>
      <w:ind w:left="420" w:leftChars="200"/>
    </w:pPr>
    <w:rPr>
      <w:rFonts w:asciiTheme="minorHAnsi" w:hAnsiTheme="minorHAnsi" w:eastAsiaTheme="minorEastAsia" w:cstheme="minorBidi"/>
      <w:sz w:val="16"/>
      <w:szCs w:val="16"/>
    </w:rPr>
  </w:style>
  <w:style w:type="paragraph" w:styleId="24">
    <w:name w:val="toc 2"/>
    <w:basedOn w:val="1"/>
    <w:next w:val="1"/>
    <w:unhideWhenUsed/>
    <w:qFormat/>
    <w:uiPriority w:val="39"/>
    <w:pPr>
      <w:widowControl/>
      <w:tabs>
        <w:tab w:val="right" w:leader="dot" w:pos="8777"/>
      </w:tabs>
      <w:ind w:left="200" w:leftChars="200" w:firstLine="0" w:firstLineChars="0"/>
      <w:jc w:val="left"/>
    </w:pPr>
    <w:rPr>
      <w:rFonts w:ascii="Times New Roman" w:hAnsi="Times New Roman"/>
      <w:kern w:val="0"/>
      <w:sz w:val="28"/>
      <w:szCs w:val="28"/>
    </w:rPr>
  </w:style>
  <w:style w:type="paragraph" w:styleId="25">
    <w:name w:val="toc 9"/>
    <w:basedOn w:val="1"/>
    <w:next w:val="1"/>
    <w:unhideWhenUsed/>
    <w:qFormat/>
    <w:uiPriority w:val="39"/>
    <w:pPr>
      <w:ind w:left="3360" w:leftChars="1600"/>
    </w:pPr>
    <w:rPr>
      <w:rFonts w:asciiTheme="minorHAnsi" w:hAnsiTheme="minorHAnsi" w:eastAsiaTheme="minorEastAsia" w:cstheme="minorBidi"/>
      <w:szCs w:val="22"/>
    </w:rPr>
  </w:style>
  <w:style w:type="paragraph" w:styleId="26">
    <w:name w:val="Body Text 2"/>
    <w:basedOn w:val="1"/>
    <w:link w:val="53"/>
    <w:qFormat/>
    <w:uiPriority w:val="0"/>
    <w:pPr>
      <w:spacing w:after="120" w:line="480" w:lineRule="auto"/>
    </w:pPr>
    <w:rPr>
      <w:rFonts w:ascii="宋体" w:hAnsi="Times New Roman"/>
      <w:kern w:val="0"/>
      <w:lang w:val="zh-CN"/>
    </w:rPr>
  </w:style>
  <w:style w:type="paragraph" w:styleId="2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Cs w:val="24"/>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29">
    <w:name w:val="annotation subject"/>
    <w:basedOn w:val="7"/>
    <w:next w:val="7"/>
    <w:link w:val="51"/>
    <w:qFormat/>
    <w:uiPriority w:val="0"/>
    <w:rPr>
      <w:b/>
      <w:bCs/>
    </w:rPr>
  </w:style>
  <w:style w:type="paragraph" w:styleId="30">
    <w:name w:val="Body Text First Indent 2"/>
    <w:basedOn w:val="10"/>
    <w:link w:val="66"/>
    <w:semiHidden/>
    <w:unhideWhenUsed/>
    <w:qFormat/>
    <w:uiPriority w:val="99"/>
    <w:pPr>
      <w:widowControl w:val="0"/>
      <w:spacing w:after="120" w:line="360" w:lineRule="auto"/>
      <w:ind w:left="420" w:leftChars="200"/>
      <w:jc w:val="both"/>
    </w:pPr>
    <w:rPr>
      <w:rFonts w:ascii="Calibri" w:hAnsi="Calibri"/>
      <w:color w:val="auto"/>
      <w:kern w:val="2"/>
      <w:szCs w:val="20"/>
    </w:rPr>
  </w:style>
  <w:style w:type="table" w:styleId="32">
    <w:name w:val="Table Grid"/>
    <w:basedOn w:val="3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22"/>
    <w:rPr>
      <w:b/>
      <w:bCs/>
    </w:rPr>
  </w:style>
  <w:style w:type="character" w:styleId="35">
    <w:name w:val="page number"/>
    <w:basedOn w:val="33"/>
    <w:qFormat/>
    <w:uiPriority w:val="0"/>
  </w:style>
  <w:style w:type="character" w:styleId="36">
    <w:name w:val="Hyperlink"/>
    <w:qFormat/>
    <w:uiPriority w:val="99"/>
    <w:rPr>
      <w:color w:val="0000FF"/>
      <w:u w:val="single"/>
    </w:rPr>
  </w:style>
  <w:style w:type="character" w:styleId="37">
    <w:name w:val="HTML Code"/>
    <w:basedOn w:val="33"/>
    <w:semiHidden/>
    <w:unhideWhenUsed/>
    <w:qFormat/>
    <w:uiPriority w:val="99"/>
    <w:rPr>
      <w:rFonts w:ascii="Courier New" w:hAnsi="Courier New"/>
      <w:sz w:val="20"/>
    </w:rPr>
  </w:style>
  <w:style w:type="character" w:styleId="38">
    <w:name w:val="annotation reference"/>
    <w:qFormat/>
    <w:uiPriority w:val="0"/>
    <w:rPr>
      <w:sz w:val="21"/>
      <w:szCs w:val="21"/>
    </w:rPr>
  </w:style>
  <w:style w:type="character" w:customStyle="1" w:styleId="39">
    <w:name w:val="标题 1 字符"/>
    <w:basedOn w:val="33"/>
    <w:link w:val="2"/>
    <w:qFormat/>
    <w:uiPriority w:val="0"/>
    <w:rPr>
      <w:rFonts w:ascii="Times New Roman" w:hAnsi="Times New Roman" w:eastAsia="黑体" w:cs="Times New Roman"/>
      <w:bCs/>
      <w:kern w:val="44"/>
      <w:sz w:val="32"/>
      <w:szCs w:val="44"/>
      <w:lang w:val="zh-CN" w:eastAsia="zh-CN"/>
    </w:rPr>
  </w:style>
  <w:style w:type="character" w:customStyle="1" w:styleId="40">
    <w:name w:val="标题 2 字符"/>
    <w:basedOn w:val="33"/>
    <w:link w:val="3"/>
    <w:qFormat/>
    <w:uiPriority w:val="0"/>
    <w:rPr>
      <w:rFonts w:ascii="Arial" w:hAnsi="Arial" w:eastAsia="黑体" w:cs="Times New Roman"/>
      <w:bCs/>
      <w:kern w:val="0"/>
      <w:sz w:val="30"/>
      <w:szCs w:val="32"/>
      <w:lang w:val="zh-CN" w:eastAsia="zh-CN"/>
    </w:rPr>
  </w:style>
  <w:style w:type="character" w:customStyle="1" w:styleId="41">
    <w:name w:val="标题 3 字符"/>
    <w:basedOn w:val="33"/>
    <w:link w:val="4"/>
    <w:qFormat/>
    <w:uiPriority w:val="0"/>
    <w:rPr>
      <w:rFonts w:ascii="Times New Roman" w:hAnsi="Times New Roman" w:eastAsia="黑体" w:cs="Times New Roman"/>
      <w:bCs/>
      <w:kern w:val="0"/>
      <w:sz w:val="28"/>
      <w:szCs w:val="32"/>
      <w:lang w:val="zh-CN" w:eastAsia="zh-CN"/>
    </w:rPr>
  </w:style>
  <w:style w:type="character" w:customStyle="1" w:styleId="42">
    <w:name w:val="日期 字符"/>
    <w:basedOn w:val="33"/>
    <w:link w:val="15"/>
    <w:qFormat/>
    <w:uiPriority w:val="0"/>
  </w:style>
  <w:style w:type="character" w:customStyle="1" w:styleId="43">
    <w:name w:val="纯文本 字符"/>
    <w:basedOn w:val="33"/>
    <w:link w:val="13"/>
    <w:qFormat/>
    <w:uiPriority w:val="0"/>
    <w:rPr>
      <w:rFonts w:ascii="宋体" w:hAnsi="Courier New" w:eastAsia="宋体" w:cs="Times New Roman"/>
      <w:szCs w:val="20"/>
    </w:rPr>
  </w:style>
  <w:style w:type="character" w:customStyle="1" w:styleId="44">
    <w:name w:val="页眉 字符"/>
    <w:basedOn w:val="33"/>
    <w:link w:val="19"/>
    <w:qFormat/>
    <w:uiPriority w:val="99"/>
    <w:rPr>
      <w:sz w:val="18"/>
      <w:szCs w:val="18"/>
    </w:rPr>
  </w:style>
  <w:style w:type="character" w:customStyle="1" w:styleId="45">
    <w:name w:val="页脚 字符"/>
    <w:basedOn w:val="33"/>
    <w:link w:val="18"/>
    <w:qFormat/>
    <w:uiPriority w:val="99"/>
    <w:rPr>
      <w:sz w:val="18"/>
      <w:szCs w:val="18"/>
    </w:rPr>
  </w:style>
  <w:style w:type="character" w:customStyle="1" w:styleId="46">
    <w:name w:val="正文文本缩进 字符"/>
    <w:basedOn w:val="33"/>
    <w:link w:val="10"/>
    <w:qFormat/>
    <w:uiPriority w:val="0"/>
    <w:rPr>
      <w:rFonts w:ascii="宋体" w:hAnsi="宋体" w:eastAsia="宋体" w:cs="Times New Roman"/>
      <w:color w:val="000000"/>
      <w:kern w:val="0"/>
      <w:szCs w:val="24"/>
    </w:rPr>
  </w:style>
  <w:style w:type="character" w:customStyle="1" w:styleId="47">
    <w:name w:val="批注框文本 字符"/>
    <w:basedOn w:val="33"/>
    <w:link w:val="17"/>
    <w:semiHidden/>
    <w:qFormat/>
    <w:uiPriority w:val="0"/>
    <w:rPr>
      <w:rFonts w:ascii="Calibri" w:hAnsi="Calibri" w:eastAsia="宋体" w:cs="Times New Roman"/>
      <w:kern w:val="0"/>
      <w:sz w:val="18"/>
      <w:szCs w:val="18"/>
      <w:lang w:val="zh-CN" w:eastAsia="zh-CN"/>
    </w:rPr>
  </w:style>
  <w:style w:type="character" w:customStyle="1" w:styleId="48">
    <w:name w:val="正文文本缩进 2 字符"/>
    <w:basedOn w:val="33"/>
    <w:link w:val="16"/>
    <w:qFormat/>
    <w:uiPriority w:val="0"/>
    <w:rPr>
      <w:rFonts w:ascii="Times New Roman" w:hAnsi="Times New Roman" w:eastAsia="宋体" w:cs="Times New Roman"/>
      <w:kern w:val="0"/>
      <w:sz w:val="20"/>
      <w:szCs w:val="24"/>
      <w:lang w:val="zh-CN" w:eastAsia="zh-CN"/>
    </w:rPr>
  </w:style>
  <w:style w:type="character" w:customStyle="1" w:styleId="49">
    <w:name w:val="正文文本 字符"/>
    <w:basedOn w:val="33"/>
    <w:link w:val="9"/>
    <w:qFormat/>
    <w:uiPriority w:val="0"/>
    <w:rPr>
      <w:rFonts w:ascii="宋体" w:hAnsi="Times New Roman" w:eastAsia="宋体" w:cs="Times New Roman"/>
      <w:kern w:val="0"/>
      <w:sz w:val="20"/>
      <w:szCs w:val="24"/>
      <w:lang w:val="zh-CN" w:eastAsia="zh-CN"/>
    </w:rPr>
  </w:style>
  <w:style w:type="character" w:customStyle="1" w:styleId="50">
    <w:name w:val="批注文字 字符"/>
    <w:basedOn w:val="33"/>
    <w:link w:val="7"/>
    <w:qFormat/>
    <w:uiPriority w:val="0"/>
    <w:rPr>
      <w:rFonts w:ascii="Times New Roman" w:hAnsi="Times New Roman" w:eastAsia="宋体" w:cs="Times New Roman"/>
      <w:kern w:val="0"/>
      <w:sz w:val="20"/>
      <w:szCs w:val="24"/>
      <w:lang w:val="zh-CN" w:eastAsia="zh-CN"/>
    </w:rPr>
  </w:style>
  <w:style w:type="character" w:customStyle="1" w:styleId="51">
    <w:name w:val="批注主题 字符"/>
    <w:basedOn w:val="50"/>
    <w:link w:val="29"/>
    <w:qFormat/>
    <w:uiPriority w:val="0"/>
    <w:rPr>
      <w:rFonts w:ascii="Times New Roman" w:hAnsi="Times New Roman" w:eastAsia="宋体" w:cs="Times New Roman"/>
      <w:b/>
      <w:bCs/>
      <w:kern w:val="0"/>
      <w:sz w:val="20"/>
      <w:szCs w:val="24"/>
      <w:lang w:val="zh-CN" w:eastAsia="zh-CN"/>
    </w:rPr>
  </w:style>
  <w:style w:type="paragraph" w:customStyle="1" w:styleId="52">
    <w:name w:val="p0"/>
    <w:basedOn w:val="1"/>
    <w:qFormat/>
    <w:uiPriority w:val="0"/>
    <w:pPr>
      <w:widowControl/>
    </w:pPr>
    <w:rPr>
      <w:rFonts w:cs="宋体"/>
      <w:kern w:val="0"/>
      <w:szCs w:val="21"/>
    </w:rPr>
  </w:style>
  <w:style w:type="character" w:customStyle="1" w:styleId="53">
    <w:name w:val="正文文本 2 字符"/>
    <w:basedOn w:val="33"/>
    <w:link w:val="26"/>
    <w:qFormat/>
    <w:uiPriority w:val="0"/>
    <w:rPr>
      <w:rFonts w:ascii="宋体" w:hAnsi="Times New Roman" w:eastAsia="宋体" w:cs="Times New Roman"/>
      <w:kern w:val="0"/>
      <w:sz w:val="24"/>
      <w:szCs w:val="20"/>
      <w:lang w:val="zh-CN" w:eastAsia="zh-CN"/>
    </w:rPr>
  </w:style>
  <w:style w:type="paragraph" w:styleId="54">
    <w:name w:val="List Paragraph"/>
    <w:basedOn w:val="1"/>
    <w:qFormat/>
    <w:uiPriority w:val="34"/>
    <w:pPr>
      <w:ind w:firstLine="420"/>
    </w:pPr>
    <w:rPr>
      <w:rFonts w:asciiTheme="minorHAnsi" w:hAnsiTheme="minorHAnsi" w:eastAsiaTheme="minorEastAsia" w:cstheme="minorBidi"/>
      <w:szCs w:val="22"/>
    </w:rPr>
  </w:style>
  <w:style w:type="character" w:customStyle="1" w:styleId="55">
    <w:name w:val="正文文本缩进 3 字符"/>
    <w:basedOn w:val="33"/>
    <w:link w:val="23"/>
    <w:semiHidden/>
    <w:qFormat/>
    <w:uiPriority w:val="99"/>
    <w:rPr>
      <w:sz w:val="16"/>
      <w:szCs w:val="16"/>
    </w:rPr>
  </w:style>
  <w:style w:type="character" w:customStyle="1" w:styleId="56">
    <w:name w:val="lh22px1"/>
    <w:basedOn w:val="33"/>
    <w:qFormat/>
    <w:uiPriority w:val="0"/>
    <w:rPr>
      <w:rFonts w:hint="eastAsia" w:ascii="宋体" w:hAnsi="宋体" w:eastAsia="宋体"/>
      <w:sz w:val="21"/>
      <w:szCs w:val="21"/>
    </w:rPr>
  </w:style>
  <w:style w:type="character" w:customStyle="1" w:styleId="57">
    <w:name w:val="正文文本 3 字符"/>
    <w:basedOn w:val="33"/>
    <w:link w:val="8"/>
    <w:qFormat/>
    <w:uiPriority w:val="0"/>
    <w:rPr>
      <w:rFonts w:ascii="Times New Roman" w:hAnsi="Times New Roman" w:eastAsia="宋体" w:cs="Times New Roman"/>
      <w:sz w:val="16"/>
      <w:szCs w:val="16"/>
    </w:rPr>
  </w:style>
  <w:style w:type="paragraph" w:customStyle="1" w:styleId="58">
    <w:name w:val="标题1"/>
    <w:basedOn w:val="1"/>
    <w:qFormat/>
    <w:uiPriority w:val="0"/>
    <w:pPr>
      <w:widowControl/>
      <w:spacing w:before="100" w:beforeAutospacing="1" w:after="100" w:afterAutospacing="1" w:line="375" w:lineRule="atLeast"/>
      <w:jc w:val="left"/>
    </w:pPr>
    <w:rPr>
      <w:rFonts w:ascii="宋体" w:hAnsi="宋体" w:cs="宋体"/>
      <w:kern w:val="0"/>
      <w:szCs w:val="24"/>
    </w:rPr>
  </w:style>
  <w:style w:type="paragraph" w:customStyle="1" w:styleId="59">
    <w:name w:val="_Style 13"/>
    <w:qFormat/>
    <w:uiPriority w:val="0"/>
    <w:pPr>
      <w:spacing w:before="120" w:after="120" w:line="288" w:lineRule="auto"/>
    </w:pPr>
    <w:rPr>
      <w:rFonts w:ascii="Arial" w:hAnsi="Arial" w:eastAsia="等线" w:cs="Arial"/>
      <w:sz w:val="22"/>
      <w:szCs w:val="22"/>
      <w:lang w:val="en-US" w:eastAsia="zh-CN" w:bidi="ar-SA"/>
    </w:rPr>
  </w:style>
  <w:style w:type="paragraph" w:customStyle="1" w:styleId="60">
    <w:name w:val="WPSOffice手动目录 1"/>
    <w:qFormat/>
    <w:uiPriority w:val="0"/>
    <w:rPr>
      <w:rFonts w:ascii="Times New Roman" w:hAnsi="Times New Roman" w:eastAsia="宋体" w:cs="Times New Roman"/>
      <w:lang w:val="en-US" w:eastAsia="zh-CN" w:bidi="ar-SA"/>
    </w:rPr>
  </w:style>
  <w:style w:type="paragraph" w:customStyle="1" w:styleId="61">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2">
    <w:name w:val="WPSOffice手动目录 3"/>
    <w:qFormat/>
    <w:uiPriority w:val="0"/>
    <w:pPr>
      <w:ind w:left="400" w:leftChars="400"/>
    </w:pPr>
    <w:rPr>
      <w:rFonts w:ascii="Times New Roman" w:hAnsi="Times New Roman" w:eastAsia="宋体" w:cs="Times New Roman"/>
      <w:lang w:val="en-US" w:eastAsia="zh-CN" w:bidi="ar-SA"/>
    </w:rPr>
  </w:style>
  <w:style w:type="character" w:styleId="63">
    <w:name w:val="Placeholder Text"/>
    <w:basedOn w:val="33"/>
    <w:unhideWhenUsed/>
    <w:qFormat/>
    <w:uiPriority w:val="99"/>
    <w:rPr>
      <w:color w:val="666666"/>
    </w:rPr>
  </w:style>
  <w:style w:type="paragraph" w:customStyle="1" w:styleId="64">
    <w:name w:val="be358f00-9758-446e-aec5-cde8345aeef3"/>
    <w:basedOn w:val="30"/>
    <w:link w:val="65"/>
    <w:qFormat/>
    <w:uiPriority w:val="0"/>
    <w:pPr>
      <w:adjustRightInd w:val="0"/>
      <w:spacing w:after="0" w:line="288" w:lineRule="auto"/>
      <w:ind w:left="0" w:firstLine="440"/>
      <w:jc w:val="left"/>
    </w:pPr>
    <w:rPr>
      <w:rFonts w:ascii="微软雅黑" w:hAnsi="微软雅黑" w:eastAsia="微软雅黑"/>
      <w:color w:val="000000"/>
      <w:sz w:val="22"/>
    </w:rPr>
  </w:style>
  <w:style w:type="character" w:customStyle="1" w:styleId="65">
    <w:name w:val="be358f00-9758-446e-aec5-cde8345aeef3 字符"/>
    <w:basedOn w:val="33"/>
    <w:link w:val="64"/>
    <w:qFormat/>
    <w:uiPriority w:val="0"/>
    <w:rPr>
      <w:rFonts w:ascii="微软雅黑" w:hAnsi="微软雅黑" w:eastAsia="微软雅黑"/>
      <w:color w:val="000000"/>
      <w:kern w:val="2"/>
      <w:sz w:val="22"/>
    </w:rPr>
  </w:style>
  <w:style w:type="character" w:customStyle="1" w:styleId="66">
    <w:name w:val="正文文本首行缩进 2 字符"/>
    <w:basedOn w:val="46"/>
    <w:link w:val="30"/>
    <w:semiHidden/>
    <w:qFormat/>
    <w:uiPriority w:val="99"/>
    <w:rPr>
      <w:rFonts w:ascii="Calibri" w:hAnsi="Calibri" w:eastAsia="宋体" w:cs="Times New Roman"/>
      <w:color w:val="000000"/>
      <w:kern w:val="2"/>
      <w:sz w:val="24"/>
      <w:szCs w:val="24"/>
    </w:rPr>
  </w:style>
  <w:style w:type="paragraph" w:customStyle="1" w:styleId="67">
    <w:name w:val="List Paragraph1"/>
    <w:basedOn w:val="1"/>
    <w:semiHidden/>
    <w:qFormat/>
    <w:uiPriority w:val="0"/>
    <w:pPr>
      <w:spacing w:line="240" w:lineRule="auto"/>
      <w:ind w:firstLine="420"/>
    </w:pPr>
    <w:rPr>
      <w:sz w:val="21"/>
      <w:szCs w:val="21"/>
    </w:rPr>
  </w:style>
  <w:style w:type="paragraph" w:customStyle="1" w:styleId="68">
    <w:name w:val="First Paragraph"/>
    <w:basedOn w:val="9"/>
    <w:next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79C9E9-0562-4EA5-82B2-57E6579B4F2F}">
  <ds:schemaRefs/>
</ds:datastoreItem>
</file>

<file path=docProps/app.xml><?xml version="1.0" encoding="utf-8"?>
<Properties xmlns="http://schemas.openxmlformats.org/officeDocument/2006/extended-properties" xmlns:vt="http://schemas.openxmlformats.org/officeDocument/2006/docPropsVTypes">
  <Template>Normal</Template>
  <Company>user</Company>
  <Pages>46</Pages>
  <Words>12109</Words>
  <Characters>14021</Characters>
  <Lines>735</Lines>
  <Paragraphs>550</Paragraphs>
  <TotalTime>3</TotalTime>
  <ScaleCrop>false</ScaleCrop>
  <LinksUpToDate>false</LinksUpToDate>
  <CharactersWithSpaces>14736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2019-06-04T01:03:00Z</dcterms:created>
  <dc:creator>Administrator</dc:creator>
  <cp:lastModifiedBy>仙凡</cp:lastModifiedBy>
  <cp:lastPrinted>2025-06-04T03:20:00Z</cp:lastPrinted>
  <dcterms:modified xsi:type="dcterms:W3CDTF">2026-05-24T18:24:23Z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52857E6CB6FE4897B462CB93C63AED04_13</vt:lpwstr>
  </property>
  <property fmtid="{D5CDD505-2E9C-101B-9397-08002B2CF9AE}" pid="4" name="KSOTemplateDocerSaveRecord">
    <vt:lpwstr>eyJoZGlkIjoiMzEwNTM5NzYwMDRjMzkwZTVkZjY2ODkwMGIxNGU0OTUiLCJ1c2VySWQiOiIxMjUxNTg2NDE1In0=</vt:lpwstr>
  </property>
</Properties>
</file>