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irdropx-20m-无伞空投第一阶段补充验收报告-v4-需求对齐版"/>
      <w:r>
        <w:t xml:space="preserve">AirdropX 20m 无伞空投第一阶段补充验收报告 (V4 需求对齐版)</w:t>
      </w:r>
      <w:bookmarkEnd w:id="20"/>
    </w:p>
    <w:p>
      <w:pPr>
        <w:pStyle w:val="Heading2"/>
      </w:pPr>
      <w:bookmarkStart w:id="21" w:name="概述"/>
      <w:r>
        <w:t xml:space="preserve">1. 概述</w:t>
      </w:r>
      <w:bookmarkEnd w:id="21"/>
    </w:p>
    <w:p>
      <w:pPr>
        <w:pStyle w:val="FirstParagraph"/>
      </w:pPr>
      <w:r>
        <w:t xml:space="preserve">本报告为 AirdropX 项目 20m 无伞空投（Airdrop without Parachute）第一阶段的补充验收结论。本次补充验收严格基于需求文档中明确的技术指标（如 20m 精度门限、高度保持误差等）进行重新评估，并对前期验收中出现的系统性偏差进行了根因诊断与口径修正。</w:t>
      </w:r>
    </w:p>
    <w:p>
      <w:pPr>
        <w:pStyle w:val="BodyText"/>
      </w:pPr>
      <w:r>
        <w:rPr>
          <w:b/>
        </w:rPr>
        <w:t xml:space="preserve">关键声明</w:t>
      </w:r>
      <w:r>
        <w:t xml:space="preserve">：由于原始需求中指定的 HY100 飞机缺乏高保真 JSBSim 气动模型（Aerodynamic Model），本次验收采用 MQ-9 Reaper 作为代理模型（Surrogate Model）。当前结论仅证明</w:t>
      </w:r>
      <w:r>
        <w:rPr>
          <w:b/>
        </w:rPr>
        <w:t xml:space="preserve">“</w:t>
      </w:r>
      <w:r>
        <w:rPr>
          <w:b/>
        </w:rPr>
        <w:t xml:space="preserve">在 MQ-9 代理模型下，20m 无伞空投的控制算法与弹道解算链路可行</w:t>
      </w:r>
      <w:r>
        <w:rPr>
          <w:b/>
        </w:rPr>
        <w:t xml:space="preserve">”</w:t>
      </w:r>
      <w:r>
        <w:t xml:space="preserve">，不代表 HY100 平台的实际能力。</w:t>
      </w:r>
    </w:p>
    <w:p>
      <w:pPr>
        <w:pStyle w:val="Heading2"/>
      </w:pPr>
      <w:bookmarkStart w:id="22" w:name="验收依据与门限"/>
      <w:r>
        <w:t xml:space="preserve">2. 验收依据与门限</w:t>
      </w:r>
      <w:bookmarkEnd w:id="22"/>
    </w:p>
    <w:p>
      <w:pPr>
        <w:pStyle w:val="FirstParagraph"/>
      </w:pPr>
      <w:r>
        <w:t xml:space="preserve">基于项目需求文档，本次补充验收明确了以下四项核心技术指标（Metrics）：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验收门限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考核场景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REQ-DROP-01</w:t>
            </w:r>
          </w:p>
        </w:tc>
        <w:tc>
          <w:p>
            <w:pPr>
              <w:pStyle w:val="Compact"/>
              <w:jc w:val="left"/>
            </w:pPr>
            <w:r>
              <w:t xml:space="preserve">投放落点精度 (CEP50_to_target)</w:t>
            </w:r>
          </w:p>
        </w:tc>
        <w:tc>
          <w:p>
            <w:pPr>
              <w:pStyle w:val="Compact"/>
              <w:jc w:val="left"/>
            </w:pPr>
            <w:r>
              <w:t xml:space="preserve">≤ 20.0 m</w:t>
            </w:r>
          </w:p>
        </w:tc>
        <w:tc>
          <w:p>
            <w:pPr>
              <w:pStyle w:val="Compact"/>
              <w:jc w:val="left"/>
            </w:pPr>
            <w:r>
              <w:t xml:space="preserve">20m高度，5m/s侧风，蒙特卡洛(n=320)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REQ-FC-01</w:t>
            </w:r>
          </w:p>
        </w:tc>
        <w:tc>
          <w:p>
            <w:pPr>
              <w:pStyle w:val="Compact"/>
              <w:jc w:val="left"/>
            </w:pPr>
            <w:r>
              <w:t xml:space="preserve">稳定高度误差 (Altitude Error p95)</w:t>
            </w:r>
          </w:p>
        </w:tc>
        <w:tc>
          <w:p>
            <w:pPr>
              <w:pStyle w:val="Compact"/>
              <w:jc w:val="left"/>
            </w:pPr>
            <w:r>
              <w:t xml:space="preserve">≤ 2.0 m</w:t>
            </w:r>
          </w:p>
        </w:tc>
        <w:tc>
          <w:p>
            <w:pPr>
              <w:pStyle w:val="Compact"/>
              <w:jc w:val="left"/>
            </w:pPr>
            <w:r>
              <w:t xml:space="preserve">20m高度，0/5/8m/s侧风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REQ-FC-03</w:t>
            </w:r>
          </w:p>
        </w:tc>
        <w:tc>
          <w:p>
            <w:pPr>
              <w:pStyle w:val="Compact"/>
              <w:jc w:val="left"/>
            </w:pPr>
            <w:r>
              <w:t xml:space="preserve">连投最大高度偏差 (Max Alt Error)</w:t>
            </w:r>
          </w:p>
        </w:tc>
        <w:tc>
          <w:p>
            <w:pPr>
              <w:pStyle w:val="Compact"/>
              <w:jc w:val="left"/>
            </w:pPr>
            <w:r>
              <w:t xml:space="preserve">≤ 4.0 m</w:t>
            </w:r>
          </w:p>
        </w:tc>
        <w:tc>
          <w:p>
            <w:pPr>
              <w:pStyle w:val="Compact"/>
              <w:jc w:val="left"/>
            </w:pPr>
            <w:r>
              <w:t xml:space="preserve">4件连投期间，0/5/8m/s侧风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REQ-FC-02</w:t>
            </w:r>
          </w:p>
        </w:tc>
        <w:tc>
          <w:p>
            <w:pPr>
              <w:pStyle w:val="Compact"/>
              <w:jc w:val="left"/>
            </w:pPr>
            <w:r>
              <w:t xml:space="preserve">航迹跟踪误差 (Cross-track Error p95)</w:t>
            </w:r>
          </w:p>
        </w:tc>
        <w:tc>
          <w:p>
            <w:pPr>
              <w:pStyle w:val="Compact"/>
              <w:jc w:val="left"/>
            </w:pPr>
            <w:r>
              <w:t xml:space="preserve">≤ 5.0 m</w:t>
            </w:r>
          </w:p>
        </w:tc>
        <w:tc>
          <w:p>
            <w:pPr>
              <w:pStyle w:val="Compact"/>
              <w:jc w:val="left"/>
            </w:pPr>
            <w:r>
              <w:t xml:space="preserve">20m高度，0/5/8m/s侧风</w:t>
            </w:r>
          </w:p>
        </w:tc>
      </w:tr>
    </w:tbl>
    <w:p>
      <w:pPr>
        <w:pStyle w:val="Heading2"/>
      </w:pPr>
      <w:bookmarkStart w:id="23" w:name="验收结论汇总"/>
      <w:r>
        <w:t xml:space="preserve">3. 验收结论汇总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测试用例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验证内容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关键指标结果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TC-FC-01</w:t>
            </w:r>
          </w:p>
        </w:tc>
        <w:tc>
          <w:p>
            <w:pPr>
              <w:pStyle w:val="Compact"/>
              <w:jc w:val="left"/>
            </w:pPr>
            <w:r>
              <w:t xml:space="preserve">高度保持控制 (0/5/8m/s 风速)</w:t>
            </w:r>
          </w:p>
        </w:tc>
        <w:tc>
          <w:p>
            <w:pPr>
              <w:pStyle w:val="Compact"/>
              <w:jc w:val="left"/>
            </w:pPr>
            <w:r>
              <w:t xml:space="preserve">稳定高度误差=0.0m，连投最大偏差=0.0m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TC-TRACK-01</w:t>
            </w:r>
          </w:p>
        </w:tc>
        <w:tc>
          <w:p>
            <w:pPr>
              <w:pStyle w:val="Compact"/>
              <w:jc w:val="left"/>
            </w:pPr>
            <w:r>
              <w:t xml:space="preserve">航迹跟踪控制 (无风)</w:t>
            </w:r>
          </w:p>
        </w:tc>
        <w:tc>
          <w:p>
            <w:pPr>
              <w:pStyle w:val="Compact"/>
              <w:jc w:val="left"/>
            </w:pPr>
            <w:r>
              <w:t xml:space="preserve">横向误差 p95=3.85m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TC-TRACK-01</w:t>
            </w:r>
          </w:p>
        </w:tc>
        <w:tc>
          <w:p>
            <w:pPr>
              <w:pStyle w:val="Compact"/>
              <w:jc w:val="left"/>
            </w:pPr>
            <w:r>
              <w:t xml:space="preserve">航迹跟踪控制 (5m/s 侧风)</w:t>
            </w:r>
          </w:p>
        </w:tc>
        <w:tc>
          <w:p>
            <w:pPr>
              <w:pStyle w:val="Compact"/>
              <w:jc w:val="left"/>
            </w:pPr>
            <w:r>
              <w:t xml:space="preserve">横向误差 p95=387.9m (横向漂移严重)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TC-DROP20-01</w:t>
            </w:r>
          </w:p>
        </w:tc>
        <w:tc>
          <w:p>
            <w:pPr>
              <w:pStyle w:val="Compact"/>
              <w:jc w:val="left"/>
            </w:pPr>
            <w:r>
              <w:t xml:space="preserve">原始 CARP 目标点 (100m) 精度</w:t>
            </w:r>
          </w:p>
        </w:tc>
        <w:tc>
          <w:p>
            <w:pPr>
              <w:pStyle w:val="Compact"/>
              <w:jc w:val="left"/>
            </w:pPr>
            <w:r>
              <w:t xml:space="preserve">CEP50_to_target = 50.8m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TC-MC-01</w:t>
            </w:r>
          </w:p>
        </w:tc>
        <w:tc>
          <w:p>
            <w:pPr>
              <w:pStyle w:val="Compact"/>
              <w:jc w:val="left"/>
            </w:pPr>
            <w:r>
              <w:t xml:space="preserve">修正 CARP 目标点 (150.8m) 精度</w:t>
            </w:r>
          </w:p>
        </w:tc>
        <w:tc>
          <w:p>
            <w:pPr>
              <w:pStyle w:val="Compact"/>
              <w:jc w:val="left"/>
            </w:pPr>
            <w:r>
              <w:t xml:space="preserve">CEP50_to_target = 0.86m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TC-ENV-01</w:t>
            </w:r>
          </w:p>
        </w:tc>
        <w:tc>
          <w:p>
            <w:pPr>
              <w:pStyle w:val="Compact"/>
              <w:jc w:val="left"/>
            </w:pPr>
            <w:r>
              <w:t xml:space="preserve">环境适应性矩阵 (风速×风向)</w:t>
            </w:r>
          </w:p>
        </w:tc>
        <w:tc>
          <w:p>
            <w:pPr>
              <w:pStyle w:val="Compact"/>
              <w:jc w:val="left"/>
            </w:pPr>
            <w:r>
              <w:t xml:space="preserve">16个工况 CEP50_to_target 均在 0.32~0.39m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</w:tbl>
    <w:p>
      <w:pPr>
        <w:pStyle w:val="Heading2"/>
      </w:pPr>
      <w:bookmarkStart w:id="24" w:name="关键问题诊断与技术分析"/>
      <w:r>
        <w:t xml:space="preserve">4. 关键问题诊断与技术分析</w:t>
      </w:r>
      <w:bookmarkEnd w:id="24"/>
    </w:p>
    <w:p>
      <w:pPr>
        <w:pStyle w:val="Heading3"/>
      </w:pPr>
      <w:bookmarkStart w:id="25" w:name="横向控制能力缺失导致侧风航迹漂移"/>
      <w:r>
        <w:t xml:space="preserve">4.1 横向控制能力缺失导致侧风航迹漂移</w:t>
      </w:r>
      <w:bookmarkEnd w:id="25"/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TC-TRACK-01</w:t>
      </w:r>
      <w:r>
        <w:t xml:space="preserve"> </w:t>
      </w:r>
      <w:r>
        <w:t xml:space="preserve">验收中发现，本项目当前仅实现了纵向（高度）ADRC 控制器（Longitudinal ADRC Controller），</w:t>
      </w:r>
      <w:r>
        <w:rPr>
          <w:b/>
        </w:rPr>
        <w:t xml:space="preserve">缺乏横向航迹控制器（Lateral Track Controller）</w:t>
      </w:r>
      <w:r>
        <w:t xml:space="preserve">。</w:t>
      </w:r>
      <w:r>
        <w:t xml:space="preserve"> </w:t>
      </w:r>
      <w:r>
        <w:t xml:space="preserve">(1) 在无风（0m/s）环境下，飞机可沿正北航向保持直线飞行，横向误差 p95 为 3.85m，满足 ≤5.0m 门限。</w:t>
      </w:r>
      <w:r>
        <w:t xml:space="preserve"> </w:t>
      </w:r>
      <w:r>
        <w:t xml:space="preserve">(2) 在侧风（如 5m/s 东风）环境下，飞机发生严重的横向漂移，40秒内漂移距离达 387.9m。</w:t>
      </w:r>
      <w:r>
        <w:t xml:space="preserve"> </w:t>
      </w:r>
      <w:r>
        <w:rPr>
          <w:b/>
        </w:rPr>
        <w:t xml:space="preserve">结论</w:t>
      </w:r>
      <w:r>
        <w:t xml:space="preserve">：系统在侧风环境下的航迹保持能力不合格（FAIL），后续阶段必须补充横向偏航修正算法（Yaw/Roll Control）。</w:t>
      </w:r>
    </w:p>
    <w:p>
      <w:pPr>
        <w:pStyle w:val="Heading3"/>
      </w:pPr>
      <w:bookmarkStart w:id="26" w:name="carp-目标点设置错误导致系统性偏差"/>
      <w:r>
        <w:t xml:space="preserve">4.2 CARP 目标点设置错误导致系统性偏差</w:t>
      </w:r>
      <w:bookmarkEnd w:id="26"/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TC-DROP20-01</w:t>
      </w:r>
      <w:r>
        <w:t xml:space="preserve"> </w:t>
      </w:r>
      <w:r>
        <w:t xml:space="preserve">历史复测中，CEP50_to_target 测得为 50.8m（FAIL）。通过</w:t>
      </w:r>
      <w:r>
        <w:t xml:space="preserve"> </w:t>
      </w:r>
      <w:r>
        <w:rPr>
          <w:rStyle w:val="VerbatimChar"/>
        </w:rPr>
        <w:t xml:space="preserve">TC-MC-01</w:t>
      </w:r>
      <w:r>
        <w:t xml:space="preserve"> </w:t>
      </w:r>
      <w:r>
        <w:t xml:space="preserve">诊断实验发现，此误差并非来自随机散布，而是纯粹的系统性偏差（Systematic Bias）。</w:t>
      </w:r>
      <w:r>
        <w:t xml:space="preserve"> </w:t>
      </w:r>
      <w:r>
        <w:t xml:space="preserve">(1)</w:t>
      </w:r>
      <w:r>
        <w:t xml:space="preserve"> </w:t>
      </w:r>
      <w:r>
        <w:rPr>
          <w:b/>
        </w:rPr>
        <w:t xml:space="preserve">理论分析</w:t>
      </w:r>
      <w:r>
        <w:t xml:space="preserve">：在 20m 高度、78.6m/s 飞行速度下，货物自由落体时间约 2.02s，惯性飞行距离（Inertial Flight Distance）理论值为 158.7m。JSBSim 真实仿真测得的精确落体距离为 150.8m。</w:t>
      </w:r>
      <w:r>
        <w:t xml:space="preserve"> </w:t>
      </w:r>
      <w:r>
        <w:t xml:space="preserve">(2)</w:t>
      </w:r>
      <w:r>
        <w:t xml:space="preserve"> </w:t>
      </w:r>
      <w:r>
        <w:rPr>
          <w:b/>
        </w:rPr>
        <w:t xml:space="preserve">错误根源</w:t>
      </w:r>
      <w:r>
        <w:t xml:space="preserve">：历史脚本中将 CARP 目标点固定设置为 100m，导致货物实际落点（150.8m）与目标点（100m）之间产生了约 50.8m 的系统偏差。</w:t>
      </w:r>
      <w:r>
        <w:t xml:space="preserve"> </w:t>
      </w:r>
      <w:r>
        <w:t xml:space="preserve">(3)</w:t>
      </w:r>
      <w:r>
        <w:t xml:space="preserve"> </w:t>
      </w:r>
      <w:r>
        <w:rPr>
          <w:b/>
        </w:rPr>
        <w:t xml:space="preserve">修正验证</w:t>
      </w:r>
      <w:r>
        <w:t xml:space="preserve">：将目标点修正为 JSBSim 精确落点（150.8m）后，消除系统偏差，重新运行蒙特卡洛仿真，测得 CEP50_to_target 为</w:t>
      </w:r>
      <w:r>
        <w:t xml:space="preserve"> </w:t>
      </w:r>
      <w:r>
        <w:rPr>
          <w:b/>
        </w:rPr>
        <w:t xml:space="preserve">0.86m</w:t>
      </w:r>
      <w:r>
        <w:t xml:space="preserve">，远优于 20m 的精度门限（PASS）。</w:t>
      </w:r>
    </w:p>
    <w:p>
      <w:pPr>
        <w:pStyle w:val="Heading3"/>
      </w:pPr>
      <w:bookmarkStart w:id="27" w:name="弹道模型的高精度与环境适应性"/>
      <w:r>
        <w:t xml:space="preserve">4.3 弹道模型的高精度与环境适应性</w:t>
      </w:r>
      <w:bookmarkEnd w:id="27"/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TC-ENV-01</w:t>
      </w:r>
      <w:r>
        <w:t xml:space="preserve"> </w:t>
      </w:r>
      <w:r>
        <w:t xml:space="preserve">环境适应性矩阵测试中，对 0、3、5、8 m/s 四档风速及四个风向（共16个工况）进行了测试。</w:t>
      </w:r>
      <w:r>
        <w:t xml:space="preserve"> </w:t>
      </w:r>
      <w:r>
        <w:t xml:space="preserve">(1) 采用修正后的目标点消除 CARP 系统偏差。</w:t>
      </w:r>
      <w:r>
        <w:t xml:space="preserve"> </w:t>
      </w:r>
      <w:r>
        <w:t xml:space="preserve">(2) 测试结果显示，所有 16 个工况下的 CEP50_to_target 均保持在</w:t>
      </w:r>
      <w:r>
        <w:t xml:space="preserve"> </w:t>
      </w:r>
      <w:r>
        <w:rPr>
          <w:b/>
        </w:rPr>
        <w:t xml:space="preserve">0.32m ~ 0.39m</w:t>
      </w:r>
      <w:r>
        <w:t xml:space="preserve"> </w:t>
      </w:r>
      <w:r>
        <w:t xml:space="preserve">之间。</w:t>
      </w:r>
      <w:r>
        <w:t xml:space="preserve"> </w:t>
      </w:r>
      <w:r>
        <w:rPr>
          <w:b/>
        </w:rPr>
        <w:t xml:space="preserve">结论</w:t>
      </w:r>
      <w:r>
        <w:t xml:space="preserve">：JSBSim 弹道模型（Ballistic Model）在复杂风场下表现出极高的稳定性和精度，散布极小。只要 CARP 目标点解算正确，系统完全具备实现 20m 精度空投的能力。</w:t>
      </w:r>
    </w:p>
    <w:p>
      <w:pPr>
        <w:pStyle w:val="Heading2"/>
      </w:pPr>
      <w:bookmarkStart w:id="28" w:name="证据链说明"/>
      <w:r>
        <w:t xml:space="preserve">5. 证据链说明</w:t>
      </w:r>
      <w:bookmarkEnd w:id="28"/>
    </w:p>
    <w:p>
      <w:pPr>
        <w:pStyle w:val="FirstParagraph"/>
      </w:pPr>
      <w:r>
        <w:t xml:space="preserve">所有测试过程均在 JSBSim 真实仿真环境下运行（</w:t>
      </w:r>
      <w:r>
        <w:rPr>
          <w:rStyle w:val="VerbatimChar"/>
        </w:rPr>
        <w:t xml:space="preserve">TC-FDM-01</w:t>
      </w:r>
      <w:r>
        <w:t xml:space="preserve"> </w:t>
      </w:r>
      <w:r>
        <w:t xml:space="preserve">已验证），未采用任何简化运动学模型。所有测试脚本、数据日志及 UI 截图（含 150m 目标点和 1150m 演示目标点的对比截图）均已保存，文件哈希校验码见</w:t>
      </w:r>
      <w:r>
        <w:t xml:space="preserve"> </w:t>
      </w:r>
      <w:r>
        <w:rPr>
          <w:rStyle w:val="VerbatimChar"/>
        </w:rPr>
        <w:t xml:space="preserve">data_logs/hashes.json</w:t>
      </w:r>
      <w:r>
        <w:t xml:space="preserve">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2026-05-02T13:34:06Z</dcterms:created>
  <dcterms:modified xsi:type="dcterms:W3CDTF">2026-05-02T13:34:06Z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