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52"/>
        </w:rPr>
        <w:t>Research Plan</w:t>
      </w:r>
    </w:p>
    <w:p>
      <w:pPr>
        <w:jc w:val="center"/>
      </w:pPr>
      <w:r>
        <w:rPr>
          <w:b/>
          <w:sz w:val="38"/>
        </w:rPr>
        <w:t>Adaptive Computation for Low-Resource African NLP</w:t>
      </w:r>
    </w:p>
    <w:p>
      <w:pPr>
        <w:jc w:val="center"/>
      </w:pPr>
      <w:r>
        <w:rPr>
          <w:i/>
          <w:sz w:val="26"/>
        </w:rPr>
        <w:t>Representation-Guided Inference under Linguistic Uncertainty</w:t>
      </w:r>
    </w:p>
    <w:p/>
    <w:p>
      <w:pPr>
        <w:jc w:val="center"/>
      </w:pPr>
      <w:r>
        <w:rPr>
          <w:sz w:val="22"/>
        </w:rPr>
        <w:t>Research objective: discover, validate, and operationalize a general relationship between internal representation structure and the amount of inference computation an NLP model actually needs.</w:t>
      </w:r>
    </w:p>
    <w:p/>
    <w:tbl>
      <w:tblPr>
        <w:tblStyle w:val="TableGrid"/>
        <w:tblW w:type="auto" w:w="0"/>
        <w:jc w:val="center"/>
        <w:tblLook w:firstColumn="1" w:firstRow="1" w:lastColumn="0" w:lastRow="0" w:noHBand="0" w:noVBand="1" w:val="04A0"/>
      </w:tblPr>
      <w:tblGrid>
        <w:gridCol w:w="4896"/>
        <w:gridCol w:w="4896"/>
      </w:tblGrid>
      <w:tr>
        <w:tc>
          <w:tcPr>
            <w:tcW w:type="dxa" w:w="2448"/>
            <w:vAlign w:val="center"/>
            <w:shd w:fill="DCE6F1"/>
          </w:tcPr>
          <w:p>
            <w:r/>
            <w:r>
              <w:rPr>
                <w:rFonts w:ascii="Aptos" w:hAnsi="Aptos"/>
                <w:b/>
                <w:sz w:val="18"/>
              </w:rPr>
              <w:t>Dimension</w:t>
            </w:r>
          </w:p>
        </w:tc>
        <w:tc>
          <w:tcPr>
            <w:tcW w:type="dxa" w:w="7056"/>
            <w:vAlign w:val="center"/>
            <w:shd w:fill="DCE6F1"/>
          </w:tcPr>
          <w:p>
            <w:r/>
            <w:r>
              <w:rPr>
                <w:rFonts w:ascii="Aptos" w:hAnsi="Aptos"/>
                <w:b/>
                <w:sz w:val="18"/>
              </w:rPr>
              <w:t>Target</w:t>
            </w:r>
          </w:p>
        </w:tc>
      </w:tr>
      <w:tr>
        <w:tc>
          <w:tcPr>
            <w:tcW w:type="dxa" w:w="2448"/>
            <w:vAlign w:val="center"/>
          </w:tcPr>
          <w:p>
            <w:r/>
            <w:r>
              <w:rPr>
                <w:rFonts w:ascii="Aptos" w:hAnsi="Aptos"/>
                <w:b w:val="0"/>
                <w:sz w:val="18"/>
              </w:rPr>
              <w:t>Primary domain</w:t>
            </w:r>
          </w:p>
        </w:tc>
        <w:tc>
          <w:tcPr>
            <w:tcW w:type="dxa" w:w="7056"/>
            <w:vAlign w:val="center"/>
          </w:tcPr>
          <w:p>
            <w:r/>
            <w:r>
              <w:rPr>
                <w:rFonts w:ascii="Aptos" w:hAnsi="Aptos"/>
                <w:b w:val="0"/>
                <w:sz w:val="18"/>
              </w:rPr>
              <w:t>Low-resource African multilingual NLP</w:t>
            </w:r>
          </w:p>
        </w:tc>
      </w:tr>
      <w:tr>
        <w:tc>
          <w:tcPr>
            <w:tcW w:type="dxa" w:w="2448"/>
            <w:vAlign w:val="center"/>
          </w:tcPr>
          <w:p>
            <w:r/>
            <w:r>
              <w:rPr>
                <w:rFonts w:ascii="Aptos" w:hAnsi="Aptos"/>
                <w:b w:val="0"/>
                <w:sz w:val="18"/>
              </w:rPr>
              <w:t>Core task</w:t>
            </w:r>
          </w:p>
        </w:tc>
        <w:tc>
          <w:tcPr>
            <w:tcW w:type="dxa" w:w="7056"/>
            <w:vAlign w:val="center"/>
          </w:tcPr>
          <w:p>
            <w:r/>
            <w:r>
              <w:rPr>
                <w:rFonts w:ascii="Aptos" w:hAnsi="Aptos"/>
                <w:b w:val="0"/>
                <w:sz w:val="18"/>
              </w:rPr>
              <w:t>Natural Language Inference (starting with AfriXNLI)</w:t>
            </w:r>
          </w:p>
        </w:tc>
      </w:tr>
      <w:tr>
        <w:tc>
          <w:tcPr>
            <w:tcW w:type="dxa" w:w="2448"/>
            <w:vAlign w:val="center"/>
          </w:tcPr>
          <w:p>
            <w:r/>
            <w:r>
              <w:rPr>
                <w:rFonts w:ascii="Aptos" w:hAnsi="Aptos"/>
                <w:b w:val="0"/>
                <w:sz w:val="18"/>
              </w:rPr>
              <w:t>Primary idea</w:t>
            </w:r>
          </w:p>
        </w:tc>
        <w:tc>
          <w:tcPr>
            <w:tcW w:type="dxa" w:w="7056"/>
            <w:vAlign w:val="center"/>
          </w:tcPr>
          <w:p>
            <w:r/>
            <w:r>
              <w:rPr>
                <w:rFonts w:ascii="Aptos" w:hAnsi="Aptos"/>
                <w:b w:val="0"/>
                <w:sz w:val="18"/>
              </w:rPr>
              <w:t>Use internal representation/difficulty signals to allocate inference compute per input</w:t>
            </w:r>
          </w:p>
        </w:tc>
      </w:tr>
      <w:tr>
        <w:tc>
          <w:tcPr>
            <w:tcW w:type="dxa" w:w="2448"/>
            <w:vAlign w:val="center"/>
          </w:tcPr>
          <w:p>
            <w:r/>
            <w:r>
              <w:rPr>
                <w:rFonts w:ascii="Aptos" w:hAnsi="Aptos"/>
                <w:b w:val="0"/>
                <w:sz w:val="18"/>
              </w:rPr>
              <w:t>Research posture</w:t>
            </w:r>
          </w:p>
        </w:tc>
        <w:tc>
          <w:tcPr>
            <w:tcW w:type="dxa" w:w="7056"/>
            <w:vAlign w:val="center"/>
          </w:tcPr>
          <w:p>
            <w:r/>
            <w:r>
              <w:rPr>
                <w:rFonts w:ascii="Aptos" w:hAnsi="Aptos"/>
                <w:b w:val="0"/>
                <w:sz w:val="18"/>
              </w:rPr>
              <w:t>Phenomenon-first, mechanism-first, method-second</w:t>
            </w:r>
          </w:p>
        </w:tc>
      </w:tr>
      <w:tr>
        <w:tc>
          <w:tcPr>
            <w:tcW w:type="dxa" w:w="2448"/>
            <w:vAlign w:val="center"/>
          </w:tcPr>
          <w:p>
            <w:r/>
            <w:r>
              <w:rPr>
                <w:rFonts w:ascii="Aptos" w:hAnsi="Aptos"/>
                <w:b w:val="0"/>
                <w:sz w:val="18"/>
              </w:rPr>
              <w:t>Primary deliverables</w:t>
            </w:r>
          </w:p>
        </w:tc>
        <w:tc>
          <w:tcPr>
            <w:tcW w:type="dxa" w:w="7056"/>
            <w:vAlign w:val="center"/>
          </w:tcPr>
          <w:p>
            <w:r/>
            <w:r>
              <w:rPr>
                <w:rFonts w:ascii="Aptos" w:hAnsi="Aptos"/>
                <w:b w:val="0"/>
                <w:sz w:val="18"/>
              </w:rPr>
              <w:t>Paper, code, experiment configs, analysis artifacts, reproducibility package, preprint</w:t>
            </w:r>
          </w:p>
        </w:tc>
      </w:tr>
    </w:tbl>
    <w:p/>
    <w:p>
      <w:r/>
    </w:p>
    <w:p>
      <w:pPr>
        <w:pStyle w:val="Heading1"/>
      </w:pPr>
      <w:r>
        <w:t>1. Executive Research Thesis</w:t>
      </w:r>
    </w:p>
    <w:p>
      <w:r>
        <w:t>Modern neural models generally process inputs with a largely fixed computational budget even though examples differ dramatically in difficulty. The project asks whether a model's internal representation contains a reliable, transferable signal of how much computation an individual input requires, and whether that signal can be used to dynamically allocate inference effort without materially sacrificing task performance.</w:t>
      </w:r>
    </w:p>
    <w:p>
      <w:r>
        <w:t>The African multilingual setting is not merely an application wrapper. It is the principal stress test. Low-resource languages, multilingual transfer, and code-switching create conditions under which model uncertainty and representation quality can differ sharply from high-resource English settings. Recent AfricaNLP work reports language-sensitive and often non-monotonic scaling behavior on AfriXNLI, while IrokoBench documents substantial performance gaps between high-resource and African low-resource languages. These findings motivate studying not only whether models fail, but whether their internal states can reveal when they are likely to fail and therefore deserve additional computation.</w:t>
      </w:r>
    </w:p>
    <w:p>
      <w:r>
        <w:t>The long-term scientific contribution is intended to be broader than an African-NLP optimization. If a representation-derived signal predicts difficulty robustly, the work supports a more general view of inference as conditional resource allocation: systems should not spend the same computational budget on every input. If the signal fails to generalize, the project should explain why and identify the limits of representation-based adaptive inference.</w:t>
      </w:r>
    </w:p>
    <w:p>
      <w:pPr>
        <w:pStyle w:val="Heading1"/>
      </w:pPr>
      <w:r>
        <w:t>2. Core Research Question</w:t>
      </w:r>
    </w:p>
    <w:p>
      <w:r>
        <w:t>Can internal representation structure in multilingual language models predict per-example inference difficulty well enough to support adaptive computation, especially for low-resource African languages and code-switched inputs?</w:t>
      </w:r>
    </w:p>
    <w:p>
      <w:pPr>
        <w:pStyle w:val="Heading1"/>
      </w:pPr>
      <w:r>
        <w:t>3. Secondary Research Questions</w:t>
      </w:r>
    </w:p>
    <w:tbl>
      <w:tblPr>
        <w:tblStyle w:val="TableGrid"/>
        <w:tblW w:type="auto" w:w="0"/>
        <w:jc w:val="center"/>
        <w:tblLook w:firstColumn="1" w:firstRow="1" w:lastColumn="0" w:lastRow="0" w:noHBand="0" w:noVBand="1" w:val="04A0"/>
      </w:tblPr>
      <w:tblGrid>
        <w:gridCol w:w="4896"/>
        <w:gridCol w:w="4896"/>
      </w:tblGrid>
      <w:tr>
        <w:tc>
          <w:tcPr>
            <w:tcW w:type="dxa" w:w="864"/>
            <w:vAlign w:val="center"/>
            <w:shd w:fill="DCE6F1"/>
          </w:tcPr>
          <w:p>
            <w:r/>
            <w:r>
              <w:rPr>
                <w:rFonts w:ascii="Aptos" w:hAnsi="Aptos"/>
                <w:b/>
                <w:sz w:val="18"/>
              </w:rPr>
              <w:t>ID</w:t>
            </w:r>
          </w:p>
        </w:tc>
        <w:tc>
          <w:tcPr>
            <w:tcW w:type="dxa" w:w="8640"/>
            <w:vAlign w:val="center"/>
            <w:shd w:fill="DCE6F1"/>
          </w:tcPr>
          <w:p>
            <w:r/>
            <w:r>
              <w:rPr>
                <w:rFonts w:ascii="Aptos" w:hAnsi="Aptos"/>
                <w:b/>
                <w:sz w:val="18"/>
              </w:rPr>
              <w:t>Question</w:t>
            </w:r>
          </w:p>
        </w:tc>
      </w:tr>
      <w:tr>
        <w:tc>
          <w:tcPr>
            <w:tcW w:type="dxa" w:w="864"/>
            <w:vAlign w:val="center"/>
          </w:tcPr>
          <w:p>
            <w:r/>
            <w:r>
              <w:rPr>
                <w:rFonts w:ascii="Aptos" w:hAnsi="Aptos"/>
                <w:b w:val="0"/>
                <w:sz w:val="18"/>
              </w:rPr>
              <w:t>RQ1</w:t>
            </w:r>
          </w:p>
        </w:tc>
        <w:tc>
          <w:tcPr>
            <w:tcW w:type="dxa" w:w="8640"/>
            <w:vAlign w:val="center"/>
          </w:tcPr>
          <w:p>
            <w:r/>
            <w:r>
              <w:rPr>
                <w:rFonts w:ascii="Aptos" w:hAnsi="Aptos"/>
                <w:b w:val="0"/>
                <w:sz w:val="18"/>
              </w:rPr>
              <w:t>Which representation properties correlate with downstream error, uncertainty, or additional-compute benefit?</w:t>
            </w:r>
          </w:p>
        </w:tc>
      </w:tr>
      <w:tr>
        <w:tc>
          <w:tcPr>
            <w:tcW w:type="dxa" w:w="864"/>
            <w:vAlign w:val="center"/>
          </w:tcPr>
          <w:p>
            <w:r/>
            <w:r>
              <w:rPr>
                <w:rFonts w:ascii="Aptos" w:hAnsi="Aptos"/>
                <w:b w:val="0"/>
                <w:sz w:val="18"/>
              </w:rPr>
              <w:t>RQ2</w:t>
            </w:r>
          </w:p>
        </w:tc>
        <w:tc>
          <w:tcPr>
            <w:tcW w:type="dxa" w:w="8640"/>
            <w:vAlign w:val="center"/>
          </w:tcPr>
          <w:p>
            <w:r/>
            <w:r>
              <w:rPr>
                <w:rFonts w:ascii="Aptos" w:hAnsi="Aptos"/>
                <w:b w:val="0"/>
                <w:sz w:val="18"/>
              </w:rPr>
              <w:t>Are these relationships stable across languages, tasks, model families, and representation layers?</w:t>
            </w:r>
          </w:p>
        </w:tc>
      </w:tr>
      <w:tr>
        <w:tc>
          <w:tcPr>
            <w:tcW w:type="dxa" w:w="864"/>
            <w:vAlign w:val="center"/>
          </w:tcPr>
          <w:p>
            <w:r/>
            <w:r>
              <w:rPr>
                <w:rFonts w:ascii="Aptos" w:hAnsi="Aptos"/>
                <w:b w:val="0"/>
                <w:sz w:val="18"/>
              </w:rPr>
              <w:t>RQ3</w:t>
            </w:r>
          </w:p>
        </w:tc>
        <w:tc>
          <w:tcPr>
            <w:tcW w:type="dxa" w:w="8640"/>
            <w:vAlign w:val="center"/>
          </w:tcPr>
          <w:p>
            <w:r/>
            <w:r>
              <w:rPr>
                <w:rFonts w:ascii="Aptos" w:hAnsi="Aptos"/>
                <w:b w:val="0"/>
                <w:sz w:val="18"/>
              </w:rPr>
              <w:t>Does representation-guided routing outperform confidence-only or heuristic routing under equal compute budgets?</w:t>
            </w:r>
          </w:p>
        </w:tc>
      </w:tr>
      <w:tr>
        <w:tc>
          <w:tcPr>
            <w:tcW w:type="dxa" w:w="864"/>
            <w:vAlign w:val="center"/>
          </w:tcPr>
          <w:p>
            <w:r/>
            <w:r>
              <w:rPr>
                <w:rFonts w:ascii="Aptos" w:hAnsi="Aptos"/>
                <w:b w:val="0"/>
                <w:sz w:val="18"/>
              </w:rPr>
              <w:t>RQ4</w:t>
            </w:r>
          </w:p>
        </w:tc>
        <w:tc>
          <w:tcPr>
            <w:tcW w:type="dxa" w:w="8640"/>
            <w:vAlign w:val="center"/>
          </w:tcPr>
          <w:p>
            <w:r/>
            <w:r>
              <w:rPr>
                <w:rFonts w:ascii="Aptos" w:hAnsi="Aptos"/>
                <w:b w:val="0"/>
                <w:sz w:val="18"/>
              </w:rPr>
              <w:t>Does the phenomenon arise because of linguistic difficulty, model unfamiliarity, or generic task difficulty?</w:t>
            </w:r>
          </w:p>
        </w:tc>
      </w:tr>
      <w:tr>
        <w:tc>
          <w:tcPr>
            <w:tcW w:type="dxa" w:w="864"/>
            <w:vAlign w:val="center"/>
          </w:tcPr>
          <w:p>
            <w:r/>
            <w:r>
              <w:rPr>
                <w:rFonts w:ascii="Aptos" w:hAnsi="Aptos"/>
                <w:b w:val="0"/>
                <w:sz w:val="18"/>
              </w:rPr>
              <w:t>RQ5</w:t>
            </w:r>
          </w:p>
        </w:tc>
        <w:tc>
          <w:tcPr>
            <w:tcW w:type="dxa" w:w="8640"/>
            <w:vAlign w:val="center"/>
          </w:tcPr>
          <w:p>
            <w:r/>
            <w:r>
              <w:rPr>
                <w:rFonts w:ascii="Aptos" w:hAnsi="Aptos"/>
                <w:b w:val="0"/>
                <w:sz w:val="18"/>
              </w:rPr>
              <w:t>How much performance can be preserved per unit of saved compute?</w:t>
            </w:r>
          </w:p>
        </w:tc>
      </w:tr>
      <w:tr>
        <w:tc>
          <w:tcPr>
            <w:tcW w:type="dxa" w:w="864"/>
            <w:vAlign w:val="center"/>
          </w:tcPr>
          <w:p>
            <w:r/>
            <w:r>
              <w:rPr>
                <w:rFonts w:ascii="Aptos" w:hAnsi="Aptos"/>
                <w:b w:val="0"/>
                <w:sz w:val="18"/>
              </w:rPr>
              <w:t>RQ6</w:t>
            </w:r>
          </w:p>
        </w:tc>
        <w:tc>
          <w:tcPr>
            <w:tcW w:type="dxa" w:w="8640"/>
            <w:vAlign w:val="center"/>
          </w:tcPr>
          <w:p>
            <w:r/>
            <w:r>
              <w:rPr>
                <w:rFonts w:ascii="Aptos" w:hAnsi="Aptos"/>
                <w:b w:val="0"/>
                <w:sz w:val="18"/>
              </w:rPr>
              <w:t>Does a router trained on one language/task/model transfer to unseen languages, domains, or models?</w:t>
            </w:r>
          </w:p>
        </w:tc>
      </w:tr>
      <w:tr>
        <w:tc>
          <w:tcPr>
            <w:tcW w:type="dxa" w:w="864"/>
            <w:vAlign w:val="center"/>
          </w:tcPr>
          <w:p>
            <w:r/>
            <w:r>
              <w:rPr>
                <w:rFonts w:ascii="Aptos" w:hAnsi="Aptos"/>
                <w:b w:val="0"/>
                <w:sz w:val="18"/>
              </w:rPr>
              <w:t>RQ7</w:t>
            </w:r>
          </w:p>
        </w:tc>
        <w:tc>
          <w:tcPr>
            <w:tcW w:type="dxa" w:w="8640"/>
            <w:vAlign w:val="center"/>
          </w:tcPr>
          <w:p>
            <w:r/>
            <w:r>
              <w:rPr>
                <w:rFonts w:ascii="Aptos" w:hAnsi="Aptos"/>
                <w:b w:val="0"/>
                <w:sz w:val="18"/>
              </w:rPr>
              <w:t>What failure regimes break representation-guided adaptive inference?</w:t>
            </w:r>
          </w:p>
        </w:tc>
      </w:tr>
      <w:tr>
        <w:tc>
          <w:tcPr>
            <w:tcW w:type="dxa" w:w="864"/>
            <w:vAlign w:val="center"/>
          </w:tcPr>
          <w:p>
            <w:r/>
            <w:r>
              <w:rPr>
                <w:rFonts w:ascii="Aptos" w:hAnsi="Aptos"/>
                <w:b w:val="0"/>
                <w:sz w:val="18"/>
              </w:rPr>
              <w:t>RQ8</w:t>
            </w:r>
          </w:p>
        </w:tc>
        <w:tc>
          <w:tcPr>
            <w:tcW w:type="dxa" w:w="8640"/>
            <w:vAlign w:val="center"/>
          </w:tcPr>
          <w:p>
            <w:r/>
            <w:r>
              <w:rPr>
                <w:rFonts w:ascii="Aptos" w:hAnsi="Aptos"/>
                <w:b w:val="0"/>
                <w:sz w:val="18"/>
              </w:rPr>
              <w:t>Can the observed relationship be explained mechanistically rather than only correlated statistically?</w:t>
            </w:r>
          </w:p>
        </w:tc>
      </w:tr>
    </w:tbl>
    <w:p/>
    <w:p>
      <w:pPr>
        <w:pStyle w:val="Heading1"/>
      </w:pPr>
      <w:r>
        <w:t>4. Falsifiable Hypotheses</w:t>
      </w:r>
    </w:p>
    <w:tbl>
      <w:tblPr>
        <w:tblStyle w:val="TableGrid"/>
        <w:tblW w:type="auto" w:w="0"/>
        <w:jc w:val="center"/>
        <w:tblLook w:firstColumn="1" w:firstRow="1" w:lastColumn="0" w:lastRow="0" w:noHBand="0" w:noVBand="1" w:val="04A0"/>
      </w:tblPr>
      <w:tblGrid>
        <w:gridCol w:w="4896"/>
        <w:gridCol w:w="4896"/>
      </w:tblGrid>
      <w:tr>
        <w:tc>
          <w:tcPr>
            <w:tcW w:type="dxa" w:w="1296"/>
            <w:vAlign w:val="center"/>
            <w:shd w:fill="DCE6F1"/>
          </w:tcPr>
          <w:p>
            <w:r/>
            <w:r>
              <w:rPr>
                <w:rFonts w:ascii="Aptos" w:hAnsi="Aptos"/>
                <w:b/>
                <w:sz w:val="18"/>
              </w:rPr>
              <w:t>Hypothesis</w:t>
            </w:r>
          </w:p>
        </w:tc>
        <w:tc>
          <w:tcPr>
            <w:tcW w:type="dxa" w:w="8208"/>
            <w:vAlign w:val="center"/>
            <w:shd w:fill="DCE6F1"/>
          </w:tcPr>
          <w:p>
            <w:r/>
            <w:r>
              <w:rPr>
                <w:rFonts w:ascii="Aptos" w:hAnsi="Aptos"/>
                <w:b/>
                <w:sz w:val="18"/>
              </w:rPr>
              <w:t>Statement</w:t>
            </w:r>
          </w:p>
        </w:tc>
      </w:tr>
      <w:tr>
        <w:tc>
          <w:tcPr>
            <w:tcW w:type="dxa" w:w="1296"/>
            <w:vAlign w:val="center"/>
          </w:tcPr>
          <w:p>
            <w:r/>
            <w:r>
              <w:rPr>
                <w:rFonts w:ascii="Aptos" w:hAnsi="Aptos"/>
                <w:b w:val="0"/>
                <w:sz w:val="18"/>
              </w:rPr>
              <w:t>H1</w:t>
            </w:r>
          </w:p>
        </w:tc>
        <w:tc>
          <w:tcPr>
            <w:tcW w:type="dxa" w:w="8208"/>
            <w:vAlign w:val="center"/>
          </w:tcPr>
          <w:p>
            <w:r/>
            <w:r>
              <w:rPr>
                <w:rFonts w:ascii="Aptos" w:hAnsi="Aptos"/>
                <w:b w:val="0"/>
                <w:sz w:val="18"/>
              </w:rPr>
              <w:t>At least one representation-derived statistic predicts whether an input benefits from additional inference compute above a simple confidence baseline.</w:t>
            </w:r>
          </w:p>
        </w:tc>
      </w:tr>
      <w:tr>
        <w:tc>
          <w:tcPr>
            <w:tcW w:type="dxa" w:w="1296"/>
            <w:vAlign w:val="center"/>
          </w:tcPr>
          <w:p>
            <w:r/>
            <w:r>
              <w:rPr>
                <w:rFonts w:ascii="Aptos" w:hAnsi="Aptos"/>
                <w:b w:val="0"/>
                <w:sz w:val="18"/>
              </w:rPr>
              <w:t>H2</w:t>
            </w:r>
          </w:p>
        </w:tc>
        <w:tc>
          <w:tcPr>
            <w:tcW w:type="dxa" w:w="8208"/>
            <w:vAlign w:val="center"/>
          </w:tcPr>
          <w:p>
            <w:r/>
            <w:r>
              <w:rPr>
                <w:rFonts w:ascii="Aptos" w:hAnsi="Aptos"/>
                <w:b w:val="0"/>
                <w:sz w:val="18"/>
              </w:rPr>
              <w:t>The relationship is stronger or more informative for low-resource and code-switched African-language inputs than for comparable high-resource English inputs.</w:t>
            </w:r>
          </w:p>
        </w:tc>
      </w:tr>
      <w:tr>
        <w:tc>
          <w:tcPr>
            <w:tcW w:type="dxa" w:w="1296"/>
            <w:vAlign w:val="center"/>
          </w:tcPr>
          <w:p>
            <w:r/>
            <w:r>
              <w:rPr>
                <w:rFonts w:ascii="Aptos" w:hAnsi="Aptos"/>
                <w:b w:val="0"/>
                <w:sz w:val="18"/>
              </w:rPr>
              <w:t>H3</w:t>
            </w:r>
          </w:p>
        </w:tc>
        <w:tc>
          <w:tcPr>
            <w:tcW w:type="dxa" w:w="8208"/>
            <w:vAlign w:val="center"/>
          </w:tcPr>
          <w:p>
            <w:r/>
            <w:r>
              <w:rPr>
                <w:rFonts w:ascii="Aptos" w:hAnsi="Aptos"/>
                <w:b w:val="0"/>
                <w:sz w:val="18"/>
              </w:rPr>
              <w:t>Representation-guided routing achieves a better accuracy-compute frontier than uniform inference and confidence-only routing.</w:t>
            </w:r>
          </w:p>
        </w:tc>
      </w:tr>
      <w:tr>
        <w:tc>
          <w:tcPr>
            <w:tcW w:type="dxa" w:w="1296"/>
            <w:vAlign w:val="center"/>
          </w:tcPr>
          <w:p>
            <w:r/>
            <w:r>
              <w:rPr>
                <w:rFonts w:ascii="Aptos" w:hAnsi="Aptos"/>
                <w:b w:val="0"/>
                <w:sz w:val="18"/>
              </w:rPr>
              <w:t>H4</w:t>
            </w:r>
          </w:p>
        </w:tc>
        <w:tc>
          <w:tcPr>
            <w:tcW w:type="dxa" w:w="8208"/>
            <w:vAlign w:val="center"/>
          </w:tcPr>
          <w:p>
            <w:r/>
            <w:r>
              <w:rPr>
                <w:rFonts w:ascii="Aptos" w:hAnsi="Aptos"/>
                <w:b w:val="0"/>
                <w:sz w:val="18"/>
              </w:rPr>
              <w:t>Useful difficulty signals remain predictive across multiple random seeds and at least two model families.</w:t>
            </w:r>
          </w:p>
        </w:tc>
      </w:tr>
      <w:tr>
        <w:tc>
          <w:tcPr>
            <w:tcW w:type="dxa" w:w="1296"/>
            <w:vAlign w:val="center"/>
          </w:tcPr>
          <w:p>
            <w:r/>
            <w:r>
              <w:rPr>
                <w:rFonts w:ascii="Aptos" w:hAnsi="Aptos"/>
                <w:b w:val="0"/>
                <w:sz w:val="18"/>
              </w:rPr>
              <w:t>H5</w:t>
            </w:r>
          </w:p>
        </w:tc>
        <w:tc>
          <w:tcPr>
            <w:tcW w:type="dxa" w:w="8208"/>
            <w:vAlign w:val="center"/>
          </w:tcPr>
          <w:p>
            <w:r/>
            <w:r>
              <w:rPr>
                <w:rFonts w:ascii="Aptos" w:hAnsi="Aptos"/>
                <w:b w:val="0"/>
                <w:sz w:val="18"/>
              </w:rPr>
              <w:t>A non-trivial subset of the observed gain comes from representation structure rather than a proxy such as sequence length or token rarity.</w:t>
            </w:r>
          </w:p>
        </w:tc>
      </w:tr>
      <w:tr>
        <w:tc>
          <w:tcPr>
            <w:tcW w:type="dxa" w:w="1296"/>
            <w:vAlign w:val="center"/>
          </w:tcPr>
          <w:p>
            <w:r/>
            <w:r>
              <w:rPr>
                <w:rFonts w:ascii="Aptos" w:hAnsi="Aptos"/>
                <w:b w:val="0"/>
                <w:sz w:val="18"/>
              </w:rPr>
              <w:t>H6</w:t>
            </w:r>
          </w:p>
        </w:tc>
        <w:tc>
          <w:tcPr>
            <w:tcW w:type="dxa" w:w="8208"/>
            <w:vAlign w:val="center"/>
          </w:tcPr>
          <w:p>
            <w:r/>
            <w:r>
              <w:rPr>
                <w:rFonts w:ascii="Aptos" w:hAnsi="Aptos"/>
                <w:b w:val="0"/>
                <w:sz w:val="18"/>
              </w:rPr>
              <w:t>At least one transfer setting demonstrates that the learned difficulty signal is not completely tied to the training language/model.</w:t>
            </w:r>
          </w:p>
        </w:tc>
      </w:tr>
    </w:tbl>
    <w:p/>
    <w:p>
      <w:pPr>
        <w:pStyle w:val="Heading1"/>
      </w:pPr>
      <w:r>
        <w:t>5. What Would Count as a Strong Result?</w:t>
      </w:r>
    </w:p>
    <w:p>
      <w:r>
        <w:t>A strong result is not simply a lower-latency model. The project should establish a chain of evidence: (1) a measurable internal representation phenomenon exists; (2) the phenomenon predicts whether extra computation is useful; (3) the signal survives controls for obvious confounders; (4) a router based on the signal produces a meaningful compute-performance improvement; and (5) the effect has at least some cross-language, cross-seed, or cross-model generalization.</w:t>
      </w:r>
    </w:p>
    <w:p>
      <w:r>
        <w:t>A useful negative result is equally legitimate. If no representation statistic consistently predicts the marginal value of additional computation, the paper should characterize the failure, compare failure modes, and show where confidence, geometry, or other signals cease to be useful.</w:t>
      </w:r>
    </w:p>
    <w:p>
      <w:pPr>
        <w:pStyle w:val="Heading1"/>
      </w:pPr>
      <w:r>
        <w:t>6. Literature and Novelty Strategy</w:t>
      </w:r>
    </w:p>
    <w:p>
      <w:r>
        <w:t>The novelty search must be treated as a research activity throughout the project, not as a one-time literature review. Adaptive inference, early exit, confidence-based compute allocation, multilingual representation analysis, code-switching, and African-language evaluation are all active areas. Recent work in 2026 has already formalized adaptive test-time compute allocation as a constrained optimization problem, while AfricaNLP 2026 has shown language-sensitive scaling effects on AfriXNLI. The project therefore cannot claim novelty merely from combining the words 'adaptive', 'representation', and 'African'.</w:t>
      </w:r>
    </w:p>
    <w:p>
      <w:r>
        <w:t>The intended white space is narrower: determine whether internal representation geometry or other cheap-to-compute state descriptors provide a useful estimate of the marginal value of extra inference computation, then test whether that relationship is unusually informative under low-resource multilingual and code-switched conditions. The novelty claim should be finalized only after a systematic search over preprints, ACL Anthology, arXiv, conference proceedings, and open-source implementations.</w:t>
      </w:r>
    </w:p>
    <w:p>
      <w:pPr>
        <w:pStyle w:val="Heading1"/>
      </w:pPr>
      <w:r>
        <w:t>7. Datasets and Evaluation Domains</w:t>
      </w:r>
    </w:p>
    <w:tbl>
      <w:tblPr>
        <w:tblStyle w:val="TableGrid"/>
        <w:tblW w:type="auto" w:w="0"/>
        <w:jc w:val="center"/>
        <w:tblLook w:firstColumn="1" w:firstRow="1" w:lastColumn="0" w:lastRow="0" w:noHBand="0" w:noVBand="1" w:val="04A0"/>
      </w:tblPr>
      <w:tblGrid>
        <w:gridCol w:w="3264"/>
        <w:gridCol w:w="3264"/>
        <w:gridCol w:w="3264"/>
      </w:tblGrid>
      <w:tr>
        <w:tc>
          <w:tcPr>
            <w:tcW w:type="dxa" w:w="1440"/>
            <w:vAlign w:val="center"/>
            <w:shd w:fill="DCE6F1"/>
          </w:tcPr>
          <w:p>
            <w:r/>
            <w:r>
              <w:rPr>
                <w:rFonts w:ascii="Aptos" w:hAnsi="Aptos"/>
                <w:b/>
                <w:sz w:val="18"/>
              </w:rPr>
              <w:t>Role</w:t>
            </w:r>
          </w:p>
        </w:tc>
        <w:tc>
          <w:tcPr>
            <w:tcW w:type="dxa" w:w="2448"/>
            <w:vAlign w:val="center"/>
            <w:shd w:fill="DCE6F1"/>
          </w:tcPr>
          <w:p>
            <w:r/>
            <w:r>
              <w:rPr>
                <w:rFonts w:ascii="Aptos" w:hAnsi="Aptos"/>
                <w:b/>
                <w:sz w:val="18"/>
              </w:rPr>
              <w:t>Dataset family</w:t>
            </w:r>
          </w:p>
        </w:tc>
        <w:tc>
          <w:tcPr>
            <w:tcW w:type="dxa" w:w="5760"/>
            <w:vAlign w:val="center"/>
            <w:shd w:fill="DCE6F1"/>
          </w:tcPr>
          <w:p>
            <w:r/>
            <w:r>
              <w:rPr>
                <w:rFonts w:ascii="Aptos" w:hAnsi="Aptos"/>
                <w:b/>
                <w:sz w:val="18"/>
              </w:rPr>
              <w:t>Purpose</w:t>
            </w:r>
          </w:p>
        </w:tc>
      </w:tr>
      <w:tr>
        <w:tc>
          <w:tcPr>
            <w:tcW w:type="dxa" w:w="1440"/>
            <w:vAlign w:val="center"/>
          </w:tcPr>
          <w:p>
            <w:r/>
            <w:r>
              <w:rPr>
                <w:rFonts w:ascii="Aptos" w:hAnsi="Aptos"/>
                <w:b w:val="0"/>
                <w:sz w:val="18"/>
              </w:rPr>
              <w:t>Primary</w:t>
            </w:r>
          </w:p>
        </w:tc>
        <w:tc>
          <w:tcPr>
            <w:tcW w:type="dxa" w:w="2448"/>
            <w:vAlign w:val="center"/>
          </w:tcPr>
          <w:p>
            <w:r/>
            <w:r>
              <w:rPr>
                <w:rFonts w:ascii="Aptos" w:hAnsi="Aptos"/>
                <w:b w:val="0"/>
                <w:sz w:val="18"/>
              </w:rPr>
              <w:t>AfriXNLI</w:t>
            </w:r>
          </w:p>
        </w:tc>
        <w:tc>
          <w:tcPr>
            <w:tcW w:type="dxa" w:w="5760"/>
            <w:vAlign w:val="center"/>
          </w:tcPr>
          <w:p>
            <w:r/>
            <w:r>
              <w:rPr>
                <w:rFonts w:ascii="Aptos" w:hAnsi="Aptos"/>
                <w:b w:val="0"/>
                <w:sz w:val="18"/>
              </w:rPr>
              <w:t>16 African languages; controlled NLI; strong fit for language-wise analysis and low-resource settings.</w:t>
            </w:r>
          </w:p>
        </w:tc>
      </w:tr>
      <w:tr>
        <w:tc>
          <w:tcPr>
            <w:tcW w:type="dxa" w:w="1440"/>
            <w:vAlign w:val="center"/>
          </w:tcPr>
          <w:p>
            <w:r/>
            <w:r>
              <w:rPr>
                <w:rFonts w:ascii="Aptos" w:hAnsi="Aptos"/>
                <w:b w:val="0"/>
                <w:sz w:val="18"/>
              </w:rPr>
              <w:t>Secondary</w:t>
            </w:r>
          </w:p>
        </w:tc>
        <w:tc>
          <w:tcPr>
            <w:tcW w:type="dxa" w:w="2448"/>
            <w:vAlign w:val="center"/>
          </w:tcPr>
          <w:p>
            <w:r/>
            <w:r>
              <w:rPr>
                <w:rFonts w:ascii="Aptos" w:hAnsi="Aptos"/>
                <w:b w:val="0"/>
                <w:sz w:val="18"/>
              </w:rPr>
              <w:t>IrokoBench / AfriNLI-related tasks</w:t>
            </w:r>
          </w:p>
        </w:tc>
        <w:tc>
          <w:tcPr>
            <w:tcW w:type="dxa" w:w="5760"/>
            <w:vAlign w:val="center"/>
          </w:tcPr>
          <w:p>
            <w:r/>
            <w:r>
              <w:rPr>
                <w:rFonts w:ascii="Aptos" w:hAnsi="Aptos"/>
                <w:b w:val="0"/>
                <w:sz w:val="18"/>
              </w:rPr>
              <w:t>Broader evaluation across African-language reasoning tasks where interfaces permit controlled inference.</w:t>
            </w:r>
          </w:p>
        </w:tc>
      </w:tr>
      <w:tr>
        <w:tc>
          <w:tcPr>
            <w:tcW w:type="dxa" w:w="1440"/>
            <w:vAlign w:val="center"/>
          </w:tcPr>
          <w:p>
            <w:r/>
            <w:r>
              <w:rPr>
                <w:rFonts w:ascii="Aptos" w:hAnsi="Aptos"/>
                <w:b w:val="0"/>
                <w:sz w:val="18"/>
              </w:rPr>
              <w:t>Control</w:t>
            </w:r>
          </w:p>
        </w:tc>
        <w:tc>
          <w:tcPr>
            <w:tcW w:type="dxa" w:w="2448"/>
            <w:vAlign w:val="center"/>
          </w:tcPr>
          <w:p>
            <w:r/>
            <w:r>
              <w:rPr>
                <w:rFonts w:ascii="Aptos" w:hAnsi="Aptos"/>
                <w:b w:val="0"/>
                <w:sz w:val="18"/>
              </w:rPr>
              <w:t>XNLI / English NLI</w:t>
            </w:r>
          </w:p>
        </w:tc>
        <w:tc>
          <w:tcPr>
            <w:tcW w:type="dxa" w:w="5760"/>
            <w:vAlign w:val="center"/>
          </w:tcPr>
          <w:p>
            <w:r/>
            <w:r>
              <w:rPr>
                <w:rFonts w:ascii="Aptos" w:hAnsi="Aptos"/>
                <w:b w:val="0"/>
                <w:sz w:val="18"/>
              </w:rPr>
              <w:t>Separates general task difficulty from African-language-specific effects.</w:t>
            </w:r>
          </w:p>
        </w:tc>
      </w:tr>
      <w:tr>
        <w:tc>
          <w:tcPr>
            <w:tcW w:type="dxa" w:w="1440"/>
            <w:vAlign w:val="center"/>
          </w:tcPr>
          <w:p>
            <w:r/>
            <w:r>
              <w:rPr>
                <w:rFonts w:ascii="Aptos" w:hAnsi="Aptos"/>
                <w:b w:val="0"/>
                <w:sz w:val="18"/>
              </w:rPr>
              <w:t>Code-switching</w:t>
            </w:r>
          </w:p>
        </w:tc>
        <w:tc>
          <w:tcPr>
            <w:tcW w:type="dxa" w:w="2448"/>
            <w:vAlign w:val="center"/>
          </w:tcPr>
          <w:p>
            <w:r/>
            <w:r>
              <w:rPr>
                <w:rFonts w:ascii="Aptos" w:hAnsi="Aptos"/>
                <w:b w:val="0"/>
                <w:sz w:val="18"/>
              </w:rPr>
              <w:t>Public code-switched data or carefully constructed evaluation sets</w:t>
            </w:r>
          </w:p>
        </w:tc>
        <w:tc>
          <w:tcPr>
            <w:tcW w:type="dxa" w:w="5760"/>
            <w:vAlign w:val="center"/>
          </w:tcPr>
          <w:p>
            <w:r/>
            <w:r>
              <w:rPr>
                <w:rFonts w:ascii="Aptos" w:hAnsi="Aptos"/>
                <w:b w:val="0"/>
                <w:sz w:val="18"/>
              </w:rPr>
              <w:t>Tests whether mixed-language inputs alter the usefulness of difficulty signals.</w:t>
            </w:r>
          </w:p>
        </w:tc>
      </w:tr>
      <w:tr>
        <w:tc>
          <w:tcPr>
            <w:tcW w:type="dxa" w:w="1440"/>
            <w:vAlign w:val="center"/>
          </w:tcPr>
          <w:p>
            <w:r/>
            <w:r>
              <w:rPr>
                <w:rFonts w:ascii="Aptos" w:hAnsi="Aptos"/>
                <w:b w:val="0"/>
                <w:sz w:val="18"/>
              </w:rPr>
              <w:t>Optional robustness</w:t>
            </w:r>
          </w:p>
        </w:tc>
        <w:tc>
          <w:tcPr>
            <w:tcW w:type="dxa" w:w="2448"/>
            <w:vAlign w:val="center"/>
          </w:tcPr>
          <w:p>
            <w:r/>
            <w:r>
              <w:rPr>
                <w:rFonts w:ascii="Aptos" w:hAnsi="Aptos"/>
                <w:b w:val="0"/>
                <w:sz w:val="18"/>
              </w:rPr>
              <w:t>Additional African NLP tasks</w:t>
            </w:r>
          </w:p>
        </w:tc>
        <w:tc>
          <w:tcPr>
            <w:tcW w:type="dxa" w:w="5760"/>
            <w:vAlign w:val="center"/>
          </w:tcPr>
          <w:p>
            <w:r/>
            <w:r>
              <w:rPr>
                <w:rFonts w:ascii="Aptos" w:hAnsi="Aptos"/>
                <w:b w:val="0"/>
                <w:sz w:val="18"/>
              </w:rPr>
              <w:t>NER, sentiment, QA, or other task only after the main hypothesis is established.</w:t>
            </w:r>
          </w:p>
        </w:tc>
      </w:tr>
    </w:tbl>
    <w:p/>
    <w:p>
      <w:r>
        <w:t>The project should avoid creating a large synthetic dataset merely to make the experiment possible. Public, human-created benchmarks should anchor the core claims. Synthetic or augmented data may be used only for controlled perturbation studies, and those studies must be clearly separated from primary benchmark results.</w:t>
      </w:r>
    </w:p>
    <w:p>
      <w:pPr>
        <w:pStyle w:val="Heading1"/>
      </w:pPr>
      <w:r>
        <w:t>8. Model Families</w:t>
      </w:r>
    </w:p>
    <w:p>
      <w:r>
        <w:t>Start small enough to iterate quickly, then expand only when the phenomenon survives. A practical core can include an XLM-R family model and an African-focused multilingual model such as AfroXLM-R, followed later by one additional model family if compute permits. The exact checkpoints should be frozen before final evaluation. The goal is not model-count inflation; it is testing whether the finding is tied to one architecture.</w:t>
      </w:r>
    </w:p>
    <w:p>
      <w:pPr>
        <w:pStyle w:val="Heading2"/>
      </w:pPr>
      <w:r>
        <w:rPr>
          <w:b/>
          <w:i w:val="0"/>
        </w:rPr>
        <w:t>The core model: AfroXLMR-base</w:t>
      </w:r>
    </w:p>
    <w:p>
      <w:r>
        <w:rPr>
          <w:b w:val="0"/>
          <w:i w:val="0"/>
        </w:rPr>
        <w:t>I would make AfroXLMR-base our primary experimental model. It was adapted from XLM-R-base specifically for African languages and covers 17 African languages, including Yoruba, Igbo, Hausa, Nigerian Pidgin, Swahili, Amharic, and others. It is also based on the XLM-R architecture, making it a natural fit for layer-by-layer representation analysis.</w:t>
      </w:r>
    </w:p>
    <w:p>
      <w:r>
        <w:rPr>
          <w:b w:val="0"/>
          <w:i w:val="0"/>
        </w:rPr>
        <w:t>That's important because our research is specifically asking:</w:t>
      </w:r>
    </w:p>
    <w:p>
      <w:r>
        <w:rPr>
          <w:b w:val="0"/>
          <w:i w:val="0"/>
        </w:rPr>
        <w:t>“Does the internal representation of an African-language input tell us how much additional computation it needs?”</w:t>
      </w:r>
    </w:p>
    <w:p>
      <w:r>
        <w:rPr>
          <w:b w:val="0"/>
          <w:i w:val="0"/>
        </w:rPr>
        <w:t>Using an African-adapted multilingual encoder makes the experiment much more meaningful than just taking an English-centric model and testing a few Yoruba sentences.</w:t>
      </w:r>
    </w:p>
    <w:p>
      <w:pPr>
        <w:pStyle w:val="Heading2"/>
      </w:pPr>
      <w:r>
        <w:rPr>
          <w:b/>
          <w:i w:val="0"/>
        </w:rPr>
        <w:t>The main control: XLM-RoBERTa-base</w:t>
      </w:r>
    </w:p>
    <w:p>
      <w:r>
        <w:rPr>
          <w:b w:val="0"/>
          <w:i w:val="0"/>
        </w:rPr>
        <w:t>We then use XLM-R-base as the major comparison model. XLM-R-base has 12 Transformer layers and 768-dimensional hidden states, which gives us a clean architecture for measuring representation changes as computation increases.</w:t>
      </w:r>
    </w:p>
    <w:p>
      <w:r>
        <w:rPr>
          <w:b w:val="0"/>
          <w:i w:val="0"/>
        </w:rPr>
        <w:t>This control is really important. Suppose we discover representation geometry predicts difficulty in AfroXLMR. That's interesting. But then we need to ask: Is this actually a property of multilingual Transformer representations, or is it just something peculiar to AfroXLMR? Running the same analysis on XLM-R helps answer that.</w:t>
      </w:r>
    </w:p>
    <w:p>
      <w:r>
        <w:rPr>
          <w:b w:val="0"/>
          <w:i w:val="0"/>
        </w:rPr>
        <w:t>So the initial pair is:</w:t>
      </w:r>
    </w:p>
    <w:p>
      <w:r>
        <w:rPr>
          <w:b/>
          <w:i w:val="0"/>
        </w:rPr>
        <w:t>AfroXLMR-base vs XLM-R-base</w:t>
      </w:r>
    </w:p>
    <w:p>
      <w:r>
        <w:rPr>
          <w:b w:val="0"/>
          <w:i w:val="0"/>
        </w:rPr>
        <w:t>Same basic architectural family, different multilingual specialization.</w:t>
      </w:r>
    </w:p>
    <w:p>
      <w:pPr>
        <w:pStyle w:val="Heading2"/>
      </w:pPr>
      <w:r>
        <w:rPr>
          <w:b/>
          <w:i w:val="0"/>
        </w:rPr>
        <w:t>A smaller African model: AfriBERTa</w:t>
      </w:r>
    </w:p>
    <w:p>
      <w:r>
        <w:rPr>
          <w:b w:val="0"/>
          <w:i w:val="0"/>
        </w:rPr>
        <w:t>I'd also keep AfriBERTa as the third model family, but not initially. AfriBERTa is specifically trained for African languages, and the available variants have different depths: the small version has 4 layers, while the large version has 10 layers. Its training languages include Yoruba, Igbo, Hausa, Nigerian Pidgin and several others.</w:t>
      </w:r>
    </w:p>
    <w:p>
      <w:r>
        <w:rPr>
          <w:b w:val="0"/>
          <w:i w:val="0"/>
        </w:rPr>
        <w:t>That actually makes it especially useful later. Why? Because our question involves computation depth. With AfriBERTa's smaller architecture, we can ask whether the relationship we're discovering depends on model scale/depth or whether it persists in a genuinely different architecture/training regime.</w:t>
      </w:r>
    </w:p>
    <w:p>
      <w:r>
        <w:rPr>
          <w:b w:val="0"/>
          <w:i w:val="0"/>
        </w:rPr>
        <w:t>So I'd structure the models as:</w:t>
      </w:r>
    </w:p>
    <w:p>
      <w:r>
        <w:rPr>
          <w:b w:val="0"/>
          <w:i w:val="0"/>
        </w:rPr>
        <w:t>Primary: AfroXLMR-base</w:t>
      </w:r>
    </w:p>
    <w:p>
      <w:r>
        <w:rPr>
          <w:b w:val="0"/>
          <w:i w:val="0"/>
        </w:rPr>
        <w:t>General multilingual control: XLM-R-base</w:t>
      </w:r>
    </w:p>
    <w:p>
      <w:r>
        <w:rPr>
          <w:b w:val="0"/>
          <w:i w:val="0"/>
        </w:rPr>
        <w:t>African-model robustness check: AfriBERTa</w:t>
      </w:r>
    </w:p>
    <w:p>
      <w:pPr>
        <w:pStyle w:val="Heading2"/>
      </w:pPr>
      <w:r>
        <w:rPr>
          <w:b/>
          <w:i w:val="0"/>
        </w:rPr>
        <w:t>And what exactly are we doing with them?</w:t>
      </w:r>
    </w:p>
    <w:p>
      <w:r>
        <w:rPr>
          <w:b w:val="0"/>
          <w:i w:val="0"/>
        </w:rPr>
        <w:t>We're not primarily comparing their final accuracy. That's secondary. For each model, we want to observe the model as computation unfolds.</w:t>
      </w:r>
    </w:p>
    <w:p>
      <w:r>
        <w:rPr>
          <w:b w:val="0"/>
          <w:i w:val="0"/>
        </w:rPr>
        <w:t>Conceptually: h₁(x) → h₂(x) → h₃(x) → … → hᴸ(x), where hₗ(x) is the representation after layer l.</w:t>
      </w:r>
    </w:p>
    <w:p>
      <w:r>
        <w:rPr>
          <w:b w:val="0"/>
          <w:i w:val="0"/>
        </w:rPr>
        <w:t>At each layer we can measure things like uncertainty, effective rank, spectral concentration, anisotropy, angular dispersion, and other representation statistics. At the same time, we measure how the prediction changes as more layers are computed.</w:t>
      </w:r>
    </w:p>
    <w:p>
      <w:r>
        <w:rPr>
          <w:b w:val="0"/>
          <w:i w:val="0"/>
        </w:rPr>
        <w:t>That gives us something extremely useful:</w:t>
      </w:r>
    </w:p>
    <w:p>
      <w:r>
        <w:rPr>
          <w:b/>
          <w:i w:val="0"/>
        </w:rPr>
        <w:t>representation at layer l → value of computing layers l+1,…,L</w:t>
      </w:r>
    </w:p>
    <w:p>
      <w:r>
        <w:rPr>
          <w:b w:val="0"/>
          <w:i w:val="0"/>
        </w:rPr>
        <w:t>And that is the actual research object.</w:t>
      </w:r>
    </w:p>
    <w:p>
      <w:pPr>
        <w:pStyle w:val="Heading2"/>
      </w:pPr>
      <w:r>
        <w:rPr>
          <w:b/>
          <w:i w:val="0"/>
        </w:rPr>
        <w:t>So our experiment becomes very concrete</w:t>
      </w:r>
    </w:p>
    <w:p>
      <w:r>
        <w:rPr>
          <w:b w:val="0"/>
          <w:i w:val="0"/>
        </w:rPr>
        <w:t>Take an input: Yoruba sentence / English sentence / Yoruba-English code-switched sentence. Run it through the model. At layer 4, we might have one representation; at layer 6, another; at layer 8, another; at layer 12, the final answer.</w:t>
      </w:r>
    </w:p>
    <w:p>
      <w:r>
        <w:rPr>
          <w:b w:val="0"/>
          <w:i w:val="0"/>
        </w:rPr>
        <w:t>We then ask: Could we have known at layer 4 that this example was going to need layers 5–12? If yes, we potentially have a mechanism for conditional computation.</w:t>
      </w:r>
    </w:p>
    <w:p>
      <w:r>
        <w:rPr>
          <w:b w:val="0"/>
          <w:i w:val="0"/>
        </w:rPr>
        <w:t>And the next question is: What property of the layer-4 representation told us that? That is where your geometry/spectral angle comes in.</w:t>
      </w:r>
    </w:p>
    <w:p>
      <w:pPr>
        <w:pStyle w:val="Heading2"/>
      </w:pPr>
      <w:r>
        <w:rPr>
          <w:b/>
          <w:i w:val="0"/>
        </w:rPr>
        <w:t>One thing I want to be strict about</w:t>
      </w:r>
    </w:p>
    <w:p>
      <w:r>
        <w:rPr>
          <w:b w:val="0"/>
          <w:i w:val="0"/>
        </w:rPr>
        <w:t>We should not lock ourselves into AfroXLMR + XLM-R + AfriBERTa before seeing the first evidence. The first experiments should probably be AfroXLMR-base + XLM-R-base because that's enough to discover the phenomenon. Then AfriBERTa comes in as the robustness/generalization test.</w:t>
      </w:r>
    </w:p>
    <w:p>
      <w:r>
        <w:rPr>
          <w:b w:val="0"/>
          <w:i w:val="0"/>
        </w:rPr>
        <w:t>That keeps us from wasting time running an enormous model matrix before knowing whether the hypothesis is alive.</w:t>
      </w:r>
    </w:p>
    <w:p>
      <w:r>
        <w:rPr>
          <w:b w:val="0"/>
          <w:i w:val="0"/>
        </w:rPr>
        <w:t>For the repo, the initial model structure is:</w:t>
      </w:r>
    </w:p>
    <w:p>
      <w:r>
        <w:rPr>
          <w:b w:val="0"/>
          <w:i w:val="0"/>
        </w:rPr>
        <w:t>models/</w:t>
        <w:br/>
        <w:t xml:space="preserve">    afroxlmr_base/</w:t>
        <w:br/>
        <w:t xml:space="preserve">    xlmroberta_base/</w:t>
        <w:br/>
        <w:t xml:space="preserve">    afriberta/</w:t>
      </w:r>
    </w:p>
    <w:p>
      <w:r>
        <w:rPr>
          <w:b w:val="0"/>
          <w:i w:val="0"/>
        </w:rPr>
        <w:t>AfroXLMR-base is the first model we get running end-to-end. The exact task/dataset should be settled before we write the experiment code, because the task determines what “needs more computation” actually means.</w:t>
      </w:r>
    </w:p>
    <w:p>
      <w:pPr>
        <w:pStyle w:val="Heading1"/>
      </w:pPr>
      <w:r>
        <w:t>9. Research Program</w:t>
      </w:r>
    </w:p>
    <w:tbl>
      <w:tblPr>
        <w:tblStyle w:val="TableGrid"/>
        <w:tblW w:type="auto" w:w="0"/>
        <w:tblLook w:firstColumn="1" w:firstRow="1" w:lastColumn="0" w:lastRow="0" w:noHBand="0" w:noVBand="1" w:val="04A0"/>
      </w:tblPr>
      <w:tblGrid>
        <w:gridCol w:w="3264"/>
        <w:gridCol w:w="3264"/>
        <w:gridCol w:w="3264"/>
      </w:tblGrid>
      <w:tr>
        <w:tc>
          <w:tcPr>
            <w:tcW w:type="dxa" w:w="3264"/>
            <w:vAlign w:val="center"/>
          </w:tcPr>
          <w:p>
            <w:r>
              <w:rPr>
                <w:rFonts w:ascii="Aptos" w:hAnsi="Aptos"/>
                <w:b/>
                <w:sz w:val="18"/>
              </w:rPr>
              <w:t>Phase</w:t>
            </w:r>
          </w:p>
        </w:tc>
        <w:tc>
          <w:tcPr>
            <w:tcW w:type="dxa" w:w="3264"/>
            <w:vAlign w:val="center"/>
          </w:tcPr>
          <w:p>
            <w:r>
              <w:rPr>
                <w:rFonts w:ascii="Aptos" w:hAnsi="Aptos"/>
                <w:b/>
                <w:sz w:val="18"/>
              </w:rPr>
              <w:t>Work</w:t>
            </w:r>
          </w:p>
        </w:tc>
        <w:tc>
          <w:tcPr>
            <w:tcW w:type="dxa" w:w="3264"/>
            <w:vAlign w:val="center"/>
          </w:tcPr>
          <w:p>
            <w:r>
              <w:rPr>
                <w:rFonts w:ascii="Aptos" w:hAnsi="Aptos"/>
                <w:b/>
                <w:sz w:val="18"/>
              </w:rPr>
              <w:t>Exit criterion</w:t>
            </w:r>
          </w:p>
        </w:tc>
      </w:tr>
      <w:tr>
        <w:tc>
          <w:tcPr>
            <w:tcW w:type="dxa" w:w="3264"/>
            <w:vAlign w:val="center"/>
          </w:tcPr>
          <w:p>
            <w:r>
              <w:rPr>
                <w:rFonts w:ascii="Aptos" w:hAnsi="Aptos"/>
                <w:sz w:val="18"/>
              </w:rPr>
              <w:t>Research map and novelty audit</w:t>
            </w:r>
          </w:p>
        </w:tc>
        <w:tc>
          <w:tcPr>
            <w:tcW w:type="dxa" w:w="3264"/>
            <w:vAlign w:val="center"/>
          </w:tcPr>
          <w:p>
            <w:r>
              <w:rPr>
                <w:rFonts w:ascii="Aptos" w:hAnsi="Aptos"/>
                <w:sz w:val="18"/>
              </w:rPr>
              <w:t>Build a living literature matrix covering adaptive inference, early exit, compute allocation, multilingual representations, code-switching, African NLP, and representation geometry. Write competing novelty hypotheses. Identify every closely related paper and implementation. Freeze the primary research question only after this audit.</w:t>
            </w:r>
          </w:p>
        </w:tc>
        <w:tc>
          <w:tcPr>
            <w:tcW w:type="dxa" w:w="3264"/>
            <w:vAlign w:val="center"/>
          </w:tcPr>
          <w:p>
            <w:r>
              <w:rPr>
                <w:rFonts w:ascii="Aptos" w:hAnsi="Aptos"/>
                <w:sz w:val="18"/>
              </w:rPr>
              <w:t>Output: research map, related-work matrix, candidate novelty claim, experiment registry.</w:t>
            </w:r>
          </w:p>
        </w:tc>
      </w:tr>
      <w:tr>
        <w:tc>
          <w:tcPr>
            <w:tcW w:type="dxa" w:w="3264"/>
            <w:vAlign w:val="center"/>
          </w:tcPr>
          <w:p>
            <w:r>
              <w:rPr>
                <w:rFonts w:ascii="Aptos" w:hAnsi="Aptos"/>
                <w:sz w:val="18"/>
              </w:rPr>
              <w:t>Data and measurement infrastructure</w:t>
            </w:r>
          </w:p>
        </w:tc>
        <w:tc>
          <w:tcPr>
            <w:tcW w:type="dxa" w:w="3264"/>
            <w:vAlign w:val="center"/>
          </w:tcPr>
          <w:p>
            <w:r>
              <w:rPr>
                <w:rFonts w:ascii="Aptos" w:hAnsi="Aptos"/>
                <w:sz w:val="18"/>
              </w:rPr>
              <w:t>Standardize AfriXNLI splits and controls; establish language-wise evaluation; implement hidden-state extraction; define representation statistics; create a reproducible experiment configuration system; establish compute and memory accounting.</w:t>
            </w:r>
          </w:p>
        </w:tc>
        <w:tc>
          <w:tcPr>
            <w:tcW w:type="dxa" w:w="3264"/>
            <w:vAlign w:val="center"/>
          </w:tcPr>
          <w:p>
            <w:r>
              <w:rPr>
                <w:rFonts w:ascii="Aptos" w:hAnsi="Aptos"/>
                <w:sz w:val="18"/>
              </w:rPr>
              <w:t>Output: reproducible baseline pipeline and measurement harness.</w:t>
            </w:r>
          </w:p>
        </w:tc>
      </w:tr>
      <w:tr>
        <w:tc>
          <w:tcPr>
            <w:tcW w:type="dxa" w:w="3264"/>
            <w:vAlign w:val="center"/>
          </w:tcPr>
          <w:p>
            <w:r>
              <w:rPr>
                <w:rFonts w:ascii="Aptos" w:hAnsi="Aptos"/>
                <w:sz w:val="18"/>
              </w:rPr>
              <w:t>Phenomenon discovery</w:t>
            </w:r>
          </w:p>
        </w:tc>
        <w:tc>
          <w:tcPr>
            <w:tcW w:type="dxa" w:w="3264"/>
            <w:vAlign w:val="center"/>
          </w:tcPr>
          <w:p>
            <w:r>
              <w:rPr>
                <w:rFonts w:ascii="Aptos" w:hAnsi="Aptos"/>
                <w:sz w:val="18"/>
              </w:rPr>
              <w:t>Run fixed-model analysis across languages, examples, and layers. Measure uncertainty, loss, representation anisotropy, effective rank, spectral concentration, angular dispersion, norm statistics, token rarity, length, and language-mix indicators. Look for stable associations with errors and hard examples.</w:t>
            </w:r>
          </w:p>
        </w:tc>
        <w:tc>
          <w:tcPr>
            <w:tcW w:type="dxa" w:w="3264"/>
            <w:vAlign w:val="center"/>
          </w:tcPr>
          <w:p>
            <w:r>
              <w:rPr>
                <w:rFonts w:ascii="Aptos" w:hAnsi="Aptos"/>
                <w:sz w:val="18"/>
              </w:rPr>
              <w:t>Output: first empirical map of candidate difficulty signals.</w:t>
            </w:r>
          </w:p>
        </w:tc>
      </w:tr>
      <w:tr>
        <w:tc>
          <w:tcPr>
            <w:tcW w:type="dxa" w:w="3264"/>
            <w:vAlign w:val="center"/>
          </w:tcPr>
          <w:p>
            <w:r>
              <w:rPr>
                <w:rFonts w:ascii="Aptos" w:hAnsi="Aptos"/>
                <w:sz w:val="18"/>
              </w:rPr>
              <w:t>Stress tests and confounder controls</w:t>
            </w:r>
          </w:p>
        </w:tc>
        <w:tc>
          <w:tcPr>
            <w:tcW w:type="dxa" w:w="3264"/>
            <w:vAlign w:val="center"/>
          </w:tcPr>
          <w:p>
            <w:r>
              <w:rPr>
                <w:rFonts w:ascii="Aptos" w:hAnsi="Aptos"/>
                <w:sz w:val="18"/>
              </w:rPr>
              <w:t>Test whether candidate signals merely track length, rarity, language identity, confidence, or memorization. Use matched examples and regression/partial-correlation analysis. Repeat across seeds and model checkpoints.</w:t>
            </w:r>
          </w:p>
        </w:tc>
        <w:tc>
          <w:tcPr>
            <w:tcW w:type="dxa" w:w="3264"/>
            <w:vAlign w:val="center"/>
          </w:tcPr>
          <w:p>
            <w:r>
              <w:rPr>
                <w:rFonts w:ascii="Aptos" w:hAnsi="Aptos"/>
                <w:sz w:val="18"/>
              </w:rPr>
              <w:t>Output: surviving signal shortlist or an evidence-based rejection of the original hypothesis.</w:t>
            </w:r>
          </w:p>
        </w:tc>
      </w:tr>
      <w:tr>
        <w:tc>
          <w:tcPr>
            <w:tcW w:type="dxa" w:w="3264"/>
            <w:vAlign w:val="center"/>
          </w:tcPr>
          <w:p>
            <w:r>
              <w:rPr>
                <w:rFonts w:ascii="Aptos" w:hAnsi="Aptos"/>
                <w:sz w:val="18"/>
              </w:rPr>
              <w:t>Define marginal value of compute</w:t>
            </w:r>
          </w:p>
        </w:tc>
        <w:tc>
          <w:tcPr>
            <w:tcW w:type="dxa" w:w="3264"/>
            <w:vAlign w:val="center"/>
          </w:tcPr>
          <w:p>
            <w:r>
              <w:rPr>
                <w:rFonts w:ascii="Aptos" w:hAnsi="Aptos"/>
                <w:sz w:val="18"/>
              </w:rPr>
              <w:t>Operationalize 'needs more compute'. Compare early exit, additional layers, larger checkpoints, repeated inference, or another controlled compute ladder. For each example, estimate the gain obtained from more compute and treat that gain as the target variable for routing.</w:t>
            </w:r>
          </w:p>
        </w:tc>
        <w:tc>
          <w:tcPr>
            <w:tcW w:type="dxa" w:w="3264"/>
            <w:vAlign w:val="center"/>
          </w:tcPr>
          <w:p>
            <w:r>
              <w:rPr>
                <w:rFonts w:ascii="Aptos" w:hAnsi="Aptos"/>
                <w:sz w:val="18"/>
              </w:rPr>
              <w:t>Output: per-example compute-benefit oracle / target definition.</w:t>
            </w:r>
          </w:p>
        </w:tc>
      </w:tr>
      <w:tr>
        <w:tc>
          <w:tcPr>
            <w:tcW w:type="dxa" w:w="3264"/>
            <w:vAlign w:val="center"/>
          </w:tcPr>
          <w:p>
            <w:r>
              <w:rPr>
                <w:rFonts w:ascii="Aptos" w:hAnsi="Aptos"/>
                <w:sz w:val="18"/>
              </w:rPr>
              <w:t>Router design</w:t>
            </w:r>
          </w:p>
        </w:tc>
        <w:tc>
          <w:tcPr>
            <w:tcW w:type="dxa" w:w="3264"/>
            <w:vAlign w:val="center"/>
          </w:tcPr>
          <w:p>
            <w:r>
              <w:rPr>
                <w:rFonts w:ascii="Aptos" w:hAnsi="Aptos"/>
                <w:sz w:val="18"/>
              </w:rPr>
              <w:t>Build simple routing baselines first: random allocation, static difficulty rules, confidence threshold, length/token rarity, and oracle upper bound. Then implement representation-guided routers, initially linear or tree-based so the learned policy is interpretable.</w:t>
            </w:r>
          </w:p>
        </w:tc>
        <w:tc>
          <w:tcPr>
            <w:tcW w:type="dxa" w:w="3264"/>
            <w:vAlign w:val="center"/>
          </w:tcPr>
          <w:p>
            <w:r>
              <w:rPr>
                <w:rFonts w:ascii="Aptos" w:hAnsi="Aptos"/>
                <w:sz w:val="18"/>
              </w:rPr>
              <w:t>Output: first adaptive inference system and budgeted evaluation harness.</w:t>
            </w:r>
          </w:p>
        </w:tc>
      </w:tr>
      <w:tr>
        <w:tc>
          <w:tcPr>
            <w:tcW w:type="dxa" w:w="3264"/>
            <w:vAlign w:val="center"/>
          </w:tcPr>
          <w:p>
            <w:r>
              <w:rPr>
                <w:rFonts w:ascii="Aptos" w:hAnsi="Aptos"/>
                <w:sz w:val="18"/>
              </w:rPr>
              <w:t>Mechanism analysis</w:t>
            </w:r>
          </w:p>
        </w:tc>
        <w:tc>
          <w:tcPr>
            <w:tcW w:type="dxa" w:w="3264"/>
            <w:vAlign w:val="center"/>
          </w:tcPr>
          <w:p>
            <w:r>
              <w:rPr>
                <w:rFonts w:ascii="Aptos" w:hAnsi="Aptos"/>
                <w:sz w:val="18"/>
              </w:rPr>
              <w:t>Move beyond correlation. Examine layer-wise changes, representation trajectories, and examples where the router is right or wrong. Test whether difficult inputs exhibit predictable representation signatures before the final decision layer. Identify whether the signal is causal, proxy-based, or merely diagnostic.</w:t>
            </w:r>
          </w:p>
        </w:tc>
        <w:tc>
          <w:tcPr>
            <w:tcW w:type="dxa" w:w="3264"/>
            <w:vAlign w:val="center"/>
          </w:tcPr>
          <w:p>
            <w:r>
              <w:rPr>
                <w:rFonts w:ascii="Aptos" w:hAnsi="Aptos"/>
                <w:sz w:val="18"/>
              </w:rPr>
              <w:t>Output: mechanistic story and error taxonomy.</w:t>
            </w:r>
          </w:p>
        </w:tc>
      </w:tr>
      <w:tr>
        <w:tc>
          <w:tcPr>
            <w:tcW w:type="dxa" w:w="3264"/>
            <w:vAlign w:val="center"/>
          </w:tcPr>
          <w:p>
            <w:r>
              <w:rPr>
                <w:rFonts w:ascii="Aptos" w:hAnsi="Aptos"/>
                <w:sz w:val="18"/>
              </w:rPr>
              <w:t>Main experiments</w:t>
            </w:r>
          </w:p>
        </w:tc>
        <w:tc>
          <w:tcPr>
            <w:tcW w:type="dxa" w:w="3264"/>
            <w:vAlign w:val="center"/>
          </w:tcPr>
          <w:p>
            <w:r>
              <w:rPr>
                <w:rFonts w:ascii="Aptos" w:hAnsi="Aptos"/>
                <w:sz w:val="18"/>
              </w:rPr>
              <w:t>Run the full experiment matrix under matched compute budgets. Compare fixed-compute inference, confidence routing, heuristic routing, representation routing, and oracle routing. Report accuracy/F1 where appropriate, compute, latency, memory, and routing rate.</w:t>
            </w:r>
          </w:p>
        </w:tc>
        <w:tc>
          <w:tcPr>
            <w:tcW w:type="dxa" w:w="3264"/>
            <w:vAlign w:val="center"/>
          </w:tcPr>
          <w:p>
            <w:r>
              <w:rPr>
                <w:rFonts w:ascii="Aptos" w:hAnsi="Aptos"/>
                <w:sz w:val="18"/>
              </w:rPr>
              <w:t>Output: main tables and primary figures.</w:t>
            </w:r>
          </w:p>
        </w:tc>
      </w:tr>
      <w:tr>
        <w:tc>
          <w:tcPr>
            <w:tcW w:type="dxa" w:w="3264"/>
            <w:vAlign w:val="center"/>
          </w:tcPr>
          <w:p>
            <w:r>
              <w:rPr>
                <w:rFonts w:ascii="Aptos" w:hAnsi="Aptos"/>
                <w:sz w:val="18"/>
              </w:rPr>
              <w:t>Generalization</w:t>
            </w:r>
          </w:p>
        </w:tc>
        <w:tc>
          <w:tcPr>
            <w:tcW w:type="dxa" w:w="3264"/>
            <w:vAlign w:val="center"/>
          </w:tcPr>
          <w:p>
            <w:r>
              <w:rPr>
                <w:rFonts w:ascii="Aptos" w:hAnsi="Aptos"/>
                <w:sz w:val="18"/>
              </w:rPr>
              <w:t>Hold out languages, use another model family, and test at least one task or domain shift if feasible. Evaluate whether the router learns something transferable or simply memorizes language/model-specific artifacts.</w:t>
            </w:r>
          </w:p>
        </w:tc>
        <w:tc>
          <w:tcPr>
            <w:tcW w:type="dxa" w:w="3264"/>
            <w:vAlign w:val="center"/>
          </w:tcPr>
          <w:p>
            <w:r>
              <w:rPr>
                <w:rFonts w:ascii="Aptos" w:hAnsi="Aptos"/>
                <w:sz w:val="18"/>
              </w:rPr>
              <w:t>Output: cross-language/cross-model generalization results.</w:t>
            </w:r>
          </w:p>
        </w:tc>
      </w:tr>
      <w:tr>
        <w:tc>
          <w:tcPr>
            <w:tcW w:type="dxa" w:w="3264"/>
            <w:vAlign w:val="center"/>
          </w:tcPr>
          <w:p>
            <w:r>
              <w:rPr>
                <w:rFonts w:ascii="Aptos" w:hAnsi="Aptos"/>
                <w:sz w:val="18"/>
              </w:rPr>
              <w:t>Ablations and adversarial falsification</w:t>
            </w:r>
          </w:p>
        </w:tc>
        <w:tc>
          <w:tcPr>
            <w:tcW w:type="dxa" w:w="3264"/>
            <w:vAlign w:val="center"/>
          </w:tcPr>
          <w:p>
            <w:r>
              <w:rPr>
                <w:rFonts w:ascii="Aptos" w:hAnsi="Aptos"/>
                <w:sz w:val="18"/>
              </w:rPr>
              <w:t>Remove individual representation features, randomize or permute features where appropriate, compare layer choices, vary budgets and thresholds, test noisy inputs and controlled perturbations, and deliberately search for conditions where the method fails.</w:t>
            </w:r>
          </w:p>
        </w:tc>
        <w:tc>
          <w:tcPr>
            <w:tcW w:type="dxa" w:w="3264"/>
            <w:vAlign w:val="center"/>
          </w:tcPr>
          <w:p>
            <w:r>
              <w:rPr>
                <w:rFonts w:ascii="Aptos" w:hAnsi="Aptos"/>
                <w:sz w:val="18"/>
              </w:rPr>
              <w:t>Output: ablation matrix, failure modes, boundary of validity.</w:t>
            </w:r>
          </w:p>
        </w:tc>
      </w:tr>
      <w:tr>
        <w:tc>
          <w:tcPr>
            <w:tcW w:type="dxa" w:w="3264"/>
            <w:vAlign w:val="center"/>
          </w:tcPr>
          <w:p>
            <w:r>
              <w:rPr>
                <w:rFonts w:ascii="Aptos" w:hAnsi="Aptos"/>
                <w:sz w:val="18"/>
              </w:rPr>
              <w:t>Consolidation and reproducibility</w:t>
            </w:r>
          </w:p>
        </w:tc>
        <w:tc>
          <w:tcPr>
            <w:tcW w:type="dxa" w:w="3264"/>
            <w:vAlign w:val="center"/>
          </w:tcPr>
          <w:p>
            <w:r>
              <w:rPr>
                <w:rFonts w:ascii="Aptos" w:hAnsi="Aptos"/>
                <w:sz w:val="18"/>
              </w:rPr>
              <w:t>Freeze datasets, seeds, checkpoints, configs, evaluation scripts, and plotting code. Re-run key experiments from a clean environment. Verify that every reported number can be reproduced from logged artifacts.</w:t>
            </w:r>
          </w:p>
        </w:tc>
        <w:tc>
          <w:tcPr>
            <w:tcW w:type="dxa" w:w="3264"/>
            <w:vAlign w:val="center"/>
          </w:tcPr>
          <w:p>
            <w:r>
              <w:rPr>
                <w:rFonts w:ascii="Aptos" w:hAnsi="Aptos"/>
                <w:sz w:val="18"/>
              </w:rPr>
              <w:t>Output: release candidate repository and final experiment ledger.</w:t>
            </w:r>
          </w:p>
        </w:tc>
      </w:tr>
      <w:tr>
        <w:tc>
          <w:tcPr>
            <w:tcW w:type="dxa" w:w="3264"/>
            <w:vAlign w:val="center"/>
          </w:tcPr>
          <w:p>
            <w:r>
              <w:rPr>
                <w:rFonts w:ascii="Aptos" w:hAnsi="Aptos"/>
                <w:sz w:val="18"/>
              </w:rPr>
              <w:t>Paper and preprint</w:t>
            </w:r>
          </w:p>
        </w:tc>
        <w:tc>
          <w:tcPr>
            <w:tcW w:type="dxa" w:w="3264"/>
            <w:vAlign w:val="center"/>
          </w:tcPr>
          <w:p>
            <w:r>
              <w:rPr>
                <w:rFonts w:ascii="Aptos" w:hAnsi="Aptos"/>
                <w:sz w:val="18"/>
              </w:rPr>
              <w:t>Write the paper around the strongest validated claim. Keep unsupported mechanisms out. Prepare appendix, limitations, ethics/data notes, reproducibility statement, figures, and preprint package. Submit only after final statistical and reproducibility checks.</w:t>
            </w:r>
          </w:p>
        </w:tc>
        <w:tc>
          <w:tcPr>
            <w:tcW w:type="dxa" w:w="3264"/>
            <w:vAlign w:val="center"/>
          </w:tcPr>
          <w:p>
            <w:r>
              <w:rPr>
                <w:rFonts w:ascii="Aptos" w:hAnsi="Aptos"/>
                <w:sz w:val="18"/>
              </w:rPr>
              <w:t>Output: submission-ready paper and public research package.</w:t>
            </w:r>
          </w:p>
        </w:tc>
      </w:tr>
    </w:tbl>
    <w:p/>
    <w:p>
      <w:pPr>
        <w:pStyle w:val="Heading1"/>
      </w:pPr>
      <w:r>
        <w:t>10. Experimental Design</w:t>
      </w:r>
    </w:p>
    <w:p>
      <w:r>
        <w:t>The experiment should be organized around compute budgets rather than a single accuracy number. For each input x, define a ladder of available inference actions A = {cheap, medium, expensive} or an equivalent sequence of compute levels. Measure both the prediction and the marginal gain from moving to a more expensive action. This produces a per-example target such as Δ(x) = performance(expensive | x) - performance(cheap | x), which allows the router to be evaluated as a decision problem rather than a generic classifier.</w:t>
      </w:r>
    </w:p>
    <w:p>
      <w:r>
        <w:t>The router should be evaluated under matched average compute budgets. For example, if two systems are both allowed an average of 60% of full compute, compare their task performance at that same budget. This prevents a method from appearing better merely because it was allowed to spend more computation.</w:t>
      </w:r>
    </w:p>
    <w:p>
      <w:pPr>
        <w:pStyle w:val="Heading1"/>
      </w:pPr>
      <w:r>
        <w:t>11. Candidate Representation Signals</w:t>
      </w:r>
    </w:p>
    <w:tbl>
      <w:tblPr>
        <w:tblStyle w:val="TableGrid"/>
        <w:tblW w:type="auto" w:w="0"/>
        <w:jc w:val="center"/>
        <w:tblLook w:firstColumn="1" w:firstRow="1" w:lastColumn="0" w:lastRow="0" w:noHBand="0" w:noVBand="1" w:val="04A0"/>
      </w:tblPr>
      <w:tblGrid>
        <w:gridCol w:w="3264"/>
        <w:gridCol w:w="3264"/>
        <w:gridCol w:w="3264"/>
      </w:tblGrid>
      <w:tr>
        <w:tc>
          <w:tcPr>
            <w:tcW w:type="dxa" w:w="1800"/>
            <w:vAlign w:val="center"/>
            <w:shd w:fill="DCE6F1"/>
          </w:tcPr>
          <w:p>
            <w:r/>
            <w:r>
              <w:rPr>
                <w:rFonts w:ascii="Aptos" w:hAnsi="Aptos"/>
                <w:b/>
                <w:sz w:val="18"/>
              </w:rPr>
              <w:t>Family</w:t>
            </w:r>
          </w:p>
        </w:tc>
        <w:tc>
          <w:tcPr>
            <w:tcW w:type="dxa" w:w="4464"/>
            <w:vAlign w:val="center"/>
            <w:shd w:fill="DCE6F1"/>
          </w:tcPr>
          <w:p>
            <w:r/>
            <w:r>
              <w:rPr>
                <w:rFonts w:ascii="Aptos" w:hAnsi="Aptos"/>
                <w:b/>
                <w:sz w:val="18"/>
              </w:rPr>
              <w:t>Examples</w:t>
            </w:r>
          </w:p>
        </w:tc>
        <w:tc>
          <w:tcPr>
            <w:tcW w:type="dxa" w:w="3240"/>
            <w:vAlign w:val="center"/>
            <w:shd w:fill="DCE6F1"/>
          </w:tcPr>
          <w:p>
            <w:r/>
            <w:r>
              <w:rPr>
                <w:rFonts w:ascii="Aptos" w:hAnsi="Aptos"/>
                <w:b/>
                <w:sz w:val="18"/>
              </w:rPr>
              <w:t>Role</w:t>
            </w:r>
          </w:p>
        </w:tc>
      </w:tr>
      <w:tr>
        <w:tc>
          <w:tcPr>
            <w:tcW w:type="dxa" w:w="1800"/>
            <w:vAlign w:val="center"/>
          </w:tcPr>
          <w:p>
            <w:r/>
            <w:r>
              <w:rPr>
                <w:rFonts w:ascii="Aptos" w:hAnsi="Aptos"/>
                <w:b w:val="0"/>
                <w:sz w:val="18"/>
              </w:rPr>
              <w:t>Uncertainty</w:t>
            </w:r>
          </w:p>
        </w:tc>
        <w:tc>
          <w:tcPr>
            <w:tcW w:type="dxa" w:w="4464"/>
            <w:vAlign w:val="center"/>
          </w:tcPr>
          <w:p>
            <w:r/>
            <w:r>
              <w:rPr>
                <w:rFonts w:ascii="Aptos" w:hAnsi="Aptos"/>
                <w:b w:val="0"/>
                <w:sz w:val="18"/>
              </w:rPr>
              <w:t>Entropy, margin, logit concentration, calibration error</w:t>
            </w:r>
          </w:p>
        </w:tc>
        <w:tc>
          <w:tcPr>
            <w:tcW w:type="dxa" w:w="3240"/>
            <w:vAlign w:val="center"/>
          </w:tcPr>
          <w:p>
            <w:r/>
            <w:r>
              <w:rPr>
                <w:rFonts w:ascii="Aptos" w:hAnsi="Aptos"/>
                <w:b w:val="0"/>
                <w:sz w:val="18"/>
              </w:rPr>
              <w:t>Strong baseline; likely partly redundant.</w:t>
            </w:r>
          </w:p>
        </w:tc>
      </w:tr>
      <w:tr>
        <w:tc>
          <w:tcPr>
            <w:tcW w:type="dxa" w:w="1800"/>
            <w:vAlign w:val="center"/>
          </w:tcPr>
          <w:p>
            <w:r/>
            <w:r>
              <w:rPr>
                <w:rFonts w:ascii="Aptos" w:hAnsi="Aptos"/>
                <w:b w:val="0"/>
                <w:sz w:val="18"/>
              </w:rPr>
              <w:t>Norm statistics</w:t>
            </w:r>
          </w:p>
        </w:tc>
        <w:tc>
          <w:tcPr>
            <w:tcW w:type="dxa" w:w="4464"/>
            <w:vAlign w:val="center"/>
          </w:tcPr>
          <w:p>
            <w:r/>
            <w:r>
              <w:rPr>
                <w:rFonts w:ascii="Aptos" w:hAnsi="Aptos"/>
                <w:b w:val="0"/>
                <w:sz w:val="18"/>
              </w:rPr>
              <w:t>Hidden-state norms and layer-wise changes</w:t>
            </w:r>
          </w:p>
        </w:tc>
        <w:tc>
          <w:tcPr>
            <w:tcW w:type="dxa" w:w="3240"/>
            <w:vAlign w:val="center"/>
          </w:tcPr>
          <w:p>
            <w:r/>
            <w:r>
              <w:rPr>
                <w:rFonts w:ascii="Aptos" w:hAnsi="Aptos"/>
                <w:b w:val="0"/>
                <w:sz w:val="18"/>
              </w:rPr>
              <w:t>Cheap but susceptible to trivial correlations.</w:t>
            </w:r>
          </w:p>
        </w:tc>
      </w:tr>
      <w:tr>
        <w:tc>
          <w:tcPr>
            <w:tcW w:type="dxa" w:w="1800"/>
            <w:vAlign w:val="center"/>
          </w:tcPr>
          <w:p>
            <w:r/>
            <w:r>
              <w:rPr>
                <w:rFonts w:ascii="Aptos" w:hAnsi="Aptos"/>
                <w:b w:val="0"/>
                <w:sz w:val="18"/>
              </w:rPr>
              <w:t>Anisotropy</w:t>
            </w:r>
          </w:p>
        </w:tc>
        <w:tc>
          <w:tcPr>
            <w:tcW w:type="dxa" w:w="4464"/>
            <w:vAlign w:val="center"/>
          </w:tcPr>
          <w:p>
            <w:r/>
            <w:r>
              <w:rPr>
                <w:rFonts w:ascii="Aptos" w:hAnsi="Aptos"/>
                <w:b w:val="0"/>
                <w:sz w:val="18"/>
              </w:rPr>
              <w:t>Directional concentration / cosine structure</w:t>
            </w:r>
          </w:p>
        </w:tc>
        <w:tc>
          <w:tcPr>
            <w:tcW w:type="dxa" w:w="3240"/>
            <w:vAlign w:val="center"/>
          </w:tcPr>
          <w:p>
            <w:r/>
            <w:r>
              <w:rPr>
                <w:rFonts w:ascii="Aptos" w:hAnsi="Aptos"/>
                <w:b w:val="0"/>
                <w:sz w:val="18"/>
              </w:rPr>
              <w:t>Tests geometric organization.</w:t>
            </w:r>
          </w:p>
        </w:tc>
      </w:tr>
      <w:tr>
        <w:tc>
          <w:tcPr>
            <w:tcW w:type="dxa" w:w="1800"/>
            <w:vAlign w:val="center"/>
          </w:tcPr>
          <w:p>
            <w:r/>
            <w:r>
              <w:rPr>
                <w:rFonts w:ascii="Aptos" w:hAnsi="Aptos"/>
                <w:b w:val="0"/>
                <w:sz w:val="18"/>
              </w:rPr>
              <w:t>Effective rank</w:t>
            </w:r>
          </w:p>
        </w:tc>
        <w:tc>
          <w:tcPr>
            <w:tcW w:type="dxa" w:w="4464"/>
            <w:vAlign w:val="center"/>
          </w:tcPr>
          <w:p>
            <w:r/>
            <w:r>
              <w:rPr>
                <w:rFonts w:ascii="Aptos" w:hAnsi="Aptos"/>
                <w:b w:val="0"/>
                <w:sz w:val="18"/>
              </w:rPr>
              <w:t>Participation-ratio style measures of representation dimensionality</w:t>
            </w:r>
          </w:p>
        </w:tc>
        <w:tc>
          <w:tcPr>
            <w:tcW w:type="dxa" w:w="3240"/>
            <w:vAlign w:val="center"/>
          </w:tcPr>
          <w:p>
            <w:r/>
            <w:r>
              <w:rPr>
                <w:rFonts w:ascii="Aptos" w:hAnsi="Aptos"/>
                <w:b w:val="0"/>
                <w:sz w:val="18"/>
              </w:rPr>
              <w:t>Potential capacity/difficulty signal.</w:t>
            </w:r>
          </w:p>
        </w:tc>
      </w:tr>
      <w:tr>
        <w:tc>
          <w:tcPr>
            <w:tcW w:type="dxa" w:w="1800"/>
            <w:vAlign w:val="center"/>
          </w:tcPr>
          <w:p>
            <w:r/>
            <w:r>
              <w:rPr>
                <w:rFonts w:ascii="Aptos" w:hAnsi="Aptos"/>
                <w:b w:val="0"/>
                <w:sz w:val="18"/>
              </w:rPr>
              <w:t>Spectral concentration</w:t>
            </w:r>
          </w:p>
        </w:tc>
        <w:tc>
          <w:tcPr>
            <w:tcW w:type="dxa" w:w="4464"/>
            <w:vAlign w:val="center"/>
          </w:tcPr>
          <w:p>
            <w:r/>
            <w:r>
              <w:rPr>
                <w:rFonts w:ascii="Aptos" w:hAnsi="Aptos"/>
                <w:b w:val="0"/>
                <w:sz w:val="18"/>
              </w:rPr>
              <w:t>Eigenvalue distribution of covariance/Gram structures</w:t>
            </w:r>
          </w:p>
        </w:tc>
        <w:tc>
          <w:tcPr>
            <w:tcW w:type="dxa" w:w="3240"/>
            <w:vAlign w:val="center"/>
          </w:tcPr>
          <w:p>
            <w:r/>
            <w:r>
              <w:rPr>
                <w:rFonts w:ascii="Aptos" w:hAnsi="Aptos"/>
                <w:b w:val="0"/>
                <w:sz w:val="18"/>
              </w:rPr>
              <w:t>Directly connects to structural analysis.</w:t>
            </w:r>
          </w:p>
        </w:tc>
      </w:tr>
      <w:tr>
        <w:tc>
          <w:tcPr>
            <w:tcW w:type="dxa" w:w="1800"/>
            <w:vAlign w:val="center"/>
          </w:tcPr>
          <w:p>
            <w:r/>
            <w:r>
              <w:rPr>
                <w:rFonts w:ascii="Aptos" w:hAnsi="Aptos"/>
                <w:b w:val="0"/>
                <w:sz w:val="18"/>
              </w:rPr>
              <w:t>Angular dispersion</w:t>
            </w:r>
          </w:p>
        </w:tc>
        <w:tc>
          <w:tcPr>
            <w:tcW w:type="dxa" w:w="4464"/>
            <w:vAlign w:val="center"/>
          </w:tcPr>
          <w:p>
            <w:r/>
            <w:r>
              <w:rPr>
                <w:rFonts w:ascii="Aptos" w:hAnsi="Aptos"/>
                <w:b w:val="0"/>
                <w:sz w:val="18"/>
              </w:rPr>
              <w:t>Spread of hidden-state directions</w:t>
            </w:r>
          </w:p>
        </w:tc>
        <w:tc>
          <w:tcPr>
            <w:tcW w:type="dxa" w:w="3240"/>
            <w:vAlign w:val="center"/>
          </w:tcPr>
          <w:p>
            <w:r/>
            <w:r>
              <w:rPr>
                <w:rFonts w:ascii="Aptos" w:hAnsi="Aptos"/>
                <w:b w:val="0"/>
                <w:sz w:val="18"/>
              </w:rPr>
              <w:t>Useful for comparison with representation-collapse literature.</w:t>
            </w:r>
          </w:p>
        </w:tc>
      </w:tr>
      <w:tr>
        <w:tc>
          <w:tcPr>
            <w:tcW w:type="dxa" w:w="1800"/>
            <w:vAlign w:val="center"/>
          </w:tcPr>
          <w:p>
            <w:r/>
            <w:r>
              <w:rPr>
                <w:rFonts w:ascii="Aptos" w:hAnsi="Aptos"/>
                <w:b w:val="0"/>
                <w:sz w:val="18"/>
              </w:rPr>
              <w:t>Neighborhood stability</w:t>
            </w:r>
          </w:p>
        </w:tc>
        <w:tc>
          <w:tcPr>
            <w:tcW w:type="dxa" w:w="4464"/>
            <w:vAlign w:val="center"/>
          </w:tcPr>
          <w:p>
            <w:r/>
            <w:r>
              <w:rPr>
                <w:rFonts w:ascii="Aptos" w:hAnsi="Aptos"/>
                <w:b w:val="0"/>
                <w:sz w:val="18"/>
              </w:rPr>
              <w:t>Nearest-neighbor consistency across layers or perturbations</w:t>
            </w:r>
          </w:p>
        </w:tc>
        <w:tc>
          <w:tcPr>
            <w:tcW w:type="dxa" w:w="3240"/>
            <w:vAlign w:val="center"/>
          </w:tcPr>
          <w:p>
            <w:r/>
            <w:r>
              <w:rPr>
                <w:rFonts w:ascii="Aptos" w:hAnsi="Aptos"/>
                <w:b w:val="0"/>
                <w:sz w:val="18"/>
              </w:rPr>
              <w:t>Measures semantic structural stability.</w:t>
            </w:r>
          </w:p>
        </w:tc>
      </w:tr>
      <w:tr>
        <w:tc>
          <w:tcPr>
            <w:tcW w:type="dxa" w:w="1800"/>
            <w:vAlign w:val="center"/>
          </w:tcPr>
          <w:p>
            <w:r/>
            <w:r>
              <w:rPr>
                <w:rFonts w:ascii="Aptos" w:hAnsi="Aptos"/>
                <w:b w:val="0"/>
                <w:sz w:val="18"/>
              </w:rPr>
              <w:t>Language mixture features</w:t>
            </w:r>
          </w:p>
        </w:tc>
        <w:tc>
          <w:tcPr>
            <w:tcW w:type="dxa" w:w="4464"/>
            <w:vAlign w:val="center"/>
          </w:tcPr>
          <w:p>
            <w:r/>
            <w:r>
              <w:rPr>
                <w:rFonts w:ascii="Aptos" w:hAnsi="Aptos"/>
                <w:b w:val="0"/>
                <w:sz w:val="18"/>
              </w:rPr>
              <w:t>Language-ID entropy / code-switch rate</w:t>
            </w:r>
          </w:p>
        </w:tc>
        <w:tc>
          <w:tcPr>
            <w:tcW w:type="dxa" w:w="3240"/>
            <w:vAlign w:val="center"/>
          </w:tcPr>
          <w:p>
            <w:r/>
            <w:r>
              <w:rPr>
                <w:rFonts w:ascii="Aptos" w:hAnsi="Aptos"/>
                <w:b w:val="0"/>
                <w:sz w:val="18"/>
              </w:rPr>
              <w:t>Important control and potentially useful signal.</w:t>
            </w:r>
          </w:p>
        </w:tc>
      </w:tr>
      <w:tr>
        <w:tc>
          <w:tcPr>
            <w:tcW w:type="dxa" w:w="1800"/>
            <w:vAlign w:val="center"/>
          </w:tcPr>
          <w:p>
            <w:r/>
            <w:r>
              <w:rPr>
                <w:rFonts w:ascii="Aptos" w:hAnsi="Aptos"/>
                <w:b w:val="0"/>
                <w:sz w:val="18"/>
              </w:rPr>
              <w:t>Token statistics</w:t>
            </w:r>
          </w:p>
        </w:tc>
        <w:tc>
          <w:tcPr>
            <w:tcW w:type="dxa" w:w="4464"/>
            <w:vAlign w:val="center"/>
          </w:tcPr>
          <w:p>
            <w:r/>
            <w:r>
              <w:rPr>
                <w:rFonts w:ascii="Aptos" w:hAnsi="Aptos"/>
                <w:b w:val="0"/>
                <w:sz w:val="18"/>
              </w:rPr>
              <w:t>Rarity, length, subword fragmentation</w:t>
            </w:r>
          </w:p>
        </w:tc>
        <w:tc>
          <w:tcPr>
            <w:tcW w:type="dxa" w:w="3240"/>
            <w:vAlign w:val="center"/>
          </w:tcPr>
          <w:p>
            <w:r/>
            <w:r>
              <w:rPr>
                <w:rFonts w:ascii="Aptos" w:hAnsi="Aptos"/>
                <w:b w:val="0"/>
                <w:sz w:val="18"/>
              </w:rPr>
              <w:t>Important confounders and baselines.</w:t>
            </w:r>
          </w:p>
        </w:tc>
      </w:tr>
    </w:tbl>
    <w:p/>
    <w:p>
      <w:pPr>
        <w:pStyle w:val="Heading1"/>
      </w:pPr>
      <w:r>
        <w:t>12. Router Baselines</w:t>
      </w:r>
    </w:p>
    <w:p>
      <w:r>
        <w:t>A convincing paper needs deliberately strong baselines. At minimum compare uniform fixed compute, random allocation, sequence-length routing, token-rarity routing, confidence-only routing, a small supervised difficulty predictor using surface features, and the proposed representation-guided router. An oracle router should be included as an upper bound. If a sophisticated external method already exists, reproduce it where practical rather than comparing only against weak baselines.</w:t>
      </w:r>
    </w:p>
    <w:p>
      <w:pPr>
        <w:pStyle w:val="Heading1"/>
      </w:pPr>
      <w:r>
        <w:t>13. Metrics</w:t>
      </w:r>
    </w:p>
    <w:tbl>
      <w:tblPr>
        <w:tblStyle w:val="TableGrid"/>
        <w:tblW w:type="auto" w:w="0"/>
        <w:jc w:val="center"/>
        <w:tblLook w:firstColumn="1" w:firstRow="1" w:lastColumn="0" w:lastRow="0" w:noHBand="0" w:noVBand="1" w:val="04A0"/>
      </w:tblPr>
      <w:tblGrid>
        <w:gridCol w:w="4896"/>
        <w:gridCol w:w="4896"/>
      </w:tblGrid>
      <w:tr>
        <w:tc>
          <w:tcPr>
            <w:tcW w:type="dxa" w:w="2016"/>
            <w:vAlign w:val="center"/>
            <w:shd w:fill="DCE6F1"/>
          </w:tcPr>
          <w:p>
            <w:r/>
            <w:r>
              <w:rPr>
                <w:rFonts w:ascii="Aptos" w:hAnsi="Aptos"/>
                <w:b/>
                <w:sz w:val="18"/>
              </w:rPr>
              <w:t>Category</w:t>
            </w:r>
          </w:p>
        </w:tc>
        <w:tc>
          <w:tcPr>
            <w:tcW w:type="dxa" w:w="7488"/>
            <w:vAlign w:val="center"/>
            <w:shd w:fill="DCE6F1"/>
          </w:tcPr>
          <w:p>
            <w:r/>
            <w:r>
              <w:rPr>
                <w:rFonts w:ascii="Aptos" w:hAnsi="Aptos"/>
                <w:b/>
                <w:sz w:val="18"/>
              </w:rPr>
              <w:t>Measure</w:t>
            </w:r>
          </w:p>
        </w:tc>
      </w:tr>
      <w:tr>
        <w:tc>
          <w:tcPr>
            <w:tcW w:type="dxa" w:w="2016"/>
            <w:vAlign w:val="center"/>
          </w:tcPr>
          <w:p>
            <w:r/>
            <w:r>
              <w:rPr>
                <w:rFonts w:ascii="Aptos" w:hAnsi="Aptos"/>
                <w:b w:val="0"/>
                <w:sz w:val="18"/>
              </w:rPr>
              <w:t>Task quality</w:t>
            </w:r>
          </w:p>
        </w:tc>
        <w:tc>
          <w:tcPr>
            <w:tcW w:type="dxa" w:w="7488"/>
            <w:vAlign w:val="center"/>
          </w:tcPr>
          <w:p>
            <w:r/>
            <w:r>
              <w:rPr>
                <w:rFonts w:ascii="Aptos" w:hAnsi="Aptos"/>
                <w:b w:val="0"/>
                <w:sz w:val="18"/>
              </w:rPr>
              <w:t>Accuracy, macro-F1, or task-appropriate score; report per-language results.</w:t>
            </w:r>
          </w:p>
        </w:tc>
      </w:tr>
      <w:tr>
        <w:tc>
          <w:tcPr>
            <w:tcW w:type="dxa" w:w="2016"/>
            <w:vAlign w:val="center"/>
          </w:tcPr>
          <w:p>
            <w:r/>
            <w:r>
              <w:rPr>
                <w:rFonts w:ascii="Aptos" w:hAnsi="Aptos"/>
                <w:b w:val="0"/>
                <w:sz w:val="18"/>
              </w:rPr>
              <w:t>Compute</w:t>
            </w:r>
          </w:p>
        </w:tc>
        <w:tc>
          <w:tcPr>
            <w:tcW w:type="dxa" w:w="7488"/>
            <w:vAlign w:val="center"/>
          </w:tcPr>
          <w:p>
            <w:r/>
            <w:r>
              <w:rPr>
                <w:rFonts w:ascii="Aptos" w:hAnsi="Aptos"/>
                <w:b w:val="0"/>
                <w:sz w:val="18"/>
              </w:rPr>
              <w:t>FLOPs where defensible; otherwise standardized layer/token operations or a clearly documented compute proxy.</w:t>
            </w:r>
          </w:p>
        </w:tc>
      </w:tr>
      <w:tr>
        <w:tc>
          <w:tcPr>
            <w:tcW w:type="dxa" w:w="2016"/>
            <w:vAlign w:val="center"/>
          </w:tcPr>
          <w:p>
            <w:r/>
            <w:r>
              <w:rPr>
                <w:rFonts w:ascii="Aptos" w:hAnsi="Aptos"/>
                <w:b w:val="0"/>
                <w:sz w:val="18"/>
              </w:rPr>
              <w:t>Latency</w:t>
            </w:r>
          </w:p>
        </w:tc>
        <w:tc>
          <w:tcPr>
            <w:tcW w:type="dxa" w:w="7488"/>
            <w:vAlign w:val="center"/>
          </w:tcPr>
          <w:p>
            <w:r/>
            <w:r>
              <w:rPr>
                <w:rFonts w:ascii="Aptos" w:hAnsi="Aptos"/>
                <w:b w:val="0"/>
                <w:sz w:val="18"/>
              </w:rPr>
              <w:t>Wall-clock latency under controlled hardware and batch settings.</w:t>
            </w:r>
          </w:p>
        </w:tc>
      </w:tr>
      <w:tr>
        <w:tc>
          <w:tcPr>
            <w:tcW w:type="dxa" w:w="2016"/>
            <w:vAlign w:val="center"/>
          </w:tcPr>
          <w:p>
            <w:r/>
            <w:r>
              <w:rPr>
                <w:rFonts w:ascii="Aptos" w:hAnsi="Aptos"/>
                <w:b w:val="0"/>
                <w:sz w:val="18"/>
              </w:rPr>
              <w:t>Memory</w:t>
            </w:r>
          </w:p>
        </w:tc>
        <w:tc>
          <w:tcPr>
            <w:tcW w:type="dxa" w:w="7488"/>
            <w:vAlign w:val="center"/>
          </w:tcPr>
          <w:p>
            <w:r/>
            <w:r>
              <w:rPr>
                <w:rFonts w:ascii="Aptos" w:hAnsi="Aptos"/>
                <w:b w:val="0"/>
                <w:sz w:val="18"/>
              </w:rPr>
              <w:t>Peak GPU/CPU memory where relevant.</w:t>
            </w:r>
          </w:p>
        </w:tc>
      </w:tr>
      <w:tr>
        <w:tc>
          <w:tcPr>
            <w:tcW w:type="dxa" w:w="2016"/>
            <w:vAlign w:val="center"/>
          </w:tcPr>
          <w:p>
            <w:r/>
            <w:r>
              <w:rPr>
                <w:rFonts w:ascii="Aptos" w:hAnsi="Aptos"/>
                <w:b w:val="0"/>
                <w:sz w:val="18"/>
              </w:rPr>
              <w:t>Efficiency</w:t>
            </w:r>
          </w:p>
        </w:tc>
        <w:tc>
          <w:tcPr>
            <w:tcW w:type="dxa" w:w="7488"/>
            <w:vAlign w:val="center"/>
          </w:tcPr>
          <w:p>
            <w:r/>
            <w:r>
              <w:rPr>
                <w:rFonts w:ascii="Aptos" w:hAnsi="Aptos"/>
                <w:b w:val="0"/>
                <w:sz w:val="18"/>
              </w:rPr>
              <w:t>Quality per unit compute; area under the accuracy-compute frontier.</w:t>
            </w:r>
          </w:p>
        </w:tc>
      </w:tr>
      <w:tr>
        <w:tc>
          <w:tcPr>
            <w:tcW w:type="dxa" w:w="2016"/>
            <w:vAlign w:val="center"/>
          </w:tcPr>
          <w:p>
            <w:r/>
            <w:r>
              <w:rPr>
                <w:rFonts w:ascii="Aptos" w:hAnsi="Aptos"/>
                <w:b w:val="0"/>
                <w:sz w:val="18"/>
              </w:rPr>
              <w:t>Routing quality</w:t>
            </w:r>
          </w:p>
        </w:tc>
        <w:tc>
          <w:tcPr>
            <w:tcW w:type="dxa" w:w="7488"/>
            <w:vAlign w:val="center"/>
          </w:tcPr>
          <w:p>
            <w:r/>
            <w:r>
              <w:rPr>
                <w:rFonts w:ascii="Aptos" w:hAnsi="Aptos"/>
                <w:b w:val="0"/>
                <w:sz w:val="18"/>
              </w:rPr>
              <w:t>Precision/recall for identifying examples that benefit from extra compute; regret versus oracle.</w:t>
            </w:r>
          </w:p>
        </w:tc>
      </w:tr>
      <w:tr>
        <w:tc>
          <w:tcPr>
            <w:tcW w:type="dxa" w:w="2016"/>
            <w:vAlign w:val="center"/>
          </w:tcPr>
          <w:p>
            <w:r/>
            <w:r>
              <w:rPr>
                <w:rFonts w:ascii="Aptos" w:hAnsi="Aptos"/>
                <w:b w:val="0"/>
                <w:sz w:val="18"/>
              </w:rPr>
              <w:t>Calibration</w:t>
            </w:r>
          </w:p>
        </w:tc>
        <w:tc>
          <w:tcPr>
            <w:tcW w:type="dxa" w:w="7488"/>
            <w:vAlign w:val="center"/>
          </w:tcPr>
          <w:p>
            <w:r/>
            <w:r>
              <w:rPr>
                <w:rFonts w:ascii="Aptos" w:hAnsi="Aptos"/>
                <w:b w:val="0"/>
                <w:sz w:val="18"/>
              </w:rPr>
              <w:t>ECE/Brier or other calibrated confidence metrics for routing comparisons.</w:t>
            </w:r>
          </w:p>
        </w:tc>
      </w:tr>
      <w:tr>
        <w:tc>
          <w:tcPr>
            <w:tcW w:type="dxa" w:w="2016"/>
            <w:vAlign w:val="center"/>
          </w:tcPr>
          <w:p>
            <w:r/>
            <w:r>
              <w:rPr>
                <w:rFonts w:ascii="Aptos" w:hAnsi="Aptos"/>
                <w:b w:val="0"/>
                <w:sz w:val="18"/>
              </w:rPr>
              <w:t>Robustness</w:t>
            </w:r>
          </w:p>
        </w:tc>
        <w:tc>
          <w:tcPr>
            <w:tcW w:type="dxa" w:w="7488"/>
            <w:vAlign w:val="center"/>
          </w:tcPr>
          <w:p>
            <w:r/>
            <w:r>
              <w:rPr>
                <w:rFonts w:ascii="Aptos" w:hAnsi="Aptos"/>
                <w:b w:val="0"/>
                <w:sz w:val="18"/>
              </w:rPr>
              <w:t>Performance variance across seeds, languages, models, and perturbation regimes.</w:t>
            </w:r>
          </w:p>
        </w:tc>
      </w:tr>
    </w:tbl>
    <w:p/>
    <w:p>
      <w:pPr>
        <w:pStyle w:val="Heading1"/>
      </w:pPr>
      <w:r>
        <w:t>14. Statistical and Scientific Rigor</w:t>
      </w:r>
    </w:p>
    <w:p>
      <w:r>
        <w:t>Do not rely on one random seed or one aggregate score. Use multiple seeds for core experiments, paired example-level comparisons where appropriate, bootstrap confidence intervals for key effect sizes, and language-wise reporting rather than only macro averages. Where many representation metrics are screened, separate exploratory analysis from confirmatory tests and control multiple comparisons or pre-register a reduced signal set before final evaluation.</w:t>
      </w:r>
    </w:p>
    <w:p>
      <w:r>
        <w:t>The primary result should be stated as an effect with uncertainty, not as a leaderboard rank. For example: 'At the 60% compute budget, the proposed router improved accuracy by X points (95% CI [...]) relative to confidence routing across N languages.' The exact claim should emerge from the results rather than be chosen in advance.</w:t>
      </w:r>
    </w:p>
    <w:p>
      <w:pPr>
        <w:pStyle w:val="Heading1"/>
      </w:pPr>
      <w:r>
        <w:t>15. Confounders to Eliminate</w:t>
      </w:r>
    </w:p>
    <w:tbl>
      <w:tblPr>
        <w:tblStyle w:val="TableGrid"/>
        <w:tblW w:type="auto" w:w="0"/>
        <w:jc w:val="center"/>
        <w:tblLook w:firstColumn="1" w:firstRow="1" w:lastColumn="0" w:lastRow="0" w:noHBand="0" w:noVBand="1" w:val="04A0"/>
      </w:tblPr>
      <w:tblGrid>
        <w:gridCol w:w="4896"/>
        <w:gridCol w:w="4896"/>
      </w:tblGrid>
      <w:tr>
        <w:tc>
          <w:tcPr>
            <w:tcW w:type="dxa" w:w="2304"/>
            <w:vAlign w:val="center"/>
            <w:shd w:fill="DCE6F1"/>
          </w:tcPr>
          <w:p>
            <w:r/>
            <w:r>
              <w:rPr>
                <w:rFonts w:ascii="Aptos" w:hAnsi="Aptos"/>
                <w:b/>
                <w:sz w:val="18"/>
              </w:rPr>
              <w:t>Confounder</w:t>
            </w:r>
          </w:p>
        </w:tc>
        <w:tc>
          <w:tcPr>
            <w:tcW w:type="dxa" w:w="7200"/>
            <w:vAlign w:val="center"/>
            <w:shd w:fill="DCE6F1"/>
          </w:tcPr>
          <w:p>
            <w:r/>
            <w:r>
              <w:rPr>
                <w:rFonts w:ascii="Aptos" w:hAnsi="Aptos"/>
                <w:b/>
                <w:sz w:val="18"/>
              </w:rPr>
              <w:t>Control</w:t>
            </w:r>
          </w:p>
        </w:tc>
      </w:tr>
      <w:tr>
        <w:tc>
          <w:tcPr>
            <w:tcW w:type="dxa" w:w="2304"/>
            <w:vAlign w:val="center"/>
          </w:tcPr>
          <w:p>
            <w:r/>
            <w:r>
              <w:rPr>
                <w:rFonts w:ascii="Aptos" w:hAnsi="Aptos"/>
                <w:b w:val="0"/>
                <w:sz w:val="18"/>
              </w:rPr>
              <w:t>Sequence length</w:t>
            </w:r>
          </w:p>
        </w:tc>
        <w:tc>
          <w:tcPr>
            <w:tcW w:type="dxa" w:w="7200"/>
            <w:vAlign w:val="center"/>
          </w:tcPr>
          <w:p>
            <w:r/>
            <w:r>
              <w:rPr>
                <w:rFonts w:ascii="Aptos" w:hAnsi="Aptos"/>
                <w:b w:val="0"/>
                <w:sz w:val="18"/>
              </w:rPr>
              <w:t>A router may appear intelligent while merely sending long examples to the larger model.</w:t>
            </w:r>
          </w:p>
        </w:tc>
      </w:tr>
      <w:tr>
        <w:tc>
          <w:tcPr>
            <w:tcW w:type="dxa" w:w="2304"/>
            <w:vAlign w:val="center"/>
          </w:tcPr>
          <w:p>
            <w:r/>
            <w:r>
              <w:rPr>
                <w:rFonts w:ascii="Aptos" w:hAnsi="Aptos"/>
                <w:b w:val="0"/>
                <w:sz w:val="18"/>
              </w:rPr>
              <w:t>Token rarity / fragmentation</w:t>
            </w:r>
          </w:p>
        </w:tc>
        <w:tc>
          <w:tcPr>
            <w:tcW w:type="dxa" w:w="7200"/>
            <w:vAlign w:val="center"/>
          </w:tcPr>
          <w:p>
            <w:r/>
            <w:r>
              <w:rPr>
                <w:rFonts w:ascii="Aptos" w:hAnsi="Aptos"/>
                <w:b w:val="0"/>
                <w:sz w:val="18"/>
              </w:rPr>
              <w:t>Rare subwords can proxy both language and difficulty.</w:t>
            </w:r>
          </w:p>
        </w:tc>
      </w:tr>
      <w:tr>
        <w:tc>
          <w:tcPr>
            <w:tcW w:type="dxa" w:w="2304"/>
            <w:vAlign w:val="center"/>
          </w:tcPr>
          <w:p>
            <w:r/>
            <w:r>
              <w:rPr>
                <w:rFonts w:ascii="Aptos" w:hAnsi="Aptos"/>
                <w:b w:val="0"/>
                <w:sz w:val="18"/>
              </w:rPr>
              <w:t>Language identity</w:t>
            </w:r>
          </w:p>
        </w:tc>
        <w:tc>
          <w:tcPr>
            <w:tcW w:type="dxa" w:w="7200"/>
            <w:vAlign w:val="center"/>
          </w:tcPr>
          <w:p>
            <w:r/>
            <w:r>
              <w:rPr>
                <w:rFonts w:ascii="Aptos" w:hAnsi="Aptos"/>
                <w:b w:val="0"/>
                <w:sz w:val="18"/>
              </w:rPr>
              <w:t>The system might simply learn which languages are harder on average.</w:t>
            </w:r>
          </w:p>
        </w:tc>
      </w:tr>
      <w:tr>
        <w:tc>
          <w:tcPr>
            <w:tcW w:type="dxa" w:w="2304"/>
            <w:vAlign w:val="center"/>
          </w:tcPr>
          <w:p>
            <w:r/>
            <w:r>
              <w:rPr>
                <w:rFonts w:ascii="Aptos" w:hAnsi="Aptos"/>
                <w:b w:val="0"/>
                <w:sz w:val="18"/>
              </w:rPr>
              <w:t>Model confidence</w:t>
            </w:r>
          </w:p>
        </w:tc>
        <w:tc>
          <w:tcPr>
            <w:tcW w:type="dxa" w:w="7200"/>
            <w:vAlign w:val="center"/>
          </w:tcPr>
          <w:p>
            <w:r/>
            <w:r>
              <w:rPr>
                <w:rFonts w:ascii="Aptos" w:hAnsi="Aptos"/>
                <w:b w:val="0"/>
                <w:sz w:val="18"/>
              </w:rPr>
              <w:t>Representation features may add nothing beyond confidence.</w:t>
            </w:r>
          </w:p>
        </w:tc>
      </w:tr>
      <w:tr>
        <w:tc>
          <w:tcPr>
            <w:tcW w:type="dxa" w:w="2304"/>
            <w:vAlign w:val="center"/>
          </w:tcPr>
          <w:p>
            <w:r/>
            <w:r>
              <w:rPr>
                <w:rFonts w:ascii="Aptos" w:hAnsi="Aptos"/>
                <w:b w:val="0"/>
                <w:sz w:val="18"/>
              </w:rPr>
              <w:t>Dataset artifacts</w:t>
            </w:r>
          </w:p>
        </w:tc>
        <w:tc>
          <w:tcPr>
            <w:tcW w:type="dxa" w:w="7200"/>
            <w:vAlign w:val="center"/>
          </w:tcPr>
          <w:p>
            <w:r/>
            <w:r>
              <w:rPr>
                <w:rFonts w:ascii="Aptos" w:hAnsi="Aptos"/>
                <w:b w:val="0"/>
                <w:sz w:val="18"/>
              </w:rPr>
              <w:t>Templates or translation artifacts may leak task difficulty.</w:t>
            </w:r>
          </w:p>
        </w:tc>
      </w:tr>
      <w:tr>
        <w:tc>
          <w:tcPr>
            <w:tcW w:type="dxa" w:w="2304"/>
            <w:vAlign w:val="center"/>
          </w:tcPr>
          <w:p>
            <w:r/>
            <w:r>
              <w:rPr>
                <w:rFonts w:ascii="Aptos" w:hAnsi="Aptos"/>
                <w:b w:val="0"/>
                <w:sz w:val="18"/>
              </w:rPr>
              <w:t>Label imbalance</w:t>
            </w:r>
          </w:p>
        </w:tc>
        <w:tc>
          <w:tcPr>
            <w:tcW w:type="dxa" w:w="7200"/>
            <w:vAlign w:val="center"/>
          </w:tcPr>
          <w:p>
            <w:r/>
            <w:r>
              <w:rPr>
                <w:rFonts w:ascii="Aptos" w:hAnsi="Aptos"/>
                <w:b w:val="0"/>
                <w:sz w:val="18"/>
              </w:rPr>
              <w:t>Router may optimize for class-frequency shortcuts.</w:t>
            </w:r>
          </w:p>
        </w:tc>
      </w:tr>
      <w:tr>
        <w:tc>
          <w:tcPr>
            <w:tcW w:type="dxa" w:w="2304"/>
            <w:vAlign w:val="center"/>
          </w:tcPr>
          <w:p>
            <w:r/>
            <w:r>
              <w:rPr>
                <w:rFonts w:ascii="Aptos" w:hAnsi="Aptos"/>
                <w:b w:val="0"/>
                <w:sz w:val="18"/>
              </w:rPr>
              <w:t>Compute accounting</w:t>
            </w:r>
          </w:p>
        </w:tc>
        <w:tc>
          <w:tcPr>
            <w:tcW w:type="dxa" w:w="7200"/>
            <w:vAlign w:val="center"/>
          </w:tcPr>
          <w:p>
            <w:r/>
            <w:r>
              <w:rPr>
                <w:rFonts w:ascii="Aptos" w:hAnsi="Aptos"/>
                <w:b w:val="0"/>
                <w:sz w:val="18"/>
              </w:rPr>
              <w:t>Framework overhead can obscure actual savings.</w:t>
            </w:r>
          </w:p>
        </w:tc>
      </w:tr>
      <w:tr>
        <w:tc>
          <w:tcPr>
            <w:tcW w:type="dxa" w:w="2304"/>
            <w:vAlign w:val="center"/>
          </w:tcPr>
          <w:p>
            <w:r/>
            <w:r>
              <w:rPr>
                <w:rFonts w:ascii="Aptos" w:hAnsi="Aptos"/>
                <w:b w:val="0"/>
                <w:sz w:val="18"/>
              </w:rPr>
              <w:t>Evaluation leakage</w:t>
            </w:r>
          </w:p>
        </w:tc>
        <w:tc>
          <w:tcPr>
            <w:tcW w:type="dxa" w:w="7200"/>
            <w:vAlign w:val="center"/>
          </w:tcPr>
          <w:p>
            <w:r/>
            <w:r>
              <w:rPr>
                <w:rFonts w:ascii="Aptos" w:hAnsi="Aptos"/>
                <w:b w:val="0"/>
                <w:sz w:val="18"/>
              </w:rPr>
              <w:t>Tuning thresholds on test examples invalidates comparisons.</w:t>
            </w:r>
          </w:p>
        </w:tc>
      </w:tr>
    </w:tbl>
    <w:p/>
    <w:p>
      <w:pPr>
        <w:pStyle w:val="Heading1"/>
      </w:pPr>
      <w:r>
        <w:t>16. Generalization Program</w:t>
      </w:r>
    </w:p>
    <w:p>
      <w:r>
        <w:t>Generalization is a core part of the project, not an appendix afterthought. The minimum target is one held-out language or language group, one additional model family, and one changed compute budget. A stronger result would show transfer across a task or domain. The router should also be tested without access to the final test labels, with thresholds selected on development data.</w:t>
      </w:r>
    </w:p>
    <w:p>
      <w:r>
        <w:t>If the method works only for Yoruba on one checkpoint, the contribution must be narrowed accordingly. If it works across several languages and models, the claim can be generalized. The paper should never imply universal applicability beyond the evidence.</w:t>
      </w:r>
    </w:p>
    <w:p>
      <w:pPr>
        <w:pStyle w:val="Heading1"/>
      </w:pPr>
      <w:r>
        <w:t>17. Optional Quantum-Inspired Branch</w:t>
      </w:r>
    </w:p>
    <w:p>
      <w:r>
        <w:t>Quantum ideas are optional and should enter only if they give a measurable advantage or a principled analytical framing. The most defensible path is not to replace the NLP model with a quantum system, but to test whether quantum-inspired spectral or energy-based representations provide a better difficulty descriptor than conventional statistics. Examples include entropy-like concentration measures, effective-rank formulations, or energy distributions over representation spectra.</w:t>
      </w:r>
    </w:p>
    <w:p>
      <w:r>
        <w:t>Decision gate: do not include a quantum component in the final paper unless it produces either a statistically significant empirical improvement, a cleaner theoretical explanation, or a genuinely new measurement that cannot be reduced to decorative terminology. Otherwise keep the quantum connection in future work.</w:t>
      </w:r>
    </w:p>
    <w:p>
      <w:pPr>
        <w:pStyle w:val="Heading1"/>
      </w:pPr>
      <w:r>
        <w:t>18. Failure Criteria and Stop Rules</w:t>
      </w:r>
    </w:p>
    <w:p>
      <w:r>
        <w:t>The project should have explicit stop rules. If no representation feature survives basic confounder controls and seed variation during the discovery phase, stop trying to force a geometry-based claim and pivot toward a confidence-plus-structure analysis or a negative-result paper. If a router improves performance only because it spends more compute, reject the claim and return to matched-budget evaluation. If the method works only on one dataset, treat generalization failure as a central finding rather than hiding it.</w:t>
      </w:r>
    </w:p>
    <w:p>
      <w:pPr>
        <w:pStyle w:val="Heading1"/>
      </w:pPr>
      <w:r>
        <w:t>19. Risk Register</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880"/>
            <w:vAlign w:val="center"/>
            <w:shd w:fill="DCE6F1"/>
          </w:tcPr>
          <w:p>
            <w:r/>
            <w:r>
              <w:rPr>
                <w:rFonts w:ascii="Aptos" w:hAnsi="Aptos"/>
                <w:b/>
                <w:sz w:val="18"/>
              </w:rPr>
              <w:t>Risk</w:t>
            </w:r>
          </w:p>
        </w:tc>
        <w:tc>
          <w:tcPr>
            <w:tcW w:type="dxa" w:w="1296"/>
            <w:vAlign w:val="center"/>
            <w:shd w:fill="DCE6F1"/>
          </w:tcPr>
          <w:p>
            <w:r/>
            <w:r>
              <w:rPr>
                <w:rFonts w:ascii="Aptos" w:hAnsi="Aptos"/>
                <w:b/>
                <w:sz w:val="18"/>
              </w:rPr>
              <w:t>Likelihood</w:t>
            </w:r>
          </w:p>
        </w:tc>
        <w:tc>
          <w:tcPr>
            <w:tcW w:type="dxa" w:w="1152"/>
            <w:vAlign w:val="center"/>
            <w:shd w:fill="DCE6F1"/>
          </w:tcPr>
          <w:p>
            <w:r/>
            <w:r>
              <w:rPr>
                <w:rFonts w:ascii="Aptos" w:hAnsi="Aptos"/>
                <w:b/>
                <w:sz w:val="18"/>
              </w:rPr>
              <w:t>Impact</w:t>
            </w:r>
          </w:p>
        </w:tc>
        <w:tc>
          <w:tcPr>
            <w:tcW w:type="dxa" w:w="4320"/>
            <w:vAlign w:val="center"/>
            <w:shd w:fill="DCE6F1"/>
          </w:tcPr>
          <w:p>
            <w:r/>
            <w:r>
              <w:rPr>
                <w:rFonts w:ascii="Aptos" w:hAnsi="Aptos"/>
                <w:b/>
                <w:sz w:val="18"/>
              </w:rPr>
              <w:t>Response</w:t>
            </w:r>
          </w:p>
        </w:tc>
      </w:tr>
      <w:tr>
        <w:tc>
          <w:tcPr>
            <w:tcW w:type="dxa" w:w="2880"/>
            <w:vAlign w:val="center"/>
          </w:tcPr>
          <w:p>
            <w:r/>
            <w:r>
              <w:rPr>
                <w:rFonts w:ascii="Aptos" w:hAnsi="Aptos"/>
                <w:b w:val="0"/>
                <w:sz w:val="18"/>
              </w:rPr>
              <w:t>No useful representation signal</w:t>
            </w:r>
          </w:p>
        </w:tc>
        <w:tc>
          <w:tcPr>
            <w:tcW w:type="dxa" w:w="1296"/>
            <w:vAlign w:val="center"/>
          </w:tcPr>
          <w:p>
            <w:r/>
            <w:r>
              <w:rPr>
                <w:rFonts w:ascii="Aptos" w:hAnsi="Aptos"/>
                <w:b w:val="0"/>
                <w:sz w:val="18"/>
              </w:rPr>
              <w:t>High</w:t>
            </w:r>
          </w:p>
        </w:tc>
        <w:tc>
          <w:tcPr>
            <w:tcW w:type="dxa" w:w="1152"/>
            <w:vAlign w:val="center"/>
          </w:tcPr>
          <w:p>
            <w:r/>
            <w:r>
              <w:rPr>
                <w:rFonts w:ascii="Aptos" w:hAnsi="Aptos"/>
                <w:b w:val="0"/>
                <w:sz w:val="18"/>
              </w:rPr>
              <w:t>High</w:t>
            </w:r>
          </w:p>
        </w:tc>
        <w:tc>
          <w:tcPr>
            <w:tcW w:type="dxa" w:w="4320"/>
            <w:vAlign w:val="center"/>
          </w:tcPr>
          <w:p>
            <w:r/>
            <w:r>
              <w:rPr>
                <w:rFonts w:ascii="Aptos" w:hAnsi="Aptos"/>
                <w:b w:val="0"/>
                <w:sz w:val="18"/>
              </w:rPr>
              <w:t>Pivot to a systematic negative result or focus on identifying why representation signals fail.</w:t>
            </w:r>
          </w:p>
        </w:tc>
      </w:tr>
      <w:tr>
        <w:tc>
          <w:tcPr>
            <w:tcW w:type="dxa" w:w="2880"/>
            <w:vAlign w:val="center"/>
          </w:tcPr>
          <w:p>
            <w:r/>
            <w:r>
              <w:rPr>
                <w:rFonts w:ascii="Aptos" w:hAnsi="Aptos"/>
                <w:b w:val="0"/>
                <w:sz w:val="18"/>
              </w:rPr>
              <w:t>Signal is redundant with confidence</w:t>
            </w:r>
          </w:p>
        </w:tc>
        <w:tc>
          <w:tcPr>
            <w:tcW w:type="dxa" w:w="1296"/>
            <w:vAlign w:val="center"/>
          </w:tcPr>
          <w:p>
            <w:r/>
            <w:r>
              <w:rPr>
                <w:rFonts w:ascii="Aptos" w:hAnsi="Aptos"/>
                <w:b w:val="0"/>
                <w:sz w:val="18"/>
              </w:rPr>
              <w:t>Medium</w:t>
            </w:r>
          </w:p>
        </w:tc>
        <w:tc>
          <w:tcPr>
            <w:tcW w:type="dxa" w:w="1152"/>
            <w:vAlign w:val="center"/>
          </w:tcPr>
          <w:p>
            <w:r/>
            <w:r>
              <w:rPr>
                <w:rFonts w:ascii="Aptos" w:hAnsi="Aptos"/>
                <w:b w:val="0"/>
                <w:sz w:val="18"/>
              </w:rPr>
              <w:t>High</w:t>
            </w:r>
          </w:p>
        </w:tc>
        <w:tc>
          <w:tcPr>
            <w:tcW w:type="dxa" w:w="4320"/>
            <w:vAlign w:val="center"/>
          </w:tcPr>
          <w:p>
            <w:r/>
            <w:r>
              <w:rPr>
                <w:rFonts w:ascii="Aptos" w:hAnsi="Aptos"/>
                <w:b w:val="0"/>
                <w:sz w:val="18"/>
              </w:rPr>
              <w:t>Use conditional analysis and matched baselines; claim novelty only if structure adds predictive value.</w:t>
            </w:r>
          </w:p>
        </w:tc>
      </w:tr>
      <w:tr>
        <w:tc>
          <w:tcPr>
            <w:tcW w:type="dxa" w:w="2880"/>
            <w:vAlign w:val="center"/>
          </w:tcPr>
          <w:p>
            <w:r/>
            <w:r>
              <w:rPr>
                <w:rFonts w:ascii="Aptos" w:hAnsi="Aptos"/>
                <w:b w:val="0"/>
                <w:sz w:val="18"/>
              </w:rPr>
              <w:t>African datasets too small/noisy</w:t>
            </w:r>
          </w:p>
        </w:tc>
        <w:tc>
          <w:tcPr>
            <w:tcW w:type="dxa" w:w="1296"/>
            <w:vAlign w:val="center"/>
          </w:tcPr>
          <w:p>
            <w:r/>
            <w:r>
              <w:rPr>
                <w:rFonts w:ascii="Aptos" w:hAnsi="Aptos"/>
                <w:b w:val="0"/>
                <w:sz w:val="18"/>
              </w:rPr>
              <w:t>Medium</w:t>
            </w:r>
          </w:p>
        </w:tc>
        <w:tc>
          <w:tcPr>
            <w:tcW w:type="dxa" w:w="1152"/>
            <w:vAlign w:val="center"/>
          </w:tcPr>
          <w:p>
            <w:r/>
            <w:r>
              <w:rPr>
                <w:rFonts w:ascii="Aptos" w:hAnsi="Aptos"/>
                <w:b w:val="0"/>
                <w:sz w:val="18"/>
              </w:rPr>
              <w:t>Medium</w:t>
            </w:r>
          </w:p>
        </w:tc>
        <w:tc>
          <w:tcPr>
            <w:tcW w:type="dxa" w:w="4320"/>
            <w:vAlign w:val="center"/>
          </w:tcPr>
          <w:p>
            <w:r/>
            <w:r>
              <w:rPr>
                <w:rFonts w:ascii="Aptos" w:hAnsi="Aptos"/>
                <w:b w:val="0"/>
                <w:sz w:val="18"/>
              </w:rPr>
              <w:t>Use multiple languages, confidence intervals, and controlled evaluation; avoid overclaiming.</w:t>
            </w:r>
          </w:p>
        </w:tc>
      </w:tr>
      <w:tr>
        <w:tc>
          <w:tcPr>
            <w:tcW w:type="dxa" w:w="2880"/>
            <w:vAlign w:val="center"/>
          </w:tcPr>
          <w:p>
            <w:r/>
            <w:r>
              <w:rPr>
                <w:rFonts w:ascii="Aptos" w:hAnsi="Aptos"/>
                <w:b w:val="0"/>
                <w:sz w:val="18"/>
              </w:rPr>
              <w:t>Compute bottleneck</w:t>
            </w:r>
          </w:p>
        </w:tc>
        <w:tc>
          <w:tcPr>
            <w:tcW w:type="dxa" w:w="1296"/>
            <w:vAlign w:val="center"/>
          </w:tcPr>
          <w:p>
            <w:r/>
            <w:r>
              <w:rPr>
                <w:rFonts w:ascii="Aptos" w:hAnsi="Aptos"/>
                <w:b w:val="0"/>
                <w:sz w:val="18"/>
              </w:rPr>
              <w:t>Medium</w:t>
            </w:r>
          </w:p>
        </w:tc>
        <w:tc>
          <w:tcPr>
            <w:tcW w:type="dxa" w:w="1152"/>
            <w:vAlign w:val="center"/>
          </w:tcPr>
          <w:p>
            <w:r/>
            <w:r>
              <w:rPr>
                <w:rFonts w:ascii="Aptos" w:hAnsi="Aptos"/>
                <w:b w:val="0"/>
                <w:sz w:val="18"/>
              </w:rPr>
              <w:t>Medium</w:t>
            </w:r>
          </w:p>
        </w:tc>
        <w:tc>
          <w:tcPr>
            <w:tcW w:type="dxa" w:w="4320"/>
            <w:vAlign w:val="center"/>
          </w:tcPr>
          <w:p>
            <w:r/>
            <w:r>
              <w:rPr>
                <w:rFonts w:ascii="Aptos" w:hAnsi="Aptos"/>
                <w:b w:val="0"/>
                <w:sz w:val="18"/>
              </w:rPr>
              <w:t>Start with small checkpoints and sample-based representation analysis before scaling.</w:t>
            </w:r>
          </w:p>
        </w:tc>
      </w:tr>
      <w:tr>
        <w:tc>
          <w:tcPr>
            <w:tcW w:type="dxa" w:w="2880"/>
            <w:vAlign w:val="center"/>
          </w:tcPr>
          <w:p>
            <w:r/>
            <w:r>
              <w:rPr>
                <w:rFonts w:ascii="Aptos" w:hAnsi="Aptos"/>
                <w:b w:val="0"/>
                <w:sz w:val="18"/>
              </w:rPr>
              <w:t>Method overfits one model</w:t>
            </w:r>
          </w:p>
        </w:tc>
        <w:tc>
          <w:tcPr>
            <w:tcW w:type="dxa" w:w="1296"/>
            <w:vAlign w:val="center"/>
          </w:tcPr>
          <w:p>
            <w:r/>
            <w:r>
              <w:rPr>
                <w:rFonts w:ascii="Aptos" w:hAnsi="Aptos"/>
                <w:b w:val="0"/>
                <w:sz w:val="18"/>
              </w:rPr>
              <w:t>Medium</w:t>
            </w:r>
          </w:p>
        </w:tc>
        <w:tc>
          <w:tcPr>
            <w:tcW w:type="dxa" w:w="1152"/>
            <w:vAlign w:val="center"/>
          </w:tcPr>
          <w:p>
            <w:r/>
            <w:r>
              <w:rPr>
                <w:rFonts w:ascii="Aptos" w:hAnsi="Aptos"/>
                <w:b w:val="0"/>
                <w:sz w:val="18"/>
              </w:rPr>
              <w:t>High</w:t>
            </w:r>
          </w:p>
        </w:tc>
        <w:tc>
          <w:tcPr>
            <w:tcW w:type="dxa" w:w="4320"/>
            <w:vAlign w:val="center"/>
          </w:tcPr>
          <w:p>
            <w:r/>
            <w:r>
              <w:rPr>
                <w:rFonts w:ascii="Aptos" w:hAnsi="Aptos"/>
                <w:b w:val="0"/>
                <w:sz w:val="18"/>
              </w:rPr>
              <w:t>Add cross-model evaluation before final claims.</w:t>
            </w:r>
          </w:p>
        </w:tc>
      </w:tr>
      <w:tr>
        <w:tc>
          <w:tcPr>
            <w:tcW w:type="dxa" w:w="2880"/>
            <w:vAlign w:val="center"/>
          </w:tcPr>
          <w:p>
            <w:r/>
            <w:r>
              <w:rPr>
                <w:rFonts w:ascii="Aptos" w:hAnsi="Aptos"/>
                <w:b w:val="0"/>
                <w:sz w:val="18"/>
              </w:rPr>
              <w:t>Synthetic code-switch data is unrealistic</w:t>
            </w:r>
          </w:p>
        </w:tc>
        <w:tc>
          <w:tcPr>
            <w:tcW w:type="dxa" w:w="1296"/>
            <w:vAlign w:val="center"/>
          </w:tcPr>
          <w:p>
            <w:r/>
            <w:r>
              <w:rPr>
                <w:rFonts w:ascii="Aptos" w:hAnsi="Aptos"/>
                <w:b w:val="0"/>
                <w:sz w:val="18"/>
              </w:rPr>
              <w:t>Medium</w:t>
            </w:r>
          </w:p>
        </w:tc>
        <w:tc>
          <w:tcPr>
            <w:tcW w:type="dxa" w:w="1152"/>
            <w:vAlign w:val="center"/>
          </w:tcPr>
          <w:p>
            <w:r/>
            <w:r>
              <w:rPr>
                <w:rFonts w:ascii="Aptos" w:hAnsi="Aptos"/>
                <w:b w:val="0"/>
                <w:sz w:val="18"/>
              </w:rPr>
              <w:t>Medium</w:t>
            </w:r>
          </w:p>
        </w:tc>
        <w:tc>
          <w:tcPr>
            <w:tcW w:type="dxa" w:w="4320"/>
            <w:vAlign w:val="center"/>
          </w:tcPr>
          <w:p>
            <w:r/>
            <w:r>
              <w:rPr>
                <w:rFonts w:ascii="Aptos" w:hAnsi="Aptos"/>
                <w:b w:val="0"/>
                <w:sz w:val="18"/>
              </w:rPr>
              <w:t>Use public human-created data for primary claims; synthetic data only for controlled stress tests.</w:t>
            </w:r>
          </w:p>
        </w:tc>
      </w:tr>
      <w:tr>
        <w:tc>
          <w:tcPr>
            <w:tcW w:type="dxa" w:w="2880"/>
            <w:vAlign w:val="center"/>
          </w:tcPr>
          <w:p>
            <w:r/>
            <w:r>
              <w:rPr>
                <w:rFonts w:ascii="Aptos" w:hAnsi="Aptos"/>
                <w:b w:val="0"/>
                <w:sz w:val="18"/>
              </w:rPr>
              <w:t>Novelty overlap discovered late</w:t>
            </w:r>
          </w:p>
        </w:tc>
        <w:tc>
          <w:tcPr>
            <w:tcW w:type="dxa" w:w="1296"/>
            <w:vAlign w:val="center"/>
          </w:tcPr>
          <w:p>
            <w:r/>
            <w:r>
              <w:rPr>
                <w:rFonts w:ascii="Aptos" w:hAnsi="Aptos"/>
                <w:b w:val="0"/>
                <w:sz w:val="18"/>
              </w:rPr>
              <w:t>Medium</w:t>
            </w:r>
          </w:p>
        </w:tc>
        <w:tc>
          <w:tcPr>
            <w:tcW w:type="dxa" w:w="1152"/>
            <w:vAlign w:val="center"/>
          </w:tcPr>
          <w:p>
            <w:r/>
            <w:r>
              <w:rPr>
                <w:rFonts w:ascii="Aptos" w:hAnsi="Aptos"/>
                <w:b w:val="0"/>
                <w:sz w:val="18"/>
              </w:rPr>
              <w:t>High</w:t>
            </w:r>
          </w:p>
        </w:tc>
        <w:tc>
          <w:tcPr>
            <w:tcW w:type="dxa" w:w="4320"/>
            <w:vAlign w:val="center"/>
          </w:tcPr>
          <w:p>
            <w:r/>
            <w:r>
              <w:rPr>
                <w:rFonts w:ascii="Aptos" w:hAnsi="Aptos"/>
                <w:b w:val="0"/>
                <w:sz w:val="18"/>
              </w:rPr>
              <w:t>Run regular literature searches and maintain a novelty matrix; revise the contribution early.</w:t>
            </w:r>
          </w:p>
        </w:tc>
      </w:tr>
    </w:tbl>
    <w:p/>
    <w:p>
      <w:pPr>
        <w:pStyle w:val="Heading1"/>
      </w:pPr>
      <w:r>
        <w:t>20. Research Artifacts to Produce</w:t>
      </w:r>
    </w:p>
    <w:p>
      <w:r>
        <w:t>The project should leave a research trail, not just a PDF. The repository should contain a README, environment specification, dataset acquisition scripts or documented dataset references, preprocessing code, model/config files, experiment registry, routing implementations, analysis notebooks or scripts, figure-generation scripts, and a final results manifest. Every main paper number should map to a reproducible command or logged experiment.</w:t>
      </w:r>
    </w:p>
    <w:tbl>
      <w:tblPr>
        <w:tblStyle w:val="TableGrid"/>
        <w:tblW w:type="auto" w:w="0"/>
        <w:jc w:val="center"/>
        <w:tblLook w:firstColumn="1" w:firstRow="1" w:lastColumn="0" w:lastRow="0" w:noHBand="0" w:noVBand="1" w:val="04A0"/>
      </w:tblPr>
      <w:tblGrid>
        <w:gridCol w:w="4896"/>
        <w:gridCol w:w="4896"/>
      </w:tblGrid>
      <w:tr>
        <w:tc>
          <w:tcPr>
            <w:tcW w:type="dxa" w:w="2448"/>
            <w:vAlign w:val="center"/>
            <w:shd w:fill="DCE6F1"/>
          </w:tcPr>
          <w:p>
            <w:r/>
            <w:r>
              <w:rPr>
                <w:rFonts w:ascii="Aptos" w:hAnsi="Aptos"/>
                <w:b/>
                <w:sz w:val="18"/>
              </w:rPr>
              <w:t>Artifact</w:t>
            </w:r>
          </w:p>
        </w:tc>
        <w:tc>
          <w:tcPr>
            <w:tcW w:type="dxa" w:w="7200"/>
            <w:vAlign w:val="center"/>
            <w:shd w:fill="DCE6F1"/>
          </w:tcPr>
          <w:p>
            <w:r/>
            <w:r>
              <w:rPr>
                <w:rFonts w:ascii="Aptos" w:hAnsi="Aptos"/>
                <w:b/>
                <w:sz w:val="18"/>
              </w:rPr>
              <w:t>Purpose</w:t>
            </w:r>
          </w:p>
        </w:tc>
      </w:tr>
      <w:tr>
        <w:tc>
          <w:tcPr>
            <w:tcW w:type="dxa" w:w="2448"/>
            <w:vAlign w:val="center"/>
          </w:tcPr>
          <w:p>
            <w:r/>
            <w:r>
              <w:rPr>
                <w:rFonts w:ascii="Aptos" w:hAnsi="Aptos"/>
                <w:b w:val="0"/>
                <w:sz w:val="18"/>
              </w:rPr>
              <w:t>Research ledger</w:t>
            </w:r>
          </w:p>
        </w:tc>
        <w:tc>
          <w:tcPr>
            <w:tcW w:type="dxa" w:w="7200"/>
            <w:vAlign w:val="center"/>
          </w:tcPr>
          <w:p>
            <w:r/>
            <w:r>
              <w:rPr>
                <w:rFonts w:ascii="Aptos" w:hAnsi="Aptos"/>
                <w:b w:val="0"/>
                <w:sz w:val="18"/>
              </w:rPr>
              <w:t>Living log of hypotheses, experiments, decisions, and failed attempts.</w:t>
            </w:r>
          </w:p>
        </w:tc>
      </w:tr>
      <w:tr>
        <w:tc>
          <w:tcPr>
            <w:tcW w:type="dxa" w:w="2448"/>
            <w:vAlign w:val="center"/>
          </w:tcPr>
          <w:p>
            <w:r/>
            <w:r>
              <w:rPr>
                <w:rFonts w:ascii="Aptos" w:hAnsi="Aptos"/>
                <w:b w:val="0"/>
                <w:sz w:val="18"/>
              </w:rPr>
              <w:t>Literature matrix</w:t>
            </w:r>
          </w:p>
        </w:tc>
        <w:tc>
          <w:tcPr>
            <w:tcW w:type="dxa" w:w="7200"/>
            <w:vAlign w:val="center"/>
          </w:tcPr>
          <w:p>
            <w:r/>
            <w:r>
              <w:rPr>
                <w:rFonts w:ascii="Aptos" w:hAnsi="Aptos"/>
                <w:b w:val="0"/>
                <w:sz w:val="18"/>
              </w:rPr>
              <w:t>Paper, problem, method, data, result, novelty relation, implementation availability.</w:t>
            </w:r>
          </w:p>
        </w:tc>
      </w:tr>
      <w:tr>
        <w:tc>
          <w:tcPr>
            <w:tcW w:type="dxa" w:w="2448"/>
            <w:vAlign w:val="center"/>
          </w:tcPr>
          <w:p>
            <w:r/>
            <w:r>
              <w:rPr>
                <w:rFonts w:ascii="Aptos" w:hAnsi="Aptos"/>
                <w:b w:val="0"/>
                <w:sz w:val="18"/>
              </w:rPr>
              <w:t>Experiment registry</w:t>
            </w:r>
          </w:p>
        </w:tc>
        <w:tc>
          <w:tcPr>
            <w:tcW w:type="dxa" w:w="7200"/>
            <w:vAlign w:val="center"/>
          </w:tcPr>
          <w:p>
            <w:r/>
            <w:r>
              <w:rPr>
                <w:rFonts w:ascii="Aptos" w:hAnsi="Aptos"/>
                <w:b w:val="0"/>
                <w:sz w:val="18"/>
              </w:rPr>
              <w:t>Immutable ID, config, seed, model, dataset, budget, metrics.</w:t>
            </w:r>
          </w:p>
        </w:tc>
      </w:tr>
      <w:tr>
        <w:tc>
          <w:tcPr>
            <w:tcW w:type="dxa" w:w="2448"/>
            <w:vAlign w:val="center"/>
          </w:tcPr>
          <w:p>
            <w:r/>
            <w:r>
              <w:rPr>
                <w:rFonts w:ascii="Aptos" w:hAnsi="Aptos"/>
                <w:b w:val="0"/>
                <w:sz w:val="18"/>
              </w:rPr>
              <w:t>Analysis package</w:t>
            </w:r>
          </w:p>
        </w:tc>
        <w:tc>
          <w:tcPr>
            <w:tcW w:type="dxa" w:w="7200"/>
            <w:vAlign w:val="center"/>
          </w:tcPr>
          <w:p>
            <w:r/>
            <w:r>
              <w:rPr>
                <w:rFonts w:ascii="Aptos" w:hAnsi="Aptos"/>
                <w:b w:val="0"/>
                <w:sz w:val="18"/>
              </w:rPr>
              <w:t>Representation extraction, statistics, routing, plots, tables.</w:t>
            </w:r>
          </w:p>
        </w:tc>
      </w:tr>
      <w:tr>
        <w:tc>
          <w:tcPr>
            <w:tcW w:type="dxa" w:w="2448"/>
            <w:vAlign w:val="center"/>
          </w:tcPr>
          <w:p>
            <w:r/>
            <w:r>
              <w:rPr>
                <w:rFonts w:ascii="Aptos" w:hAnsi="Aptos"/>
                <w:b w:val="0"/>
                <w:sz w:val="18"/>
              </w:rPr>
              <w:t>Reproducibility package</w:t>
            </w:r>
          </w:p>
        </w:tc>
        <w:tc>
          <w:tcPr>
            <w:tcW w:type="dxa" w:w="7200"/>
            <w:vAlign w:val="center"/>
          </w:tcPr>
          <w:p>
            <w:r/>
            <w:r>
              <w:rPr>
                <w:rFonts w:ascii="Aptos" w:hAnsi="Aptos"/>
                <w:b w:val="0"/>
                <w:sz w:val="18"/>
              </w:rPr>
              <w:t>Pinned environment and end-to-end reproduction instructions.</w:t>
            </w:r>
          </w:p>
        </w:tc>
      </w:tr>
      <w:tr>
        <w:tc>
          <w:tcPr>
            <w:tcW w:type="dxa" w:w="2448"/>
            <w:vAlign w:val="center"/>
          </w:tcPr>
          <w:p>
            <w:r/>
            <w:r>
              <w:rPr>
                <w:rFonts w:ascii="Aptos" w:hAnsi="Aptos"/>
                <w:b w:val="0"/>
                <w:sz w:val="18"/>
              </w:rPr>
              <w:t>Preprint</w:t>
            </w:r>
          </w:p>
        </w:tc>
        <w:tc>
          <w:tcPr>
            <w:tcW w:type="dxa" w:w="7200"/>
            <w:vAlign w:val="center"/>
          </w:tcPr>
          <w:p>
            <w:r/>
            <w:r>
              <w:rPr>
                <w:rFonts w:ascii="Aptos" w:hAnsi="Aptos"/>
                <w:b w:val="0"/>
                <w:sz w:val="18"/>
              </w:rPr>
              <w:t>Paper with appendix, limitations, data/ethics statement, and reproducibility information.</w:t>
            </w:r>
          </w:p>
        </w:tc>
      </w:tr>
    </w:tbl>
    <w:p/>
    <w:p>
      <w:pPr>
        <w:pStyle w:val="Heading1"/>
      </w:pPr>
      <w:r>
        <w:t>21. Planned Paper Structure</w:t>
      </w:r>
    </w:p>
    <w:p>
      <w:r>
        <w:t>1. Introduction: fixed-compute inference and the problem of conditional computation. 2. Background and related work: adaptive inference, multilingual representation analysis, African NLP. 3. Research question and hypotheses. 4. Experimental setup and compute budgets. 5. Representation phenomenon. 6. From representation to difficulty prediction. 7. Adaptive routing method. 8. Main results and accuracy-compute frontier. 9. Generalization and robustness. 10. Failure modes and limitations. 11. Discussion and implications for efficient multilingual AI. 12. Conclusion.</w:t>
      </w:r>
    </w:p>
    <w:p>
      <w:pPr>
        <w:pStyle w:val="Heading1"/>
      </w:pPr>
      <w:r>
        <w:t>22. Final Research Success Condition</w:t>
      </w:r>
    </w:p>
    <w:p>
      <w:r>
        <w:t>At the end of the sprint, success means we can answer the following without hand-waving: What exactly did we discover? Why should anyone believe it? How large is the effect? Does it survive strong baselines and confounder controls? Does it generalize beyond one language or checkpoint? How much computation does it save? When does it fail? What new research question does the result open?</w:t>
      </w:r>
    </w:p>
    <w:p>
      <w:r>
        <w:t>The ideal outcome is a paper whose central claim is small enough to be defensible but general enough to matter beyond one benchmark. The project should aim to add one useful piece of knowledge to the broader study of conditional computation in AI, with African multilingual NLP serving as a scientifically valuable environment in which to expose that structure.</w:t>
      </w:r>
    </w:p>
    <w:p>
      <w:pPr>
        <w:pStyle w:val="Heading1"/>
      </w:pPr>
      <w:r>
        <w:t>23. Initial Literature Anchors</w:t>
      </w:r>
    </w:p>
    <w:p>
      <w:pPr>
        <w:pStyle w:val="ListBullet"/>
      </w:pPr>
      <w:r>
        <w:t>Tiwari et al. (2026), “Sample-Size Scaling of the African Languages NLI Evaluation,” AfricaNLP 2026 / ACL Anthology. Reports language-sensitive and often non-monotonic scaling on AfriXNLI. https://aclanthology.org/2026.africanlp-main.22/</w:t>
      </w:r>
    </w:p>
    <w:p>
      <w:pPr>
        <w:pStyle w:val="ListBullet"/>
      </w:pPr>
      <w:r>
        <w:t>Ari et al./related adaptive inference literature: early-exit and adaptive-computation methods in neural NLP and multilingual modeling. These establish that conditional compute is a known problem; novelty must therefore come from the difficulty signal, domain, analysis, or demonstrated generalization.</w:t>
      </w:r>
    </w:p>
    <w:p>
      <w:pPr>
        <w:pStyle w:val="ListBullet"/>
      </w:pPr>
      <w:r>
        <w:t>Zhai et al. (2026), “Adaptive Test-Time Compute Allocation for Reasoning LLMs via Constrained Policy Optimization.” arXiv:2604.14853. Formalizes per-input compute allocation under a budget, making it a mandatory novelty check for the project. https://arxiv.org/abs/2604.14853</w:t>
      </w:r>
    </w:p>
    <w:p>
      <w:pPr>
        <w:pStyle w:val="ListBullet"/>
      </w:pPr>
      <w:r>
        <w:t>IrokoBench (2025), “A New Benchmark for African Languages in the Age of Large Language Models.” NAACL 2025. Establishes broader multilingual African-language evaluation and observed performance gaps. https://aclanthology.org/2025.naacl-long.139/</w:t>
      </w:r>
    </w:p>
    <w:p>
      <w:pPr>
        <w:pStyle w:val="ListBullet"/>
      </w:pPr>
      <w:r>
        <w:t>Issaka et al. (2026), “The African Languages Lab: A Collaborative Approach to Advancing Low-Resource African NLP.” ACL 2026. Important context on current African-language model/data development and the role of data scarcity. https://aclanthology.org/2026.acl-long.1965/</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Adaptive Computation for Low-Resource African NLP — Research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