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Metodología OSINT — QEM Lab Corp</w:t>
      </w:r>
    </w:p>
    <w:p>
      <w:r>
        <w:t>Documento metodológico sintético creado para el benchmark QEM de herramientas OSINT.</w:t>
      </w:r>
    </w:p>
    <w:p>
      <w:r>
        <w:t>Organización: QEM Lab Corp</w:t>
      </w:r>
    </w:p>
    <w:p>
      <w:r>
        <w:t>Author: qemlabcorp@outlook.es</w:t>
      </w:r>
    </w:p>
    <w:p>
      <w:r>
        <w:t>Universidad Camilo José Cela — TFM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 OSINT — QEM Lab Corp</dc:title>
  <dc:subject>OSINT Benchmark QEM</dc:subject>
  <dc:creator>qemlabcorp@outlook.es</dc:creator>
  <cp:keywords>OSINT, QEM, benchmark, qemlabcorp@outlook.es</cp:keywords>
  <dc:description>Documento sintético para TFM UCJC 2025</dc:description>
  <cp:lastModifiedBy>QEM Lab Corp</cp:lastModifiedBy>
  <cp:revision>1</cp:revision>
  <dcterms:created xsi:type="dcterms:W3CDTF">2026-05-30T22:42:47Z</dcterms:created>
  <dcterms:modified xsi:type="dcterms:W3CDTF">2026-05-30T22:42:47Z</dcterms:modified>
  <cp:category>Research</cp:category>
</cp:coreProperties>
</file>