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0F" w:rsidRDefault="006831AB" w:rsidP="00FB5B0E">
      <w:pPr>
        <w:jc w:val="center"/>
      </w:pPr>
      <w:r w:rsidRPr="006831AB">
        <w:rPr>
          <w:b/>
          <w:sz w:val="28"/>
          <w:szCs w:val="28"/>
        </w:rPr>
        <w:t>Finext Risk Producten Bouwsector (versie 0.1)</w:t>
      </w:r>
      <w:r w:rsidR="00FB5B0E">
        <w:rPr>
          <w:b/>
          <w:sz w:val="28"/>
          <w:szCs w:val="28"/>
        </w:rPr>
        <w:br/>
      </w:r>
    </w:p>
    <w:p w:rsidR="001861BE" w:rsidRDefault="00377868" w:rsidP="00FF6EAD">
      <w:pPr>
        <w:pStyle w:val="ListParagraph"/>
        <w:numPr>
          <w:ilvl w:val="0"/>
          <w:numId w:val="2"/>
        </w:numPr>
      </w:pPr>
      <w:r>
        <w:t>Welke producten gaan we leveren in de bouwsector?</w:t>
      </w:r>
    </w:p>
    <w:p w:rsidR="00FF6EAD" w:rsidRDefault="00FF6EAD" w:rsidP="00FF6EAD">
      <w:pPr>
        <w:pStyle w:val="ListParagraph"/>
        <w:numPr>
          <w:ilvl w:val="0"/>
          <w:numId w:val="2"/>
        </w:numPr>
      </w:pPr>
      <w:r>
        <w:t>Voor welke doelgroep precies?</w:t>
      </w:r>
    </w:p>
    <w:p w:rsidR="00377868" w:rsidRDefault="00377868" w:rsidP="00FF6EAD">
      <w:pPr>
        <w:pStyle w:val="ListParagraph"/>
        <w:numPr>
          <w:ilvl w:val="0"/>
          <w:numId w:val="2"/>
        </w:numPr>
      </w:pPr>
      <w:r>
        <w:t>Wat is de t</w:t>
      </w:r>
      <w:r w:rsidR="00FF6EAD">
        <w:t xml:space="preserve">oegevoegde waarde voor </w:t>
      </w:r>
      <w:proofErr w:type="gramStart"/>
      <w:r w:rsidR="00FF6EAD">
        <w:t>de</w:t>
      </w:r>
      <w:proofErr w:type="gramEnd"/>
      <w:r w:rsidR="00FF6EAD">
        <w:t xml:space="preserve"> klant/welk probleem lossen we op?</w:t>
      </w:r>
    </w:p>
    <w:p w:rsidR="00377868" w:rsidRDefault="00377868" w:rsidP="00FF6EAD">
      <w:pPr>
        <w:pStyle w:val="ListParagraph"/>
        <w:numPr>
          <w:ilvl w:val="0"/>
          <w:numId w:val="2"/>
        </w:numPr>
      </w:pPr>
      <w:r>
        <w:t>Wat is er voor nodig om het verder te ontwikkelen?</w:t>
      </w:r>
    </w:p>
    <w:p w:rsidR="008F4882" w:rsidRDefault="008F4882" w:rsidP="00FF6EAD">
      <w:pPr>
        <w:pStyle w:val="ListParagraph"/>
        <w:numPr>
          <w:ilvl w:val="0"/>
          <w:numId w:val="2"/>
        </w:numPr>
      </w:pPr>
      <w:r>
        <w:t>Verdienmodel, kosten/opbrengsten</w:t>
      </w:r>
    </w:p>
    <w:p w:rsidR="00377868" w:rsidRDefault="008F4882" w:rsidP="00FF6EAD">
      <w:pPr>
        <w:pStyle w:val="ListParagraph"/>
        <w:numPr>
          <w:ilvl w:val="0"/>
          <w:numId w:val="2"/>
        </w:numPr>
      </w:pPr>
      <w:r>
        <w:t>Hoe zetten we het in de markt?</w:t>
      </w:r>
    </w:p>
    <w:p w:rsidR="008F4882" w:rsidRDefault="008F4882" w:rsidP="008F4882">
      <w:pPr>
        <w:pStyle w:val="ListParagraph"/>
      </w:pPr>
    </w:p>
    <w:tbl>
      <w:tblPr>
        <w:tblStyle w:val="LightShading"/>
        <w:tblW w:w="13291" w:type="dxa"/>
        <w:tblLook w:val="04A0"/>
      </w:tblPr>
      <w:tblGrid>
        <w:gridCol w:w="3038"/>
        <w:gridCol w:w="2164"/>
        <w:gridCol w:w="2813"/>
        <w:gridCol w:w="2074"/>
        <w:gridCol w:w="1729"/>
        <w:gridCol w:w="1473"/>
      </w:tblGrid>
      <w:tr w:rsidR="00D82305" w:rsidTr="002770C6">
        <w:trPr>
          <w:cnfStyle w:val="100000000000"/>
        </w:trPr>
        <w:tc>
          <w:tcPr>
            <w:cnfStyle w:val="001000000000"/>
            <w:tcW w:w="3038" w:type="dxa"/>
          </w:tcPr>
          <w:p w:rsidR="008F4882" w:rsidRDefault="008F4882" w:rsidP="00C9451D">
            <w:r>
              <w:t>Product</w:t>
            </w:r>
          </w:p>
        </w:tc>
        <w:tc>
          <w:tcPr>
            <w:tcW w:w="2164" w:type="dxa"/>
          </w:tcPr>
          <w:p w:rsidR="008F4882" w:rsidRDefault="008F4882" w:rsidP="00C9451D">
            <w:pPr>
              <w:cnfStyle w:val="100000000000"/>
            </w:pPr>
            <w:r>
              <w:t>Voor wie</w:t>
            </w:r>
          </w:p>
        </w:tc>
        <w:tc>
          <w:tcPr>
            <w:tcW w:w="2813" w:type="dxa"/>
          </w:tcPr>
          <w:p w:rsidR="008F4882" w:rsidRDefault="008F4882" w:rsidP="00C9451D">
            <w:pPr>
              <w:cnfStyle w:val="100000000000"/>
            </w:pPr>
            <w:r>
              <w:t>Toegevoegde waarde klant</w:t>
            </w:r>
          </w:p>
        </w:tc>
        <w:tc>
          <w:tcPr>
            <w:tcW w:w="2074" w:type="dxa"/>
          </w:tcPr>
          <w:p w:rsidR="008F4882" w:rsidRDefault="008F4882" w:rsidP="00C9451D">
            <w:pPr>
              <w:cnfStyle w:val="100000000000"/>
            </w:pPr>
            <w:r>
              <w:t>Verder ontwikkelen?</w:t>
            </w:r>
          </w:p>
        </w:tc>
        <w:tc>
          <w:tcPr>
            <w:tcW w:w="1729" w:type="dxa"/>
          </w:tcPr>
          <w:p w:rsidR="008F4882" w:rsidRDefault="008F4882" w:rsidP="00C9451D">
            <w:pPr>
              <w:cnfStyle w:val="100000000000"/>
            </w:pPr>
            <w:r>
              <w:t>Verdienmodel</w:t>
            </w:r>
          </w:p>
        </w:tc>
        <w:tc>
          <w:tcPr>
            <w:tcW w:w="1473" w:type="dxa"/>
          </w:tcPr>
          <w:p w:rsidR="008F4882" w:rsidRDefault="008F4882" w:rsidP="00C9451D">
            <w:pPr>
              <w:cnfStyle w:val="100000000000"/>
            </w:pPr>
            <w:r>
              <w:t>Hoe in de markt?</w:t>
            </w:r>
          </w:p>
        </w:tc>
      </w:tr>
      <w:tr w:rsidR="006269B2" w:rsidTr="00B570EC">
        <w:trPr>
          <w:cnfStyle w:val="000000100000"/>
        </w:trPr>
        <w:tc>
          <w:tcPr>
            <w:cnfStyle w:val="001000000000"/>
            <w:tcW w:w="13291" w:type="dxa"/>
            <w:gridSpan w:val="6"/>
          </w:tcPr>
          <w:p w:rsidR="006269B2" w:rsidRDefault="006269B2" w:rsidP="006269B2">
            <w:pPr>
              <w:jc w:val="center"/>
            </w:pPr>
            <w:r w:rsidRPr="002770C6">
              <w:rPr>
                <w:sz w:val="32"/>
                <w:szCs w:val="32"/>
              </w:rPr>
              <w:t xml:space="preserve">Producten/diensten </w:t>
            </w:r>
            <w:r>
              <w:rPr>
                <w:sz w:val="32"/>
                <w:szCs w:val="32"/>
              </w:rPr>
              <w:t>specifiek voor</w:t>
            </w:r>
            <w:r w:rsidRPr="002770C6">
              <w:rPr>
                <w:sz w:val="32"/>
                <w:szCs w:val="32"/>
              </w:rPr>
              <w:t xml:space="preserve"> de bouwbranche</w:t>
            </w:r>
          </w:p>
        </w:tc>
      </w:tr>
      <w:tr w:rsidR="004C065B" w:rsidTr="002770C6">
        <w:tc>
          <w:tcPr>
            <w:cnfStyle w:val="001000000000"/>
            <w:tcW w:w="3038" w:type="dxa"/>
          </w:tcPr>
          <w:p w:rsidR="006831AB" w:rsidRDefault="006831AB" w:rsidP="00964222">
            <w:r>
              <w:t>1)</w:t>
            </w:r>
            <w:r>
              <w:t>audit naar kwaliteit regievoering</w:t>
            </w:r>
          </w:p>
        </w:tc>
        <w:tc>
          <w:tcPr>
            <w:tcW w:w="2164" w:type="dxa"/>
          </w:tcPr>
          <w:p w:rsidR="006831AB" w:rsidRDefault="006831AB" w:rsidP="00964222">
            <w:pPr>
              <w:cnfStyle w:val="000000000000"/>
            </w:pPr>
            <w:r>
              <w:t xml:space="preserve">Management divisies en grote </w:t>
            </w:r>
            <w:proofErr w:type="spellStart"/>
            <w:r>
              <w:t>werkmaat-schappijen</w:t>
            </w:r>
            <w:proofErr w:type="spellEnd"/>
            <w:r>
              <w:t>,</w:t>
            </w:r>
          </w:p>
          <w:p w:rsidR="006831AB" w:rsidRPr="00DE66FC" w:rsidRDefault="006831AB" w:rsidP="00964222">
            <w:pPr>
              <w:cnfStyle w:val="000000000000"/>
            </w:pPr>
            <w:r>
              <w:t>(divisie)controllers</w:t>
            </w:r>
          </w:p>
        </w:tc>
        <w:tc>
          <w:tcPr>
            <w:tcW w:w="2813" w:type="dxa"/>
          </w:tcPr>
          <w:p w:rsidR="006831AB" w:rsidRDefault="006831AB" w:rsidP="00964222">
            <w:pPr>
              <w:cnfStyle w:val="000000000000"/>
            </w:pPr>
            <w:r>
              <w:t xml:space="preserve">Kwaliteit risicobeheersing (m.n. </w:t>
            </w:r>
            <w:proofErr w:type="gramStart"/>
            <w:r>
              <w:t xml:space="preserve">regievoering)  </w:t>
            </w:r>
            <w:proofErr w:type="gramEnd"/>
            <w:r>
              <w:t>wordt gunfactor &gt; grotere kans op gunning;</w:t>
            </w:r>
          </w:p>
          <w:p w:rsidR="006831AB" w:rsidRDefault="006831AB" w:rsidP="00964222">
            <w:pPr>
              <w:cnfStyle w:val="000000000000"/>
            </w:pPr>
            <w:r>
              <w:t>Minder verrassingen, zicht op kwaliteit onderaannemers;</w:t>
            </w:r>
          </w:p>
          <w:p w:rsidR="006831AB" w:rsidRDefault="006831AB" w:rsidP="00964222">
            <w:pPr>
              <w:cnfStyle w:val="000000000000"/>
            </w:pPr>
            <w:r>
              <w:t>Risico’s helder bij allianties;</w:t>
            </w:r>
          </w:p>
          <w:p w:rsidR="006831AB" w:rsidRDefault="006831AB" w:rsidP="00964222">
            <w:pPr>
              <w:cnfStyle w:val="000000000000"/>
            </w:pPr>
            <w:r>
              <w:t>Zicht op betrouwbare informatievoorziening bij allianties</w:t>
            </w:r>
            <w:r w:rsidR="00D82305">
              <w:t xml:space="preserve"> en andere samenwerkingsverbanden</w:t>
            </w:r>
          </w:p>
        </w:tc>
        <w:tc>
          <w:tcPr>
            <w:tcW w:w="2074" w:type="dxa"/>
          </w:tcPr>
          <w:p w:rsidR="006831AB" w:rsidRDefault="006269B2" w:rsidP="00964222">
            <w:pPr>
              <w:cnfStyle w:val="000000000000"/>
            </w:pPr>
            <w:r>
              <w:t>Business model</w:t>
            </w:r>
            <w:r w:rsidR="006831AB">
              <w:t xml:space="preserve"> nog bepalen. Klant kan ook opdrachtgever zijn. Gesprek met RWS wordt gepland, idem </w:t>
            </w:r>
            <w:proofErr w:type="spellStart"/>
            <w:proofErr w:type="gramStart"/>
            <w:r w:rsidR="006831AB">
              <w:t>Heijmans</w:t>
            </w:r>
            <w:proofErr w:type="spellEnd"/>
            <w:r w:rsidR="006831AB">
              <w:t xml:space="preserve">.  </w:t>
            </w:r>
            <w:proofErr w:type="gramEnd"/>
            <w:r w:rsidR="006831AB">
              <w:t xml:space="preserve">toetsingskader opdrachtgever kennen, </w:t>
            </w:r>
            <w:proofErr w:type="spellStart"/>
            <w:r w:rsidR="006831AB">
              <w:t>kpi’s</w:t>
            </w:r>
            <w:proofErr w:type="spellEnd"/>
            <w:r w:rsidR="006831AB">
              <w:t xml:space="preserve"> vaststellen en klant processen analyseren, </w:t>
            </w:r>
            <w:proofErr w:type="spellStart"/>
            <w:r w:rsidR="006831AB">
              <w:t>auditplan</w:t>
            </w:r>
            <w:proofErr w:type="spellEnd"/>
            <w:r w:rsidR="006831AB">
              <w:t xml:space="preserve"> maken. Inzet </w:t>
            </w:r>
            <w:proofErr w:type="spellStart"/>
            <w:r w:rsidR="006831AB">
              <w:t>RiskID</w:t>
            </w:r>
            <w:proofErr w:type="spellEnd"/>
            <w:r w:rsidR="006831AB">
              <w:t xml:space="preserve"> onderzoeken.</w:t>
            </w:r>
          </w:p>
        </w:tc>
        <w:tc>
          <w:tcPr>
            <w:tcW w:w="1729" w:type="dxa"/>
          </w:tcPr>
          <w:p w:rsidR="006831AB" w:rsidRPr="00DE66FC" w:rsidRDefault="006269B2" w:rsidP="00964222">
            <w:pPr>
              <w:cnfStyle w:val="000000000000"/>
            </w:pPr>
            <w:r>
              <w:t>Afhankelijk van business model</w:t>
            </w:r>
          </w:p>
        </w:tc>
        <w:tc>
          <w:tcPr>
            <w:tcW w:w="1473" w:type="dxa"/>
          </w:tcPr>
          <w:p w:rsidR="006831AB" w:rsidRPr="00DE66FC" w:rsidRDefault="006831AB" w:rsidP="00964222">
            <w:pPr>
              <w:cnfStyle w:val="000000000000"/>
            </w:pPr>
            <w:r>
              <w:t>Interviews, artikel schrijven, onderdeel ronde tafel april</w:t>
            </w:r>
          </w:p>
        </w:tc>
      </w:tr>
      <w:tr w:rsidR="00D82305" w:rsidRPr="00DE66FC" w:rsidTr="002770C6">
        <w:trPr>
          <w:cnfStyle w:val="000000100000"/>
        </w:trPr>
        <w:tc>
          <w:tcPr>
            <w:cnfStyle w:val="001000000000"/>
            <w:tcW w:w="3038" w:type="dxa"/>
          </w:tcPr>
          <w:p w:rsidR="006831AB" w:rsidRDefault="006831AB" w:rsidP="00964222">
            <w:r>
              <w:t>2)</w:t>
            </w:r>
            <w:r>
              <w:t>Adviseren/</w:t>
            </w:r>
          </w:p>
          <w:p w:rsidR="006831AB" w:rsidRDefault="006831AB" w:rsidP="00964222">
            <w:proofErr w:type="gramStart"/>
            <w:r>
              <w:t xml:space="preserve">implementeren  </w:t>
            </w:r>
            <w:proofErr w:type="gramEnd"/>
            <w:r>
              <w:t>over verbetering regievoering</w:t>
            </w:r>
          </w:p>
          <w:p w:rsidR="00FB5B0E" w:rsidRDefault="00FB5B0E" w:rsidP="00964222"/>
        </w:tc>
        <w:tc>
          <w:tcPr>
            <w:tcW w:w="2164" w:type="dxa"/>
          </w:tcPr>
          <w:p w:rsidR="006831AB" w:rsidRDefault="006831AB" w:rsidP="00964222">
            <w:pPr>
              <w:cnfStyle w:val="000000100000"/>
            </w:pPr>
            <w:r>
              <w:t>Zie hierboven</w:t>
            </w:r>
          </w:p>
        </w:tc>
        <w:tc>
          <w:tcPr>
            <w:tcW w:w="2813" w:type="dxa"/>
          </w:tcPr>
          <w:p w:rsidR="006831AB" w:rsidRDefault="006831AB" w:rsidP="00964222">
            <w:pPr>
              <w:cnfStyle w:val="000000100000"/>
            </w:pPr>
            <w:r>
              <w:t>Zie hierboven</w:t>
            </w:r>
          </w:p>
        </w:tc>
        <w:tc>
          <w:tcPr>
            <w:tcW w:w="2074" w:type="dxa"/>
          </w:tcPr>
          <w:p w:rsidR="006831AB" w:rsidRDefault="006831AB" w:rsidP="00964222">
            <w:pPr>
              <w:cnfStyle w:val="000000100000"/>
            </w:pPr>
            <w:r>
              <w:t>Zie hierboven</w:t>
            </w:r>
          </w:p>
        </w:tc>
        <w:tc>
          <w:tcPr>
            <w:tcW w:w="1729" w:type="dxa"/>
          </w:tcPr>
          <w:p w:rsidR="006831AB" w:rsidRPr="00DE66FC" w:rsidRDefault="006831AB" w:rsidP="00964222">
            <w:pPr>
              <w:cnfStyle w:val="000000100000"/>
            </w:pPr>
            <w:r>
              <w:t>Uren x tarief</w:t>
            </w:r>
          </w:p>
        </w:tc>
        <w:tc>
          <w:tcPr>
            <w:tcW w:w="1473" w:type="dxa"/>
          </w:tcPr>
          <w:p w:rsidR="006831AB" w:rsidRPr="00DE66FC" w:rsidRDefault="006831AB" w:rsidP="00964222">
            <w:pPr>
              <w:cnfStyle w:val="000000100000"/>
            </w:pPr>
            <w:r>
              <w:t>Zie hierboven</w:t>
            </w:r>
          </w:p>
        </w:tc>
      </w:tr>
      <w:tr w:rsidR="004C065B" w:rsidRPr="00DE66FC" w:rsidTr="002770C6">
        <w:tc>
          <w:tcPr>
            <w:cnfStyle w:val="001000000000"/>
            <w:tcW w:w="3038" w:type="dxa"/>
          </w:tcPr>
          <w:p w:rsidR="006831AB" w:rsidRPr="00320047" w:rsidRDefault="006831AB" w:rsidP="00964222">
            <w:r>
              <w:lastRenderedPageBreak/>
              <w:t>3)</w:t>
            </w:r>
            <w:proofErr w:type="spellStart"/>
            <w:r w:rsidRPr="00320047">
              <w:t>Riskassessments</w:t>
            </w:r>
            <w:proofErr w:type="spellEnd"/>
            <w:r w:rsidR="00D82305">
              <w:t xml:space="preserve"> </w:t>
            </w:r>
            <w:r w:rsidRPr="00320047">
              <w:t>bedrijfsbreed</w:t>
            </w:r>
          </w:p>
        </w:tc>
        <w:tc>
          <w:tcPr>
            <w:tcW w:w="2164" w:type="dxa"/>
          </w:tcPr>
          <w:p w:rsidR="006831AB" w:rsidRPr="0025323D" w:rsidRDefault="006831AB" w:rsidP="00964222">
            <w:pPr>
              <w:cnfStyle w:val="000000000000"/>
            </w:pPr>
            <w:proofErr w:type="gramStart"/>
            <w:r w:rsidRPr="0025323D">
              <w:t xml:space="preserve">Management  </w:t>
            </w:r>
            <w:proofErr w:type="gramEnd"/>
            <w:r w:rsidRPr="0025323D">
              <w:t>van Ieder zelfstandig, rapporterend bedrijfsonderdeel</w:t>
            </w:r>
          </w:p>
        </w:tc>
        <w:tc>
          <w:tcPr>
            <w:tcW w:w="2813" w:type="dxa"/>
          </w:tcPr>
          <w:p w:rsidR="006831AB" w:rsidRDefault="006831AB" w:rsidP="00964222">
            <w:pPr>
              <w:cnfStyle w:val="000000000000"/>
            </w:pPr>
            <w:r>
              <w:t xml:space="preserve">Scherpere strategie en </w:t>
            </w:r>
            <w:proofErr w:type="gramStart"/>
            <w:r>
              <w:t>uitvoering ,</w:t>
            </w:r>
            <w:proofErr w:type="gramEnd"/>
            <w:r>
              <w:t xml:space="preserve"> versterking ondernemerschap, beter resultaat. </w:t>
            </w:r>
          </w:p>
          <w:p w:rsidR="002C23D3" w:rsidRPr="0025323D" w:rsidRDefault="002C23D3" w:rsidP="00964222">
            <w:pPr>
              <w:cnfStyle w:val="000000000000"/>
            </w:pPr>
            <w:r>
              <w:t xml:space="preserve">Inzet als </w:t>
            </w:r>
            <w:proofErr w:type="spellStart"/>
            <w:r>
              <w:t>SWOT-analyse</w:t>
            </w:r>
            <w:proofErr w:type="spellEnd"/>
            <w:r>
              <w:t>.</w:t>
            </w:r>
          </w:p>
        </w:tc>
        <w:tc>
          <w:tcPr>
            <w:tcW w:w="2074" w:type="dxa"/>
          </w:tcPr>
          <w:p w:rsidR="006831AB" w:rsidRDefault="006269B2" w:rsidP="00964222">
            <w:pPr>
              <w:cnfStyle w:val="000000000000"/>
            </w:pPr>
            <w:r>
              <w:t xml:space="preserve">Business case specifieker vanuit </w:t>
            </w:r>
            <w:r w:rsidR="009515A7">
              <w:t>divisie/cluster te benaderen.</w:t>
            </w:r>
          </w:p>
          <w:p w:rsidR="006831AB" w:rsidRPr="0025323D" w:rsidRDefault="006831AB" w:rsidP="00964222">
            <w:pPr>
              <w:cnfStyle w:val="000000000000"/>
            </w:pPr>
            <w:proofErr w:type="spellStart"/>
            <w:r>
              <w:t>RiskID</w:t>
            </w:r>
            <w:proofErr w:type="spellEnd"/>
            <w:r>
              <w:t xml:space="preserve"> inzet</w:t>
            </w:r>
            <w:r w:rsidR="009515A7">
              <w:t xml:space="preserve"> opnemen.</w:t>
            </w:r>
          </w:p>
        </w:tc>
        <w:tc>
          <w:tcPr>
            <w:tcW w:w="1729" w:type="dxa"/>
          </w:tcPr>
          <w:p w:rsidR="006831AB" w:rsidRPr="0025323D" w:rsidRDefault="006831AB" w:rsidP="00964222">
            <w:pPr>
              <w:cnfStyle w:val="000000000000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</w:p>
        </w:tc>
        <w:tc>
          <w:tcPr>
            <w:tcW w:w="1473" w:type="dxa"/>
          </w:tcPr>
          <w:p w:rsidR="006831AB" w:rsidRPr="0025323D" w:rsidRDefault="006831AB" w:rsidP="00964222">
            <w:pPr>
              <w:cnfStyle w:val="000000000000"/>
            </w:pPr>
            <w:r>
              <w:t>“</w:t>
            </w:r>
            <w:proofErr w:type="spellStart"/>
            <w:r>
              <w:t>Innovate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>” in Voorburg, of op locatie.</w:t>
            </w:r>
          </w:p>
        </w:tc>
      </w:tr>
      <w:tr w:rsidR="00D82305" w:rsidRPr="00DE66FC" w:rsidTr="002770C6">
        <w:trPr>
          <w:cnfStyle w:val="000000100000"/>
        </w:trPr>
        <w:tc>
          <w:tcPr>
            <w:cnfStyle w:val="001000000000"/>
            <w:tcW w:w="3038" w:type="dxa"/>
          </w:tcPr>
          <w:p w:rsidR="006831AB" w:rsidRPr="009515A7" w:rsidRDefault="006831AB" w:rsidP="00964222">
            <w:r w:rsidRPr="009515A7">
              <w:t>5)</w:t>
            </w:r>
            <w:proofErr w:type="spellStart"/>
            <w:r w:rsidRPr="009515A7">
              <w:t>Riskassessments</w:t>
            </w:r>
            <w:proofErr w:type="spellEnd"/>
          </w:p>
          <w:p w:rsidR="006831AB" w:rsidRPr="009515A7" w:rsidRDefault="006831AB" w:rsidP="00964222">
            <w:r w:rsidRPr="009515A7">
              <w:t>Projecten (RISMAN)</w:t>
            </w:r>
          </w:p>
        </w:tc>
        <w:tc>
          <w:tcPr>
            <w:tcW w:w="2164" w:type="dxa"/>
          </w:tcPr>
          <w:p w:rsidR="006831AB" w:rsidRDefault="006831AB" w:rsidP="00964222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Projectvoorbereiders</w:t>
            </w:r>
            <w:proofErr w:type="spellEnd"/>
            <w:r>
              <w:rPr>
                <w:lang w:val="en-US"/>
              </w:rPr>
              <w:t>,</w:t>
            </w:r>
          </w:p>
          <w:p w:rsidR="006831AB" w:rsidRPr="00E9716A" w:rsidRDefault="006831AB" w:rsidP="00964222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Projectleiders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projectcontrollers</w:t>
            </w:r>
            <w:proofErr w:type="spellEnd"/>
          </w:p>
        </w:tc>
        <w:tc>
          <w:tcPr>
            <w:tcW w:w="2813" w:type="dxa"/>
          </w:tcPr>
          <w:p w:rsidR="006831AB" w:rsidRDefault="006831AB" w:rsidP="00964222">
            <w:pPr>
              <w:cnfStyle w:val="000000100000"/>
            </w:pPr>
            <w:r w:rsidRPr="00743D9D">
              <w:t>Scherpere</w:t>
            </w:r>
            <w:r w:rsidRPr="00853C07">
              <w:t xml:space="preserve"> go/</w:t>
            </w:r>
            <w:proofErr w:type="spellStart"/>
            <w:r w:rsidRPr="00853C07">
              <w:t>no</w:t>
            </w:r>
            <w:proofErr w:type="spellEnd"/>
            <w:r w:rsidRPr="00853C07">
              <w:t xml:space="preserve"> go </w:t>
            </w:r>
            <w:proofErr w:type="gramStart"/>
            <w:r w:rsidRPr="00853C07">
              <w:t>info</w:t>
            </w:r>
            <w:proofErr w:type="gramEnd"/>
            <w:r w:rsidRPr="00853C07">
              <w:t xml:space="preserve"> en </w:t>
            </w:r>
            <w:r>
              <w:t xml:space="preserve">tijdige </w:t>
            </w:r>
            <w:r w:rsidRPr="00853C07">
              <w:t xml:space="preserve">beheersmaatregelen door </w:t>
            </w:r>
            <w:r>
              <w:t>inzicht in kans en impact risico’s;</w:t>
            </w:r>
          </w:p>
          <w:p w:rsidR="006831AB" w:rsidRPr="00853C07" w:rsidRDefault="006831AB" w:rsidP="00964222">
            <w:pPr>
              <w:cnfStyle w:val="000000100000"/>
            </w:pPr>
            <w:r>
              <w:t xml:space="preserve">Verlaging </w:t>
            </w:r>
            <w:proofErr w:type="spellStart"/>
            <w:r>
              <w:t>verzekerings</w:t>
            </w:r>
            <w:r w:rsidR="002C23D3">
              <w:t>-</w:t>
            </w:r>
            <w:r>
              <w:t>premies</w:t>
            </w:r>
            <w:proofErr w:type="spellEnd"/>
            <w:r>
              <w:t xml:space="preserve"> door betere </w:t>
            </w:r>
            <w:r w:rsidR="009515A7">
              <w:t>project</w:t>
            </w:r>
            <w:r>
              <w:t>beheersing</w:t>
            </w:r>
          </w:p>
        </w:tc>
        <w:tc>
          <w:tcPr>
            <w:tcW w:w="2074" w:type="dxa"/>
          </w:tcPr>
          <w:p w:rsidR="006831AB" w:rsidRPr="00853C07" w:rsidRDefault="006831AB" w:rsidP="00964222">
            <w:pPr>
              <w:cnfStyle w:val="000000100000"/>
            </w:pPr>
            <w:r>
              <w:t xml:space="preserve">Risk ID is gebouwd volgens </w:t>
            </w:r>
            <w:proofErr w:type="spellStart"/>
            <w:r>
              <w:t>RISMAN-methodiek</w:t>
            </w:r>
            <w:proofErr w:type="spellEnd"/>
          </w:p>
        </w:tc>
        <w:tc>
          <w:tcPr>
            <w:tcW w:w="1729" w:type="dxa"/>
          </w:tcPr>
          <w:p w:rsidR="006831AB" w:rsidRPr="00853C07" w:rsidRDefault="006831AB" w:rsidP="00964222">
            <w:pPr>
              <w:cnfStyle w:val="000000100000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</w:p>
        </w:tc>
        <w:tc>
          <w:tcPr>
            <w:tcW w:w="1473" w:type="dxa"/>
          </w:tcPr>
          <w:p w:rsidR="006831AB" w:rsidRPr="007F7E92" w:rsidRDefault="006831AB" w:rsidP="00964222">
            <w:pPr>
              <w:cnfStyle w:val="000000100000"/>
            </w:pPr>
            <w:r w:rsidRPr="007F7E92">
              <w:t xml:space="preserve">Ronde Tafel april met </w:t>
            </w:r>
            <w:proofErr w:type="spellStart"/>
            <w:r w:rsidRPr="007F7E92">
              <w:t>Heijmans</w:t>
            </w:r>
            <w:proofErr w:type="spellEnd"/>
            <w:r>
              <w:t xml:space="preserve"> e.a.</w:t>
            </w:r>
          </w:p>
        </w:tc>
      </w:tr>
      <w:tr w:rsidR="002770C6" w:rsidRPr="00DE66FC" w:rsidTr="002770C6">
        <w:tc>
          <w:tcPr>
            <w:cnfStyle w:val="001000000000"/>
            <w:tcW w:w="3038" w:type="dxa"/>
          </w:tcPr>
          <w:p w:rsidR="002770C6" w:rsidRDefault="002770C6" w:rsidP="00964222">
            <w:pPr>
              <w:rPr>
                <w:lang w:val="en-US"/>
              </w:rPr>
            </w:pPr>
            <w:r>
              <w:rPr>
                <w:lang w:val="en-US"/>
              </w:rPr>
              <w:t xml:space="preserve">6) </w:t>
            </w:r>
            <w:proofErr w:type="spellStart"/>
            <w:r>
              <w:rPr>
                <w:lang w:val="en-US"/>
              </w:rPr>
              <w:t>Door</w:t>
            </w:r>
            <w:r w:rsidR="006269B2">
              <w:rPr>
                <w:lang w:val="en-US"/>
              </w:rPr>
              <w:t>lichten</w:t>
            </w:r>
            <w:proofErr w:type="spellEnd"/>
            <w:r w:rsidR="006269B2">
              <w:rPr>
                <w:lang w:val="en-US"/>
              </w:rPr>
              <w:t xml:space="preserve">, </w:t>
            </w:r>
            <w:proofErr w:type="spellStart"/>
            <w:r w:rsidR="006269B2">
              <w:rPr>
                <w:lang w:val="en-US"/>
              </w:rPr>
              <w:t>centraliseren</w:t>
            </w:r>
            <w:proofErr w:type="spellEnd"/>
            <w:r w:rsidR="006269B2">
              <w:rPr>
                <w:lang w:val="en-US"/>
              </w:rPr>
              <w:t xml:space="preserve"> </w:t>
            </w:r>
            <w:proofErr w:type="spellStart"/>
            <w:r w:rsidR="006269B2">
              <w:rPr>
                <w:lang w:val="en-US"/>
              </w:rPr>
              <w:t>verzekerings-portefeuille</w:t>
            </w:r>
            <w:proofErr w:type="spellEnd"/>
            <w:r w:rsidR="006269B2">
              <w:rPr>
                <w:lang w:val="en-US"/>
              </w:rPr>
              <w:t xml:space="preserve">, </w:t>
            </w:r>
          </w:p>
        </w:tc>
        <w:tc>
          <w:tcPr>
            <w:tcW w:w="2164" w:type="dxa"/>
          </w:tcPr>
          <w:p w:rsidR="002770C6" w:rsidRDefault="006269B2" w:rsidP="0096422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CFO, legal</w:t>
            </w:r>
          </w:p>
        </w:tc>
        <w:tc>
          <w:tcPr>
            <w:tcW w:w="2813" w:type="dxa"/>
          </w:tcPr>
          <w:p w:rsidR="002770C6" w:rsidRPr="00743D9D" w:rsidRDefault="006269B2" w:rsidP="00964222">
            <w:pPr>
              <w:cnfStyle w:val="000000000000"/>
            </w:pPr>
            <w:r>
              <w:t>Kostenreductie door onderbrenging bij één verzekeraar.</w:t>
            </w:r>
          </w:p>
        </w:tc>
        <w:tc>
          <w:tcPr>
            <w:tcW w:w="2074" w:type="dxa"/>
          </w:tcPr>
          <w:p w:rsidR="002770C6" w:rsidRDefault="006269B2" w:rsidP="00964222">
            <w:pPr>
              <w:cnfStyle w:val="000000000000"/>
            </w:pPr>
            <w:r>
              <w:t>Ervaring in huis.</w:t>
            </w:r>
          </w:p>
          <w:p w:rsidR="006269B2" w:rsidRDefault="006269B2" w:rsidP="00964222">
            <w:pPr>
              <w:cnfStyle w:val="000000000000"/>
            </w:pPr>
            <w:r>
              <w:t>Business case scherp maken</w:t>
            </w:r>
          </w:p>
        </w:tc>
        <w:tc>
          <w:tcPr>
            <w:tcW w:w="1729" w:type="dxa"/>
          </w:tcPr>
          <w:p w:rsidR="002770C6" w:rsidRDefault="006269B2" w:rsidP="00964222">
            <w:pPr>
              <w:cnfStyle w:val="000000000000"/>
            </w:pPr>
            <w:r>
              <w:t xml:space="preserve">% </w:t>
            </w:r>
            <w:proofErr w:type="spellStart"/>
            <w:r>
              <w:t>kosten-besparing</w:t>
            </w:r>
            <w:proofErr w:type="spellEnd"/>
            <w:r>
              <w:t>, of uren x tarief</w:t>
            </w:r>
          </w:p>
        </w:tc>
        <w:tc>
          <w:tcPr>
            <w:tcW w:w="1473" w:type="dxa"/>
          </w:tcPr>
          <w:p w:rsidR="002770C6" w:rsidRPr="007F7E92" w:rsidRDefault="002770C6" w:rsidP="00964222">
            <w:pPr>
              <w:cnfStyle w:val="000000000000"/>
            </w:pPr>
          </w:p>
        </w:tc>
      </w:tr>
      <w:tr w:rsidR="004C065B" w:rsidRPr="00DE66FC" w:rsidTr="002770C6">
        <w:trPr>
          <w:cnfStyle w:val="000000100000"/>
        </w:trPr>
        <w:tc>
          <w:tcPr>
            <w:cnfStyle w:val="001000000000"/>
            <w:tcW w:w="3038" w:type="dxa"/>
          </w:tcPr>
          <w:p w:rsidR="006831AB" w:rsidRPr="00EB4E1D" w:rsidRDefault="006269B2" w:rsidP="00964222">
            <w:r>
              <w:t>7</w:t>
            </w:r>
            <w:r w:rsidR="006831AB">
              <w:t>)</w:t>
            </w:r>
            <w:r w:rsidR="006831AB" w:rsidRPr="00EB4E1D">
              <w:t>Trainingen risicomanagement in de bouw</w:t>
            </w:r>
          </w:p>
        </w:tc>
        <w:tc>
          <w:tcPr>
            <w:tcW w:w="2164" w:type="dxa"/>
          </w:tcPr>
          <w:p w:rsidR="006831AB" w:rsidRDefault="006831AB" w:rsidP="00964222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Projectvoorbereiders</w:t>
            </w:r>
            <w:proofErr w:type="spellEnd"/>
            <w:r>
              <w:rPr>
                <w:lang w:val="en-US"/>
              </w:rPr>
              <w:t>,</w:t>
            </w:r>
          </w:p>
          <w:p w:rsidR="006831AB" w:rsidRPr="00EB4E1D" w:rsidRDefault="006831AB" w:rsidP="00964222">
            <w:pPr>
              <w:cnfStyle w:val="000000100000"/>
            </w:pPr>
            <w:proofErr w:type="spellStart"/>
            <w:r>
              <w:rPr>
                <w:lang w:val="en-US"/>
              </w:rPr>
              <w:t>Projectleiders</w:t>
            </w:r>
            <w:proofErr w:type="spellEnd"/>
            <w:r>
              <w:rPr>
                <w:lang w:val="en-US"/>
              </w:rPr>
              <w:t>, (project)controllers</w:t>
            </w:r>
          </w:p>
        </w:tc>
        <w:tc>
          <w:tcPr>
            <w:tcW w:w="2813" w:type="dxa"/>
          </w:tcPr>
          <w:p w:rsidR="006831AB" w:rsidRPr="00EB4E1D" w:rsidRDefault="006831AB" w:rsidP="00964222">
            <w:pPr>
              <w:cnfStyle w:val="000000100000"/>
            </w:pPr>
            <w:r>
              <w:t>Zie hiervoor + beter gekwalificeerd personeel</w:t>
            </w:r>
          </w:p>
        </w:tc>
        <w:tc>
          <w:tcPr>
            <w:tcW w:w="2074" w:type="dxa"/>
          </w:tcPr>
          <w:p w:rsidR="006831AB" w:rsidRPr="00EB4E1D" w:rsidRDefault="006831AB" w:rsidP="00964222">
            <w:pPr>
              <w:cnfStyle w:val="000000100000"/>
            </w:pPr>
            <w:r>
              <w:t>Ja, vraag en doelgroep nog vaststellen</w:t>
            </w:r>
          </w:p>
        </w:tc>
        <w:tc>
          <w:tcPr>
            <w:tcW w:w="1729" w:type="dxa"/>
          </w:tcPr>
          <w:p w:rsidR="006831AB" w:rsidRPr="00EB4E1D" w:rsidRDefault="006831AB" w:rsidP="00964222">
            <w:pPr>
              <w:cnfStyle w:val="000000100000"/>
            </w:pPr>
            <w:r>
              <w:t>Nog te bepalen</w:t>
            </w:r>
          </w:p>
        </w:tc>
        <w:tc>
          <w:tcPr>
            <w:tcW w:w="1473" w:type="dxa"/>
          </w:tcPr>
          <w:p w:rsidR="006831AB" w:rsidRPr="00EB4E1D" w:rsidRDefault="002770C6" w:rsidP="00964222">
            <w:pPr>
              <w:cnfStyle w:val="000000100000"/>
            </w:pPr>
            <w:r>
              <w:t>Finext/</w:t>
            </w:r>
            <w:proofErr w:type="spellStart"/>
            <w:r w:rsidR="006831AB">
              <w:t>PieQ</w:t>
            </w:r>
            <w:proofErr w:type="spellEnd"/>
            <w:r>
              <w:t xml:space="preserve"> netwerk</w:t>
            </w:r>
          </w:p>
        </w:tc>
      </w:tr>
      <w:tr w:rsidR="00D82305" w:rsidRPr="00DE66FC" w:rsidTr="002770C6">
        <w:tc>
          <w:tcPr>
            <w:cnfStyle w:val="001000000000"/>
            <w:tcW w:w="3038" w:type="dxa"/>
          </w:tcPr>
          <w:p w:rsidR="006831AB" w:rsidRDefault="006269B2" w:rsidP="009642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831AB">
              <w:rPr>
                <w:lang w:val="en-US"/>
              </w:rPr>
              <w:t>)</w:t>
            </w:r>
            <w:r w:rsidR="006831AB">
              <w:rPr>
                <w:lang w:val="en-US"/>
              </w:rPr>
              <w:t>(lean)</w:t>
            </w:r>
          </w:p>
          <w:p w:rsidR="006831AB" w:rsidRPr="00E9716A" w:rsidRDefault="006831AB" w:rsidP="009642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Procesverbeteren</w:t>
            </w:r>
            <w:proofErr w:type="spellEnd"/>
          </w:p>
        </w:tc>
        <w:tc>
          <w:tcPr>
            <w:tcW w:w="2164" w:type="dxa"/>
          </w:tcPr>
          <w:p w:rsidR="006831AB" w:rsidRPr="00F007D8" w:rsidRDefault="006831AB" w:rsidP="00964222">
            <w:pPr>
              <w:cnfStyle w:val="000000000000"/>
            </w:pPr>
            <w:r w:rsidRPr="00F007D8">
              <w:t>Wie niet? Ook onderaannemers, afnemers….</w:t>
            </w:r>
          </w:p>
        </w:tc>
        <w:tc>
          <w:tcPr>
            <w:tcW w:w="2813" w:type="dxa"/>
          </w:tcPr>
          <w:p w:rsidR="006831AB" w:rsidRPr="00F007D8" w:rsidRDefault="006831AB" w:rsidP="00964222">
            <w:pPr>
              <w:cnfStyle w:val="000000000000"/>
            </w:pPr>
            <w:r w:rsidRPr="00F007D8">
              <w:t>Reduceren faalkosten, terugbrengen doorlooptijden, betere capaciteitsbenutting</w:t>
            </w:r>
            <w:r w:rsidR="002770C6">
              <w:t>, betere samenwerking door ketenbenadering</w:t>
            </w:r>
          </w:p>
        </w:tc>
        <w:tc>
          <w:tcPr>
            <w:tcW w:w="2074" w:type="dxa"/>
          </w:tcPr>
          <w:p w:rsidR="006831AB" w:rsidRPr="00F007D8" w:rsidRDefault="006831AB" w:rsidP="00964222">
            <w:pPr>
              <w:cnfStyle w:val="000000000000"/>
            </w:pPr>
            <w:proofErr w:type="spellStart"/>
            <w:r>
              <w:t>Multi-disciplinair</w:t>
            </w:r>
            <w:proofErr w:type="spellEnd"/>
            <w:r>
              <w:t>, ook vanuit analyse cijfers.</w:t>
            </w:r>
          </w:p>
        </w:tc>
        <w:tc>
          <w:tcPr>
            <w:tcW w:w="1729" w:type="dxa"/>
          </w:tcPr>
          <w:p w:rsidR="006831AB" w:rsidRPr="00F007D8" w:rsidRDefault="006831AB" w:rsidP="00964222">
            <w:pPr>
              <w:cnfStyle w:val="000000000000"/>
            </w:pPr>
            <w:r>
              <w:t>Nog te bepalen</w:t>
            </w:r>
          </w:p>
        </w:tc>
        <w:tc>
          <w:tcPr>
            <w:tcW w:w="1473" w:type="dxa"/>
          </w:tcPr>
          <w:p w:rsidR="006831AB" w:rsidRPr="00F007D8" w:rsidRDefault="002770C6" w:rsidP="00964222">
            <w:pPr>
              <w:cnfStyle w:val="000000000000"/>
            </w:pPr>
            <w:r>
              <w:t>Finext/</w:t>
            </w:r>
            <w:proofErr w:type="spellStart"/>
            <w:r w:rsidR="006831AB">
              <w:t>PieQ</w:t>
            </w:r>
            <w:proofErr w:type="spellEnd"/>
            <w:r>
              <w:t xml:space="preserve"> netwerk</w:t>
            </w:r>
          </w:p>
        </w:tc>
      </w:tr>
      <w:tr w:rsidR="002770C6" w:rsidRPr="00DE66FC" w:rsidTr="00FC56CE">
        <w:trPr>
          <w:cnfStyle w:val="000000100000"/>
        </w:trPr>
        <w:tc>
          <w:tcPr>
            <w:cnfStyle w:val="001000000000"/>
            <w:tcW w:w="13291" w:type="dxa"/>
            <w:gridSpan w:val="6"/>
          </w:tcPr>
          <w:p w:rsidR="002770C6" w:rsidRPr="002770C6" w:rsidRDefault="002770C6" w:rsidP="002770C6">
            <w:pPr>
              <w:jc w:val="center"/>
              <w:rPr>
                <w:sz w:val="32"/>
                <w:szCs w:val="32"/>
              </w:rPr>
            </w:pPr>
            <w:r w:rsidRPr="002770C6">
              <w:rPr>
                <w:sz w:val="32"/>
                <w:szCs w:val="32"/>
              </w:rPr>
              <w:t>Producten/diensten ook buiten de bouwbranche</w:t>
            </w:r>
          </w:p>
        </w:tc>
      </w:tr>
      <w:tr w:rsidR="009515A7" w:rsidRPr="00E9716A" w:rsidTr="002770C6">
        <w:tc>
          <w:tcPr>
            <w:cnfStyle w:val="001000000000"/>
            <w:tcW w:w="3038" w:type="dxa"/>
          </w:tcPr>
          <w:p w:rsidR="004C065B" w:rsidRDefault="006269B2" w:rsidP="00964222">
            <w:r>
              <w:t>9</w:t>
            </w:r>
            <w:r w:rsidR="004C065B">
              <w:t xml:space="preserve">) </w:t>
            </w:r>
            <w:r w:rsidR="004C065B">
              <w:t>Inrichting BCF en systeem van interne beheersing</w:t>
            </w:r>
          </w:p>
        </w:tc>
        <w:tc>
          <w:tcPr>
            <w:tcW w:w="2164" w:type="dxa"/>
          </w:tcPr>
          <w:p w:rsidR="004C065B" w:rsidRDefault="004C065B" w:rsidP="00964222">
            <w:pPr>
              <w:cnfStyle w:val="000000000000"/>
            </w:pPr>
            <w:r>
              <w:t xml:space="preserve">CFO, hoofd </w:t>
            </w:r>
            <w:proofErr w:type="spellStart"/>
            <w:r>
              <w:t>finance</w:t>
            </w:r>
            <w:proofErr w:type="spellEnd"/>
            <w:r>
              <w:t xml:space="preserve">, </w:t>
            </w:r>
            <w:proofErr w:type="spellStart"/>
            <w:r>
              <w:t>concerncontrol</w:t>
            </w:r>
            <w:proofErr w:type="spellEnd"/>
          </w:p>
        </w:tc>
        <w:tc>
          <w:tcPr>
            <w:tcW w:w="2813" w:type="dxa"/>
          </w:tcPr>
          <w:p w:rsidR="004C065B" w:rsidRDefault="004C065B" w:rsidP="00964222">
            <w:pPr>
              <w:cnfStyle w:val="000000000000"/>
            </w:pPr>
            <w:r>
              <w:t>Aanv</w:t>
            </w:r>
            <w:r w:rsidR="002C23D3">
              <w:t xml:space="preserve">ullende zekerheid over </w:t>
            </w:r>
            <w:r>
              <w:t>in control zijn;</w:t>
            </w:r>
          </w:p>
          <w:p w:rsidR="004C065B" w:rsidRDefault="004C065B" w:rsidP="00FB5B0E">
            <w:pPr>
              <w:cnfStyle w:val="000000000000"/>
            </w:pPr>
            <w:r>
              <w:t xml:space="preserve">Besparing </w:t>
            </w:r>
            <w:proofErr w:type="spellStart"/>
            <w:r w:rsidR="002C23D3">
              <w:t>accountants</w:t>
            </w:r>
            <w:r w:rsidR="00FB5B0E">
              <w:t>-</w:t>
            </w:r>
            <w:r w:rsidR="002C23D3">
              <w:t>kosten</w:t>
            </w:r>
            <w:proofErr w:type="spellEnd"/>
            <w:r w:rsidR="002C23D3">
              <w:t xml:space="preserve">, </w:t>
            </w:r>
            <w:r>
              <w:t xml:space="preserve">Eliminatie overbodige </w:t>
            </w:r>
            <w:proofErr w:type="spellStart"/>
            <w:r>
              <w:t>beheers</w:t>
            </w:r>
            <w:r w:rsidR="00FB5B0E">
              <w:t>-</w:t>
            </w:r>
            <w:r>
              <w:t>maatregelen</w:t>
            </w:r>
            <w:proofErr w:type="spellEnd"/>
            <w:r>
              <w:t>;</w:t>
            </w:r>
            <w:r w:rsidR="00FB5B0E">
              <w:t xml:space="preserve"> </w:t>
            </w:r>
            <w:r>
              <w:t>Lerende organisatie;</w:t>
            </w:r>
            <w:r w:rsidR="00FB5B0E">
              <w:t xml:space="preserve"> </w:t>
            </w:r>
            <w:r>
              <w:t>Besparing verzekeringspremies.</w:t>
            </w:r>
          </w:p>
        </w:tc>
        <w:tc>
          <w:tcPr>
            <w:tcW w:w="2074" w:type="dxa"/>
          </w:tcPr>
          <w:p w:rsidR="004C065B" w:rsidRDefault="004C065B" w:rsidP="00964222">
            <w:pPr>
              <w:cnfStyle w:val="000000000000"/>
            </w:pPr>
            <w:r>
              <w:t>Business case elimineren dubbele beheersmaatregelen scherper maken;</w:t>
            </w:r>
          </w:p>
          <w:p w:rsidR="004C065B" w:rsidRDefault="004C065B" w:rsidP="00964222">
            <w:pPr>
              <w:cnfStyle w:val="000000000000"/>
            </w:pPr>
            <w:r>
              <w:t xml:space="preserve">Idem </w:t>
            </w:r>
            <w:proofErr w:type="spellStart"/>
            <w:r>
              <w:t>auditkosten</w:t>
            </w:r>
            <w:proofErr w:type="spellEnd"/>
          </w:p>
        </w:tc>
        <w:tc>
          <w:tcPr>
            <w:tcW w:w="1729" w:type="dxa"/>
          </w:tcPr>
          <w:p w:rsidR="004C065B" w:rsidRDefault="002C23D3" w:rsidP="00964222">
            <w:pPr>
              <w:cnfStyle w:val="000000000000"/>
            </w:pPr>
            <w:r>
              <w:t>Uren x tarief</w:t>
            </w:r>
          </w:p>
        </w:tc>
        <w:tc>
          <w:tcPr>
            <w:tcW w:w="1473" w:type="dxa"/>
          </w:tcPr>
          <w:p w:rsidR="004C065B" w:rsidRDefault="004C065B" w:rsidP="00964222">
            <w:pPr>
              <w:cnfStyle w:val="000000000000"/>
            </w:pPr>
          </w:p>
        </w:tc>
      </w:tr>
      <w:tr w:rsidR="00D82305" w:rsidRPr="0025323D" w:rsidTr="002770C6">
        <w:trPr>
          <w:cnfStyle w:val="000000100000"/>
        </w:trPr>
        <w:tc>
          <w:tcPr>
            <w:cnfStyle w:val="001000000000"/>
            <w:tcW w:w="3038" w:type="dxa"/>
          </w:tcPr>
          <w:p w:rsidR="004C065B" w:rsidRDefault="006269B2" w:rsidP="00964222">
            <w:r>
              <w:lastRenderedPageBreak/>
              <w:t>10</w:t>
            </w:r>
            <w:r w:rsidR="004C065B">
              <w:t xml:space="preserve">) </w:t>
            </w:r>
            <w:proofErr w:type="spellStart"/>
            <w:r w:rsidR="004C065B">
              <w:t>Quick</w:t>
            </w:r>
            <w:proofErr w:type="spellEnd"/>
            <w:r w:rsidR="004C065B">
              <w:t xml:space="preserve"> scan BCF</w:t>
            </w:r>
          </w:p>
        </w:tc>
        <w:tc>
          <w:tcPr>
            <w:tcW w:w="2164" w:type="dxa"/>
          </w:tcPr>
          <w:p w:rsidR="004C065B" w:rsidRPr="00DE66FC" w:rsidRDefault="004C065B" w:rsidP="00964222">
            <w:pPr>
              <w:cnfStyle w:val="000000100000"/>
            </w:pPr>
            <w:r w:rsidRPr="00DE66FC">
              <w:t xml:space="preserve">CEO, CFO, hoofd </w:t>
            </w:r>
            <w:proofErr w:type="spellStart"/>
            <w:r w:rsidRPr="00DE66FC">
              <w:t>finance</w:t>
            </w:r>
            <w:proofErr w:type="spellEnd"/>
            <w:r w:rsidRPr="00DE66FC">
              <w:t xml:space="preserve">, </w:t>
            </w:r>
            <w:proofErr w:type="spellStart"/>
            <w:r w:rsidRPr="00DE66FC">
              <w:t>concern</w:t>
            </w:r>
            <w:r>
              <w:t>-</w:t>
            </w:r>
            <w:r w:rsidRPr="00DE66FC">
              <w:t>control</w:t>
            </w:r>
            <w:proofErr w:type="spellEnd"/>
            <w:r w:rsidRPr="00DE66FC">
              <w:t xml:space="preserve">, idem divisies en grote </w:t>
            </w:r>
            <w:proofErr w:type="spellStart"/>
            <w:r w:rsidRPr="00DE66FC">
              <w:t>opco</w:t>
            </w:r>
            <w:r>
              <w:t>’s</w:t>
            </w:r>
            <w:proofErr w:type="spellEnd"/>
          </w:p>
        </w:tc>
        <w:tc>
          <w:tcPr>
            <w:tcW w:w="2813" w:type="dxa"/>
          </w:tcPr>
          <w:p w:rsidR="004C065B" w:rsidRDefault="004C065B" w:rsidP="00964222">
            <w:pPr>
              <w:cnfStyle w:val="000000100000"/>
            </w:pPr>
            <w:r>
              <w:t>Inzicht in zwakke plekken BCF componenten, inz</w:t>
            </w:r>
            <w:r w:rsidR="00E10A46">
              <w:t>icht in verschillende inzichten</w:t>
            </w:r>
            <w:r>
              <w:t>;</w:t>
            </w:r>
          </w:p>
          <w:p w:rsidR="004C065B" w:rsidRPr="00DE66FC" w:rsidRDefault="004C065B" w:rsidP="00964222">
            <w:pPr>
              <w:cnfStyle w:val="000000100000"/>
            </w:pPr>
            <w:r>
              <w:t>Startpunt voor verbeteracties.</w:t>
            </w:r>
          </w:p>
        </w:tc>
        <w:tc>
          <w:tcPr>
            <w:tcW w:w="2074" w:type="dxa"/>
          </w:tcPr>
          <w:p w:rsidR="004C065B" w:rsidRPr="00DE66FC" w:rsidRDefault="004C065B" w:rsidP="00964222">
            <w:pPr>
              <w:cnfStyle w:val="000000100000"/>
            </w:pPr>
            <w:r>
              <w:t xml:space="preserve">Gereed, maar mogelijk ook in </w:t>
            </w:r>
            <w:proofErr w:type="spellStart"/>
            <w:r>
              <w:t>RiskID</w:t>
            </w:r>
            <w:proofErr w:type="spellEnd"/>
            <w:r>
              <w:t xml:space="preserve"> aanbieden; aanscherpen invulling door andere niches, idem Finext </w:t>
            </w:r>
            <w:proofErr w:type="gramStart"/>
            <w:r>
              <w:t xml:space="preserve">partners  </w:t>
            </w:r>
            <w:proofErr w:type="gramEnd"/>
          </w:p>
        </w:tc>
        <w:tc>
          <w:tcPr>
            <w:tcW w:w="1729" w:type="dxa"/>
          </w:tcPr>
          <w:p w:rsidR="004C065B" w:rsidRPr="00DE66FC" w:rsidRDefault="004C065B" w:rsidP="00964222">
            <w:pPr>
              <w:cnfStyle w:val="000000100000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</w:p>
        </w:tc>
        <w:tc>
          <w:tcPr>
            <w:tcW w:w="1473" w:type="dxa"/>
          </w:tcPr>
          <w:p w:rsidR="004C065B" w:rsidRPr="00DE66FC" w:rsidRDefault="004C065B" w:rsidP="00964222">
            <w:pPr>
              <w:cnfStyle w:val="000000100000"/>
            </w:pPr>
          </w:p>
        </w:tc>
      </w:tr>
      <w:tr w:rsidR="009515A7" w:rsidRPr="004C065B" w:rsidTr="002770C6">
        <w:tc>
          <w:tcPr>
            <w:cnfStyle w:val="001000000000"/>
            <w:tcW w:w="3038" w:type="dxa"/>
          </w:tcPr>
          <w:p w:rsidR="004C065B" w:rsidRDefault="006269B2" w:rsidP="00964222">
            <w:r>
              <w:t>11</w:t>
            </w:r>
            <w:r w:rsidR="00D82305">
              <w:t xml:space="preserve">) </w:t>
            </w:r>
            <w:r w:rsidR="004C065B">
              <w:t xml:space="preserve">Advisering &amp; </w:t>
            </w:r>
            <w:r w:rsidR="004C065B">
              <w:t>handjes bij de inrichting van een IAD afdeling</w:t>
            </w:r>
          </w:p>
        </w:tc>
        <w:tc>
          <w:tcPr>
            <w:tcW w:w="2164" w:type="dxa"/>
          </w:tcPr>
          <w:p w:rsidR="004C065B" w:rsidRDefault="004C065B" w:rsidP="00964222">
            <w:pPr>
              <w:cnfStyle w:val="000000000000"/>
            </w:pPr>
            <w:r>
              <w:t>CFO</w:t>
            </w:r>
          </w:p>
        </w:tc>
        <w:tc>
          <w:tcPr>
            <w:tcW w:w="2813" w:type="dxa"/>
          </w:tcPr>
          <w:p w:rsidR="004C065B" w:rsidRPr="004C065B" w:rsidRDefault="004C065B" w:rsidP="004C065B">
            <w:pPr>
              <w:cnfStyle w:val="000000000000"/>
              <w:rPr>
                <w:lang w:val="en-US"/>
              </w:rPr>
            </w:pPr>
            <w:r w:rsidRPr="004C065B">
              <w:rPr>
                <w:lang w:val="en-US"/>
              </w:rPr>
              <w:t xml:space="preserve">Meer Assurance, </w:t>
            </w:r>
            <w:proofErr w:type="spellStart"/>
            <w:r w:rsidRPr="004C065B">
              <w:rPr>
                <w:lang w:val="en-US"/>
              </w:rPr>
              <w:t>lagere</w:t>
            </w:r>
            <w:proofErr w:type="spellEnd"/>
            <w:r w:rsidRPr="004C065B">
              <w:rPr>
                <w:lang w:val="en-US"/>
              </w:rPr>
              <w:t xml:space="preserve"> fee extern accountant. </w:t>
            </w:r>
          </w:p>
        </w:tc>
        <w:tc>
          <w:tcPr>
            <w:tcW w:w="2074" w:type="dxa"/>
          </w:tcPr>
          <w:p w:rsidR="004C065B" w:rsidRPr="004C065B" w:rsidRDefault="004C065B" w:rsidP="00964222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Kennis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huis</w:t>
            </w:r>
            <w:proofErr w:type="spellEnd"/>
          </w:p>
        </w:tc>
        <w:tc>
          <w:tcPr>
            <w:tcW w:w="1729" w:type="dxa"/>
          </w:tcPr>
          <w:p w:rsidR="004C065B" w:rsidRPr="004C065B" w:rsidRDefault="004C065B" w:rsidP="0096422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Uren x </w:t>
            </w:r>
            <w:proofErr w:type="spellStart"/>
            <w:r>
              <w:rPr>
                <w:lang w:val="en-US"/>
              </w:rPr>
              <w:t>tarief</w:t>
            </w:r>
            <w:proofErr w:type="spellEnd"/>
          </w:p>
        </w:tc>
        <w:tc>
          <w:tcPr>
            <w:tcW w:w="1473" w:type="dxa"/>
          </w:tcPr>
          <w:p w:rsidR="004C065B" w:rsidRPr="004C065B" w:rsidRDefault="004C065B" w:rsidP="00964222">
            <w:pPr>
              <w:cnfStyle w:val="000000000000"/>
              <w:rPr>
                <w:lang w:val="en-US"/>
              </w:rPr>
            </w:pPr>
          </w:p>
        </w:tc>
      </w:tr>
      <w:tr w:rsidR="00D82305" w:rsidRPr="00E9716A" w:rsidTr="002770C6">
        <w:trPr>
          <w:cnfStyle w:val="000000100000"/>
        </w:trPr>
        <w:tc>
          <w:tcPr>
            <w:cnfStyle w:val="001000000000"/>
            <w:tcW w:w="3038" w:type="dxa"/>
          </w:tcPr>
          <w:p w:rsidR="004C065B" w:rsidRDefault="006269B2" w:rsidP="00964222">
            <w:r>
              <w:t>12)</w:t>
            </w:r>
            <w:r w:rsidR="004C065B">
              <w:t>Inrichten horizontaal toezicht belastingdienst</w:t>
            </w:r>
          </w:p>
        </w:tc>
        <w:tc>
          <w:tcPr>
            <w:tcW w:w="2164" w:type="dxa"/>
          </w:tcPr>
          <w:p w:rsidR="004C065B" w:rsidRDefault="004C065B" w:rsidP="00964222">
            <w:pPr>
              <w:cnfStyle w:val="000000100000"/>
            </w:pPr>
            <w:r>
              <w:t>CEO, CFO, controller</w:t>
            </w:r>
          </w:p>
        </w:tc>
        <w:tc>
          <w:tcPr>
            <w:tcW w:w="2813" w:type="dxa"/>
          </w:tcPr>
          <w:p w:rsidR="004C065B" w:rsidRDefault="004C065B" w:rsidP="004C065B">
            <w:pPr>
              <w:cnfStyle w:val="000000100000"/>
            </w:pPr>
            <w:r>
              <w:t>Reputatie</w:t>
            </w:r>
          </w:p>
          <w:p w:rsidR="004C065B" w:rsidRDefault="004C065B" w:rsidP="004C065B">
            <w:pPr>
              <w:cnfStyle w:val="000000100000"/>
            </w:pPr>
            <w:r>
              <w:t>Voordeel bij gunning</w:t>
            </w:r>
            <w:r>
              <w:br/>
              <w:t>Verminderde controledruk</w:t>
            </w:r>
          </w:p>
        </w:tc>
        <w:tc>
          <w:tcPr>
            <w:tcW w:w="2074" w:type="dxa"/>
          </w:tcPr>
          <w:p w:rsidR="004C065B" w:rsidRDefault="004C065B" w:rsidP="00964222">
            <w:pPr>
              <w:cnfStyle w:val="000000100000"/>
            </w:pPr>
            <w:r>
              <w:t xml:space="preserve">Gedaan in </w:t>
            </w:r>
            <w:proofErr w:type="spellStart"/>
            <w:r>
              <w:t>automotive</w:t>
            </w:r>
            <w:proofErr w:type="spellEnd"/>
          </w:p>
        </w:tc>
        <w:tc>
          <w:tcPr>
            <w:tcW w:w="1729" w:type="dxa"/>
          </w:tcPr>
          <w:p w:rsidR="004C065B" w:rsidRDefault="004C065B" w:rsidP="004C065B">
            <w:pPr>
              <w:cnfStyle w:val="000000100000"/>
            </w:pPr>
            <w:r>
              <w:t xml:space="preserve">Uren x tarief </w:t>
            </w:r>
          </w:p>
        </w:tc>
        <w:tc>
          <w:tcPr>
            <w:tcW w:w="1473" w:type="dxa"/>
          </w:tcPr>
          <w:p w:rsidR="004C065B" w:rsidRPr="00DE66FC" w:rsidRDefault="004C065B" w:rsidP="00964222">
            <w:pPr>
              <w:cnfStyle w:val="000000100000"/>
            </w:pPr>
          </w:p>
        </w:tc>
      </w:tr>
      <w:tr w:rsidR="004C065B" w:rsidRPr="00E9716A" w:rsidTr="002770C6">
        <w:tc>
          <w:tcPr>
            <w:cnfStyle w:val="001000000000"/>
            <w:tcW w:w="3038" w:type="dxa"/>
          </w:tcPr>
          <w:p w:rsidR="004C065B" w:rsidRPr="00EB4E1D" w:rsidRDefault="006269B2" w:rsidP="00964222">
            <w:pPr>
              <w:rPr>
                <w:lang w:val="en-US"/>
              </w:rPr>
            </w:pPr>
            <w:r>
              <w:rPr>
                <w:lang w:val="en-US"/>
              </w:rPr>
              <w:t>13)</w:t>
            </w:r>
            <w:r w:rsidR="004C065B" w:rsidRPr="00EB4E1D">
              <w:rPr>
                <w:lang w:val="en-US"/>
              </w:rPr>
              <w:t>Reviews/audits in control statements</w:t>
            </w:r>
          </w:p>
        </w:tc>
        <w:tc>
          <w:tcPr>
            <w:tcW w:w="2164" w:type="dxa"/>
          </w:tcPr>
          <w:p w:rsidR="004C065B" w:rsidRPr="00DE66FC" w:rsidRDefault="004C065B" w:rsidP="00964222">
            <w:pPr>
              <w:cnfStyle w:val="000000000000"/>
            </w:pPr>
            <w:r>
              <w:t>CFO, IAD</w:t>
            </w:r>
          </w:p>
        </w:tc>
        <w:tc>
          <w:tcPr>
            <w:tcW w:w="2813" w:type="dxa"/>
          </w:tcPr>
          <w:p w:rsidR="004C065B" w:rsidRPr="00DE66FC" w:rsidRDefault="004C065B" w:rsidP="00964222">
            <w:pPr>
              <w:cnfStyle w:val="000000000000"/>
            </w:pPr>
            <w:r>
              <w:t>Zie 1)</w:t>
            </w:r>
          </w:p>
        </w:tc>
        <w:tc>
          <w:tcPr>
            <w:tcW w:w="2074" w:type="dxa"/>
          </w:tcPr>
          <w:p w:rsidR="004C065B" w:rsidRPr="00DE66FC" w:rsidRDefault="004C065B" w:rsidP="00964222">
            <w:pPr>
              <w:cnfStyle w:val="000000000000"/>
            </w:pPr>
            <w:r>
              <w:t>Gebruik maken van vakkennis en toetsingskader klant.</w:t>
            </w:r>
          </w:p>
        </w:tc>
        <w:tc>
          <w:tcPr>
            <w:tcW w:w="1729" w:type="dxa"/>
          </w:tcPr>
          <w:p w:rsidR="004C065B" w:rsidRPr="00E9716A" w:rsidRDefault="004C065B" w:rsidP="00964222">
            <w:pPr>
              <w:cnfStyle w:val="000000000000"/>
              <w:rPr>
                <w:lang w:val="en-US"/>
              </w:rPr>
            </w:pPr>
            <w:proofErr w:type="spellStart"/>
            <w:r w:rsidRPr="00E9716A">
              <w:rPr>
                <w:lang w:val="en-US"/>
              </w:rPr>
              <w:t>Uur</w:t>
            </w:r>
            <w:proofErr w:type="spellEnd"/>
            <w:r w:rsidRPr="00E9716A">
              <w:rPr>
                <w:lang w:val="en-US"/>
              </w:rPr>
              <w:t>/</w:t>
            </w:r>
            <w:proofErr w:type="spellStart"/>
            <w:r w:rsidRPr="00E9716A">
              <w:rPr>
                <w:lang w:val="en-US"/>
              </w:rPr>
              <w:t>factuur</w:t>
            </w:r>
            <w:proofErr w:type="spellEnd"/>
            <w:r w:rsidRPr="00E9716A">
              <w:rPr>
                <w:lang w:val="en-US"/>
              </w:rPr>
              <w:t>, of fixed price</w:t>
            </w:r>
          </w:p>
        </w:tc>
        <w:tc>
          <w:tcPr>
            <w:tcW w:w="1473" w:type="dxa"/>
          </w:tcPr>
          <w:p w:rsidR="004C065B" w:rsidRPr="00E9716A" w:rsidRDefault="004C065B" w:rsidP="0096422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Imtech case </w:t>
            </w:r>
            <w:proofErr w:type="spellStart"/>
            <w:r>
              <w:rPr>
                <w:lang w:val="en-US"/>
              </w:rPr>
              <w:t>vertellen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bloggen</w:t>
            </w:r>
            <w:proofErr w:type="spellEnd"/>
            <w:r>
              <w:rPr>
                <w:lang w:val="en-US"/>
              </w:rPr>
              <w:t>…..</w:t>
            </w:r>
          </w:p>
        </w:tc>
      </w:tr>
    </w:tbl>
    <w:p w:rsidR="00C9451D" w:rsidRPr="00F007D8" w:rsidRDefault="00C9451D" w:rsidP="00C9451D"/>
    <w:sectPr w:rsidR="00C9451D" w:rsidRPr="00F007D8" w:rsidSect="00C945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13503"/>
    <w:multiLevelType w:val="hybridMultilevel"/>
    <w:tmpl w:val="0172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D6E42"/>
    <w:multiLevelType w:val="hybridMultilevel"/>
    <w:tmpl w:val="4E44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7868"/>
    <w:rsid w:val="00097B72"/>
    <w:rsid w:val="000B603A"/>
    <w:rsid w:val="000C2798"/>
    <w:rsid w:val="000D4659"/>
    <w:rsid w:val="001861BE"/>
    <w:rsid w:val="0025323D"/>
    <w:rsid w:val="002770C6"/>
    <w:rsid w:val="002B5F4C"/>
    <w:rsid w:val="002C23D3"/>
    <w:rsid w:val="00320047"/>
    <w:rsid w:val="00353BD9"/>
    <w:rsid w:val="00377868"/>
    <w:rsid w:val="00391CCD"/>
    <w:rsid w:val="00495D13"/>
    <w:rsid w:val="004C065B"/>
    <w:rsid w:val="004F7DB8"/>
    <w:rsid w:val="00507213"/>
    <w:rsid w:val="005B6623"/>
    <w:rsid w:val="005C65E2"/>
    <w:rsid w:val="006269B2"/>
    <w:rsid w:val="006476D5"/>
    <w:rsid w:val="00680997"/>
    <w:rsid w:val="006831AB"/>
    <w:rsid w:val="00693A11"/>
    <w:rsid w:val="00743D9D"/>
    <w:rsid w:val="00795F4E"/>
    <w:rsid w:val="007D3F74"/>
    <w:rsid w:val="007D608B"/>
    <w:rsid w:val="007F7E92"/>
    <w:rsid w:val="00853C07"/>
    <w:rsid w:val="008A7789"/>
    <w:rsid w:val="008F4882"/>
    <w:rsid w:val="0091570F"/>
    <w:rsid w:val="00940572"/>
    <w:rsid w:val="009515A7"/>
    <w:rsid w:val="00A221E3"/>
    <w:rsid w:val="00AB3003"/>
    <w:rsid w:val="00BE0FBC"/>
    <w:rsid w:val="00C22B0B"/>
    <w:rsid w:val="00C4737F"/>
    <w:rsid w:val="00C6499A"/>
    <w:rsid w:val="00C9451D"/>
    <w:rsid w:val="00C96090"/>
    <w:rsid w:val="00C96E33"/>
    <w:rsid w:val="00CB45DA"/>
    <w:rsid w:val="00CE1C39"/>
    <w:rsid w:val="00CE5BC1"/>
    <w:rsid w:val="00D22EA4"/>
    <w:rsid w:val="00D405B0"/>
    <w:rsid w:val="00D82305"/>
    <w:rsid w:val="00DE66FC"/>
    <w:rsid w:val="00E0146C"/>
    <w:rsid w:val="00E10A46"/>
    <w:rsid w:val="00E36789"/>
    <w:rsid w:val="00E9716A"/>
    <w:rsid w:val="00EB4E1D"/>
    <w:rsid w:val="00EF5DF5"/>
    <w:rsid w:val="00F007D8"/>
    <w:rsid w:val="00F91569"/>
    <w:rsid w:val="00F92529"/>
    <w:rsid w:val="00FB5B0E"/>
    <w:rsid w:val="00FF6EAD"/>
    <w:rsid w:val="00FF7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68"/>
    <w:pPr>
      <w:ind w:left="720"/>
      <w:contextualSpacing/>
    </w:pPr>
  </w:style>
  <w:style w:type="table" w:styleId="TableGrid">
    <w:name w:val="Table Grid"/>
    <w:basedOn w:val="TableNormal"/>
    <w:uiPriority w:val="59"/>
    <w:rsid w:val="00C94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48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fiNext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</dc:creator>
  <cp:keywords/>
  <dc:description/>
  <cp:lastModifiedBy>Hake</cp:lastModifiedBy>
  <cp:revision>4</cp:revision>
  <dcterms:created xsi:type="dcterms:W3CDTF">2012-02-12T22:11:00Z</dcterms:created>
  <dcterms:modified xsi:type="dcterms:W3CDTF">2012-02-13T11:58:00Z</dcterms:modified>
</cp:coreProperties>
</file>