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line="360"/>
        <w:jc w:val="center"/>
      </w:pPr>
      <w:r>
        <w:rPr>
          <w:rFonts w:ascii="Times New Roman" w:cs="Times New Roman" w:eastAsia="Times New Roman" w:hAnsi="Times New Roman"/>
          <w:b/>
          <w:bCs/>
          <w:sz w:val="32"/>
          <w:szCs w:val="32"/>
        </w:rPr>
        <w:t xml:space="preserve">ОТЧЁТ</w:t>
      </w:r>
    </w:p>
    <w:p>
      <w:pPr>
        <w:spacing w:after="360" w:line="360"/>
        <w:jc w:val="center"/>
      </w:pPr>
      <w:r>
        <w:rPr>
          <w:rFonts w:ascii="Times New Roman" w:cs="Times New Roman" w:eastAsia="Times New Roman" w:hAnsi="Times New Roman"/>
          <w:b/>
          <w:bCs/>
          <w:sz w:val="28"/>
          <w:szCs w:val="28"/>
        </w:rPr>
        <w:t xml:space="preserve">об инвентаризации аппаратного и программного обеспечения рабочей станции DESKTOP-H17KU8I</w:t>
      </w:r>
    </w:p>
    <w:p>
      <w:pPr>
        <w:spacing w:after="2400" w:line="360"/>
        <w:jc w:val="center"/>
      </w:pPr>
      <w:r>
        <w:rPr>
          <w:rFonts w:ascii="Times New Roman" w:cs="Times New Roman" w:eastAsia="Times New Roman" w:hAnsi="Times New Roman"/>
          <w:sz w:val="28"/>
          <w:szCs w:val="28"/>
        </w:rPr>
        <w:t xml:space="preserve">в соответствии с РД 50-34.698-90 и ГОСТ 34.201-89</w:t>
      </w:r>
    </w:p>
    <w:p>
      <w:pPr>
        <w:spacing w:after="120" w:line="360"/>
        <w:jc w:val="left"/>
      </w:pPr>
      <w:r>
        <w:rPr>
          <w:rFonts w:ascii="Times New Roman" w:cs="Times New Roman" w:eastAsia="Times New Roman" w:hAnsi="Times New Roman"/>
          <w:sz w:val="28"/>
          <w:szCs w:val="28"/>
        </w:rPr>
        <w:t xml:space="preserve">Исполнитель: ______________________</w:t>
      </w:r>
    </w:p>
    <w:p>
      <w:pPr>
        <w:spacing w:after="120" w:line="360"/>
        <w:jc w:val="left"/>
      </w:pPr>
      <w:r>
        <w:rPr>
          <w:rFonts w:ascii="Times New Roman" w:cs="Times New Roman" w:eastAsia="Times New Roman" w:hAnsi="Times New Roman"/>
          <w:sz w:val="28"/>
          <w:szCs w:val="28"/>
        </w:rPr>
        <w:t xml:space="preserve">Дата обследования: 02.10.2026</w:t>
      </w:r>
    </w:p>
    <w:p>
      <w:pPr>
        <w:spacing w:line="360"/>
        <w:jc w:val="left"/>
      </w:pPr>
      <w:r>
        <w:rPr>
          <w:rFonts w:ascii="Times New Roman" w:cs="Times New Roman" w:eastAsia="Times New Roman" w:hAnsi="Times New Roman"/>
          <w:sz w:val="28"/>
          <w:szCs w:val="28"/>
        </w:rPr>
        <w:t xml:space="preserve">Средство инвентаризации: AIDA64 Engineer v8.20</w:t>
      </w:r>
    </w:p>
    <w:p>
      <w:pPr>
        <w:pageBreakBefore/>
      </w:pPr>
    </w:p>
    <w:p>
      <w:pPr>
        <w:pStyle w:val="Heading1"/>
        <w:keepNext/>
        <w:spacing w:after="240" w:before="240" w:line="360"/>
        <w:jc w:val="center"/>
      </w:pPr>
      <w:r>
        <w:rPr>
          <w:rFonts w:ascii="Times New Roman" w:cs="Times New Roman" w:eastAsia="Times New Roman" w:hAnsi="Times New Roman"/>
          <w:b/>
          <w:bCs/>
          <w:sz w:val="28"/>
          <w:szCs w:val="28"/>
        </w:rPr>
        <w:t xml:space="preserve">1. ОБЩИЕ СВЕДЕНИЯ</w:t>
      </w:r>
    </w:p>
    <w:p>
      <w:pPr>
        <w:spacing w:after="0" w:before="0" w:line="360"/>
        <w:ind w:firstLine="709"/>
        <w:jc w:val="both"/>
      </w:pPr>
      <w:r>
        <w:rPr>
          <w:rFonts w:ascii="Times New Roman" w:cs="Times New Roman" w:eastAsia="Times New Roman" w:hAnsi="Times New Roman"/>
          <w:sz w:val="28"/>
          <w:szCs w:val="28"/>
        </w:rPr>
        <w:t xml:space="preserve">1.1. Основание и цель работы. Отчёт составлен по результатам инвентаризации объекта автоматизации. Цель работы — зафиксировать состав комплекса технических средств (КТС) и установленного программного обеспечения рабочей станции. Документ оформлен с учётом требований РД 50-34.698-90 «Автоматизированные системы. Требования к содержанию документов» и ГОСТ 34.201-89 «Виды, комплектность и обозначение документов при создании автоматизированных систем».</w:t>
      </w:r>
    </w:p>
    <w:p>
      <w:pPr>
        <w:spacing w:after="0" w:before="0" w:line="360"/>
        <w:ind w:firstLine="709"/>
        <w:jc w:val="both"/>
      </w:pPr>
      <w:r>
        <w:rPr>
          <w:rFonts w:ascii="Times New Roman" w:cs="Times New Roman" w:eastAsia="Times New Roman" w:hAnsi="Times New Roman"/>
          <w:sz w:val="28"/>
          <w:szCs w:val="28"/>
        </w:rPr>
        <w:t xml:space="preserve">1.2. Объект инвентаризации. Рабочая станция в форм-факторе «моноблок» (All in One), имя компьютера DESKTOP-H17KU8I, IP-адрес 192.168.20.87, операционная система Microsoft Windows 10 Enterprise.</w:t>
      </w:r>
    </w:p>
    <w:p>
      <w:pPr>
        <w:spacing w:after="0" w:before="0" w:line="360"/>
        <w:ind w:firstLine="709"/>
        <w:jc w:val="both"/>
      </w:pPr>
      <w:r>
        <w:rPr>
          <w:rFonts w:ascii="Times New Roman" w:cs="Times New Roman" w:eastAsia="Times New Roman" w:hAnsi="Times New Roman"/>
          <w:sz w:val="28"/>
          <w:szCs w:val="28"/>
        </w:rPr>
        <w:t xml:space="preserve">1.3. Метод. Данные получены автоматически программой AIDA64 Engineer (режим «Мастер отчётов») 02.10.2026 в 11:17 и сохранены в двух файлах: аппаратная часть (xtr2.txt) и программная часть (ctrc.txt). Значения приведены так, как их определила программа. Серийные номера платы, шасси и процессора в DMI не заполнены производителем (нули и значения по умолчанию).</w:t>
      </w:r>
    </w:p>
    <w:p>
      <w:pPr>
        <w:pStyle w:val="Heading1"/>
        <w:keepNext/>
        <w:spacing w:after="240" w:before="240" w:line="360"/>
        <w:jc w:val="center"/>
      </w:pPr>
      <w:r>
        <w:rPr>
          <w:rFonts w:ascii="Times New Roman" w:cs="Times New Roman" w:eastAsia="Times New Roman" w:hAnsi="Times New Roman"/>
          <w:b/>
          <w:bCs/>
          <w:sz w:val="28"/>
          <w:szCs w:val="28"/>
        </w:rPr>
        <w:t xml:space="preserve">2. АППАРАТНОЕ ОБЕСПЕЧЕНИЕ</w:t>
      </w: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2.1. Общая характеристика</w:t>
      </w:r>
    </w:p>
    <w:p>
      <w:pPr>
        <w:keepNext/>
        <w:spacing w:after="80" w:before="120" w:line="276"/>
        <w:jc w:val="left"/>
      </w:pPr>
      <w:r>
        <w:rPr>
          <w:rFonts w:ascii="Times New Roman" w:cs="Times New Roman" w:eastAsia="Times New Roman" w:hAnsi="Times New Roman"/>
          <w:sz w:val="24"/>
          <w:szCs w:val="24"/>
        </w:rPr>
        <w:t xml:space="preserve">Таблица 1 — Общая характеристика устройства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blHeader/>
        </w:trPr>
        <w:tc>
          <w:tcPr>
            <w:tcW w:type="dxa" w:w="28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Параметр</w:t>
            </w:r>
          </w:p>
        </w:tc>
        <w:tc>
          <w:tcPr>
            <w:tcW w:type="dxa" w:w="65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Значение</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Тип устройства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Моноблок (DMI: All in One)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Производитель / модель</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ICL / RAY S131.Mi</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Семейство / SKU</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RAY / ICT00025367</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Серийный номер системы</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2205788809</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Тип компьютера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Компьютер с ACPI на базе x64</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Имя компьютера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DESKTOP-H17KU8I</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2.2. Состав комплекса технических средств</w:t>
      </w:r>
    </w:p>
    <w:p>
      <w:pPr>
        <w:keepNext/>
        <w:spacing w:after="80" w:before="120" w:line="276"/>
        <w:jc w:val="left"/>
      </w:pPr>
      <w:r>
        <w:rPr>
          <w:rFonts w:ascii="Times New Roman" w:cs="Times New Roman" w:eastAsia="Times New Roman" w:hAnsi="Times New Roman"/>
          <w:sz w:val="24"/>
          <w:szCs w:val="24"/>
        </w:rPr>
        <w:t xml:space="preserve">Таблица 2 — Состав комплекса технических средств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55"/>
      </w:tblGrid>
      <w:tr>
        <w:trPr>
          <w:cantSplit/>
          <w:tblHeader/>
        </w:trPr>
        <w:tc>
          <w:tcPr>
            <w:tcW w:type="dxa" w:w="6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w:t>
            </w:r>
          </w:p>
        </w:tc>
        <w:tc>
          <w:tcPr>
            <w:tcW w:type="dxa" w:w="24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Компонент</w:t>
            </w:r>
          </w:p>
        </w:tc>
        <w:tc>
          <w:tcPr>
            <w:tcW w:type="dxa" w:w="63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Наименование и характеристики</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Системная плата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ICL H410SB, версия 1.0. Чипсет Intel H410 (Comet Point-H), платформа Comet Lake-S. Максимальный объём памяти 32 ГБ, 2 слота DIMM</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BIOS</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American Megatrends (AMI), версия 5.17 от 19.03.2021, 16 МБ. Поддержка UEFI, ACPI, DMI</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Процессор</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Intel Core i5-10400, 6 ядер / 12 потоков, 2,9 ГГц, степпинг Q0. Кэш: L1 32 КБ (код) + 32 КБ (данные) на ядро, L2 256 КБ на ядро, L3 12 МБ. Поддержка 64-bit, AVX2, AES, виртуализации</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Оперативная память</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 модуль DDR4 DIMM Crucial CT16G4DFD8266.M16FR, 16 ГБ, 2667 MT/s, 1,2 В, слот ChannelA-DIMM0. Слот ChannelB-DIMM0 свободен. Доступно ОС 15 285 МБ</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Видеоадаптер</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Intel UHD Graphics 630 (встроенный), 1 ГБ видеопамяти. Драйвер 31.0.101.2140 от 05.11.2025</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Монитор 1</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Модель D240D (ID DRD2380), 23,8 дюйма, 16:9, выпуск 1-я неделя 2020 г., до 1920×1080</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Монитор 2</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Модель IM238VL2 (ID VIE2400), 24,0 дюйма, 16:9, выпуск 42-я неделя 2021 г., до 1920×1080</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Накопитель</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FOXLINE FLSSD256M80E13TCX5, твердотельный (SSD) 256 ГБ. Контроллеры: Standard NVM Express Controller, Intel 400 Series SATA AHCI</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Логические диски</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Диск C: (NTFS), 238,2 ГБ, свободно 46,8 ГБ (20 %)</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Сетевой адаптер (проводной)</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Intel Ethernet Connection I219-V, IP 192.168.20.87, MAC 1C-69-7A-E4-5C-3E</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Сетевой адаптер (беспроводной)</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Realtek 8821CU Wireless LAN 802.11ac (USB)</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Bluetooth</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Realtek Bluetooth Adapter (USB)</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Аудиоподсистема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Realtek High Definition Audio (вывод на наушники), аудио через дисплейный интерфейс Intel</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Устройства ввода</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Клавиатура HID, мышь HID-совместимая</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Интерфейсы</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Контроллер USB 3.2 Gen 1x1 (5 Гбит/с) Intel Comet Point-V xHCI; порты COM1, COM2, LPT1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Слоты расширения</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PCI-E x16 (J6B2) и PCI-E x1 (J6B1), оба свободны</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Принтеры</w:t>
            </w:r>
          </w:p>
        </w:tc>
        <w:tc>
          <w:tcPr>
            <w:tcW w:type="dxa" w:w="63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Физических нет. Установлены виртуальные: Fax, Microsoft Print to PDF, Microsoft XPS Document Writer</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2.3. Виртуальные сетевые адаптеры</w:t>
      </w:r>
    </w:p>
    <w:p>
      <w:pPr>
        <w:keepNext/>
        <w:spacing w:after="80" w:before="120" w:line="276"/>
        <w:jc w:val="left"/>
      </w:pPr>
      <w:r>
        <w:rPr>
          <w:rFonts w:ascii="Times New Roman" w:cs="Times New Roman" w:eastAsia="Times New Roman" w:hAnsi="Times New Roman"/>
          <w:sz w:val="24"/>
          <w:szCs w:val="24"/>
        </w:rPr>
        <w:t xml:space="preserve">Таблица 3 — Виртуальные сетевые адаптеры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700"/>
        <w:gridCol w:w="4655"/>
      </w:tblGrid>
      <w:tr>
        <w:trPr>
          <w:cantSplit/>
          <w:tblHeader/>
        </w:trPr>
        <w:tc>
          <w:tcPr>
            <w:tcW w:type="dxa" w:w="47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Адаптер</w:t>
            </w:r>
          </w:p>
        </w:tc>
        <w:tc>
          <w:tcPr>
            <w:tcW w:type="dxa" w:w="46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Назначение / адрес</w:t>
            </w:r>
          </w:p>
        </w:tc>
      </w:tr>
      <w:tr>
        <w:trPr>
          <w:cantSplit/>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VMware Virtual Ethernet Adapter for VMnet1</w:t>
            </w:r>
          </w:p>
        </w:tc>
        <w:tc>
          <w:tcPr>
            <w:tcW w:type="dxa" w:w="46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Виртуальная сеть VMware, 192.168.86.1</w:t>
            </w:r>
          </w:p>
        </w:tc>
      </w:tr>
      <w:tr>
        <w:trPr>
          <w:cantSplit/>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VMware Virtual Ethernet Adapter for VMnet8</w:t>
            </w:r>
          </w:p>
        </w:tc>
        <w:tc>
          <w:tcPr>
            <w:tcW w:type="dxa" w:w="46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Виртуальная сеть VMware (NAT), 192.168.134.1</w:t>
            </w:r>
          </w:p>
        </w:tc>
      </w:tr>
      <w:tr>
        <w:trPr>
          <w:cantSplit/>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Microsoft Wi-Fi Direct Virtual Adapter #3, #4</w:t>
            </w:r>
          </w:p>
        </w:tc>
        <w:tc>
          <w:tcPr>
            <w:tcW w:type="dxa" w:w="46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Служебные адаптеры Windows</w:t>
            </w:r>
          </w:p>
        </w:tc>
      </w:tr>
      <w:tr>
        <w:trPr>
          <w:cantSplit/>
        </w:trPr>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Bluetooth Device (Personal Area Network) #2</w:t>
            </w:r>
          </w:p>
        </w:tc>
        <w:tc>
          <w:tcPr>
            <w:tcW w:type="dxa" w:w="46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Сеть по Bluetooth</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2.4. Использование ресурсов на момент обследования</w:t>
      </w:r>
    </w:p>
    <w:p>
      <w:pPr>
        <w:keepNext/>
        <w:spacing w:after="80" w:before="120" w:line="276"/>
        <w:jc w:val="left"/>
      </w:pPr>
      <w:r>
        <w:rPr>
          <w:rFonts w:ascii="Times New Roman" w:cs="Times New Roman" w:eastAsia="Times New Roman" w:hAnsi="Times New Roman"/>
          <w:sz w:val="24"/>
          <w:szCs w:val="24"/>
        </w:rPr>
        <w:t xml:space="preserve">Таблица 4 — Использование ресурсов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blHeader/>
        </w:trPr>
        <w:tc>
          <w:tcPr>
            <w:tcW w:type="dxa" w:w="28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Ресурс</w:t>
            </w:r>
          </w:p>
        </w:tc>
        <w:tc>
          <w:tcPr>
            <w:tcW w:type="dxa" w:w="65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Значение</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Физическая память</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всего 15 285 МБ, занято 5 627 МБ (37 %)</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Виртуальная память</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всего 18 741 МБ, занято 7 091 МБ (38 %)</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Файл подкачки</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pagefile.sys на диске C:, 3 456 МБ, использование 5 %</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Дисковое пространство</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занято 196 027 МБ из 243 941 МБ; свободно 47 913 МБ (20 %)</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Загрузка процессора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около 0 % по всем потокам</w:t>
            </w:r>
          </w:p>
        </w:tc>
      </w:tr>
    </w:tbl>
    <w:p>
      <w:pPr>
        <w:spacing w:after="120"/>
      </w:pPr>
    </w:p>
    <w:p>
      <w:pPr>
        <w:pStyle w:val="Heading1"/>
        <w:keepNext/>
        <w:spacing w:after="240" w:before="240" w:line="360"/>
        <w:jc w:val="center"/>
      </w:pPr>
      <w:r>
        <w:rPr>
          <w:rFonts w:ascii="Times New Roman" w:cs="Times New Roman" w:eastAsia="Times New Roman" w:hAnsi="Times New Roman"/>
          <w:b/>
          <w:bCs/>
          <w:sz w:val="28"/>
          <w:szCs w:val="28"/>
        </w:rPr>
        <w:t xml:space="preserve">3. ПРОГРАММНОЕ ОБЕСПЕЧЕНИЕ</w:t>
      </w: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3.1. Операционная система</w:t>
      </w:r>
    </w:p>
    <w:p>
      <w:pPr>
        <w:keepNext/>
        <w:spacing w:after="80" w:before="120" w:line="276"/>
        <w:jc w:val="left"/>
      </w:pPr>
      <w:r>
        <w:rPr>
          <w:rFonts w:ascii="Times New Roman" w:cs="Times New Roman" w:eastAsia="Times New Roman" w:hAnsi="Times New Roman"/>
          <w:sz w:val="24"/>
          <w:szCs w:val="24"/>
        </w:rPr>
        <w:t xml:space="preserve">Таблица 5 — Операционная система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blHeader/>
        </w:trPr>
        <w:tc>
          <w:tcPr>
            <w:tcW w:type="dxa" w:w="28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Параметр</w:t>
            </w:r>
          </w:p>
        </w:tc>
        <w:tc>
          <w:tcPr>
            <w:tcW w:type="dxa" w:w="65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Значение</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Название</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Microsoft Windows 10 Enterprise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Версия</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10.0.19045.6456 (22H2), 64-разрядная</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Язык</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Русский (Россия)</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Дата установки</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10.06.2026</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Системная папка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C:\Windows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Платформа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.NET Framework 4.8, DirectX 12.0, Windows Media Player 12</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Время непрерывной работы</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11 суток 2 ч 21 мин</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Активация (WPA)</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Программа сообщает: «Требуется»</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Обновления</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73 записи в журнале, среди них пакет подготовки лицензий ESU (KB5126256) от 09.09.2026</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3.2. Прикладное и системное программное обеспечение</w:t>
      </w:r>
    </w:p>
    <w:p>
      <w:pPr>
        <w:spacing w:after="0" w:before="0" w:line="360"/>
        <w:ind w:firstLine="709"/>
        <w:jc w:val="both"/>
      </w:pPr>
      <w:r>
        <w:rPr>
          <w:rFonts w:ascii="Times New Roman" w:cs="Times New Roman" w:eastAsia="Times New Roman" w:hAnsi="Times New Roman"/>
          <w:sz w:val="28"/>
          <w:szCs w:val="28"/>
        </w:rPr>
        <w:t xml:space="preserve">Всего в реестре установленных программ найдено 465 записей. Большая часть — служебные компоненты (пакеты SDK, библиотеки Visual C++ 2005–2022, компоненты .NET, модули Visual Studio). В таблице 6 приведены основные программы по назначению.</w:t>
      </w:r>
    </w:p>
    <w:p>
      <w:pPr>
        <w:keepNext/>
        <w:spacing w:after="80" w:before="120" w:line="276"/>
        <w:jc w:val="left"/>
      </w:pPr>
      <w:r>
        <w:rPr>
          <w:rFonts w:ascii="Times New Roman" w:cs="Times New Roman" w:eastAsia="Times New Roman" w:hAnsi="Times New Roman"/>
          <w:sz w:val="24"/>
          <w:szCs w:val="24"/>
        </w:rPr>
        <w:t xml:space="preserve">Таблица 6 — Основное установленное программное обеспечение</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blHeader/>
        </w:trPr>
        <w:tc>
          <w:tcPr>
            <w:tcW w:type="dxa" w:w="28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Назначение</w:t>
            </w:r>
          </w:p>
        </w:tc>
        <w:tc>
          <w:tcPr>
            <w:tcW w:type="dxa" w:w="65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Программное обеспечение, версия</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Офисные приложения</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Microsoft Office профессиональный плюс 2016 (16.0.12527), Microsoft Project профессиональный 2016, Microsoft Visio профессиональный 2016, Adobe Acrobat Reader (26.001.21483)</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Браузеры</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Google Chrome 154.0.8037.93, Microsoft Edge 154.0.4258.48, Яндекс Браузер 26.8.4.893</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Среды и средства разработки</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Visual Studio Community 2022 (17.14.34), Visual Studio Code 1.100.3, SQL Server Management Studio 22.7.0, Git 2.47.0, Python 3.13.4, Java 8 Update 491, Unity 6000.6.0f1 и Unity Hub 3.21.0, .NET SDK 9.0.315, .NET Runtime 8.0.28 и 9.0.17, .NET MAUI, Windows SDK 10.0.26100</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Системы управления базами данных</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Microsoft SQL Server 2025 (17.0.1000.7), SQL Server 2019 LocalDB, MySQL Server 8.0.42 с MySQL Workbench и MySQL Shell, PostgreSQL 17.4</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Виртуализация</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VMware Workstation 25.0.1</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Мультимедиа</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VLC media player 3.0.23, K-Lite Mega Codec Pack 19.6.8, OBS Studio 32.1.1</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Архиваторы и файловые менеджеры</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7-Zip 26.01, WinRAR 7.22, Total Commander Extended 25.12</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Служебные утилиты</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Reg Organizer 9.92, USB Safely Remove 7.3.1.1334, Unchecky 1.2, Old Calculator for Windows 10 1.1</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Драйверы и фирменное ПО</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Intel Chipset Device Software 10.1.18383.8213, Intel Management Engine, Intel Serial IO 30.100.2020.7, Intel Network Connections (PROSet) 26.3, Realtek Audio Driver 6.0.9093.1, Realtek Ethernet Controller Driver 10.39.212.2020, драйвер картридера BayHub 3.4.00.223, ControlCenter 3.0 v3.30</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3.3. Средства защиты информации</w:t>
      </w:r>
    </w:p>
    <w:p>
      <w:pPr>
        <w:keepNext/>
        <w:spacing w:after="80" w:before="120" w:line="276"/>
        <w:jc w:val="left"/>
      </w:pPr>
      <w:r>
        <w:rPr>
          <w:rFonts w:ascii="Times New Roman" w:cs="Times New Roman" w:eastAsia="Times New Roman" w:hAnsi="Times New Roman"/>
          <w:sz w:val="24"/>
          <w:szCs w:val="24"/>
        </w:rPr>
        <w:t xml:space="preserve">Таблица 7 — Средства защиты информации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0"/>
        <w:gridCol w:w="6555"/>
      </w:tblGrid>
      <w:tr>
        <w:trPr>
          <w:cantSplit/>
          <w:tblHeader/>
        </w:trPr>
        <w:tc>
          <w:tcPr>
            <w:tcW w:type="dxa" w:w="28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Средство</w:t>
            </w:r>
          </w:p>
        </w:tc>
        <w:tc>
          <w:tcPr>
            <w:tcW w:type="dxa" w:w="65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Состояние</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Антивирус</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Windows Defender, версия баз 4.18.26080.4 (02.10.2026)</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Межсетевой экран</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Брандмауэр Windows, включён</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Контроль учётных записей (UAC)</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Включён</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Запрет исполнения данных (DEP)</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Активен для приложений и драйверов</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Восстановление системы</w:t>
            </w:r>
          </w:p>
        </w:tc>
        <w:tc>
          <w:tcPr>
            <w:tcW w:type="dxa" w:w="65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Разрешено</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3.4. Учётные записи</w:t>
      </w:r>
    </w:p>
    <w:p>
      <w:pPr>
        <w:keepNext/>
        <w:spacing w:after="80" w:before="120" w:line="276"/>
        <w:jc w:val="left"/>
      </w:pPr>
      <w:r>
        <w:rPr>
          <w:rFonts w:ascii="Times New Roman" w:cs="Times New Roman" w:eastAsia="Times New Roman" w:hAnsi="Times New Roman"/>
          <w:sz w:val="24"/>
          <w:szCs w:val="24"/>
        </w:rPr>
        <w:t xml:space="preserve">Таблица 8 — Учётные записи пользователей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00"/>
        <w:gridCol w:w="3955"/>
        <w:gridCol w:w="1700"/>
      </w:tblGrid>
      <w:tr>
        <w:trPr>
          <w:cantSplit/>
          <w:tblHeader/>
        </w:trPr>
        <w:tc>
          <w:tcPr>
            <w:tcW w:type="dxa" w:w="37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Учётная запись</w:t>
            </w:r>
          </w:p>
        </w:tc>
        <w:tc>
          <w:tcPr>
            <w:tcW w:type="dxa" w:w="3955"/>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Группы</w:t>
            </w:r>
          </w:p>
        </w:tc>
        <w:tc>
          <w:tcPr>
            <w:tcW w:type="dxa" w:w="1700"/>
            <w:tcBorders>
              <w:top w:val="single" w:color="000000" w:sz="4"/>
              <w:left w:val="single" w:color="000000" w:sz="4"/>
              <w:bottom w:val="single" w:color="000000" w:sz="4"/>
              <w:right w:val="single" w:color="000000" w:sz="4"/>
            </w:tcBorders>
            <w:shd w:fill="E7E6E6" w:val="clear"/>
            <w:tcMar>
              <w:top w:type="dxa" w:w="60"/>
              <w:left w:type="dxa" w:w="100"/>
              <w:bottom w:type="dxa" w:w="60"/>
              <w:right w:type="dxa" w:w="100"/>
            </w:tcMar>
          </w:tcPr>
          <w:p>
            <w:pPr>
              <w:spacing w:line="259"/>
              <w:jc w:val="center"/>
            </w:pPr>
            <w:r>
              <w:rPr>
                <w:rFonts w:ascii="Times New Roman" w:cs="Times New Roman" w:eastAsia="Times New Roman" w:hAnsi="Times New Roman"/>
                <w:b/>
                <w:bCs/>
                <w:sz w:val="24"/>
                <w:szCs w:val="24"/>
              </w:rPr>
              <w:t xml:space="preserve">Число входов</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User (текущий пользователь)</w:t>
            </w:r>
          </w:p>
        </w:tc>
        <w:tc>
          <w:tcPr>
            <w:tcW w:type="dxa" w:w="3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Пользователи</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78</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Demo</w:t>
            </w:r>
          </w:p>
        </w:tc>
        <w:tc>
          <w:tcPr>
            <w:tcW w:type="dxa" w:w="3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Администраторы, Пользователи</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20</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Администратор</w:t>
            </w:r>
          </w:p>
        </w:tc>
        <w:tc>
          <w:tcPr>
            <w:tcW w:type="dxa" w:w="3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Администраторы</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1</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IT-user</w:t>
            </w:r>
          </w:p>
        </w:tc>
        <w:tc>
          <w:tcPr>
            <w:tcW w:type="dxa" w:w="3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Опытные пользователи, Пользователи</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0</w:t>
            </w:r>
          </w:p>
        </w:tc>
      </w:tr>
      <w:tr>
        <w:trPr>
          <w:cantSplit/>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Гость, DefaultAccount, WDAGUtilityAccount</w:t>
            </w:r>
          </w:p>
        </w:tc>
        <w:tc>
          <w:tcPr>
            <w:tcW w:type="dxa" w:w="3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Системные, служебные</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59"/>
              <w:jc w:val="left"/>
            </w:pPr>
            <w:r>
              <w:rPr>
                <w:rFonts w:ascii="Times New Roman" w:cs="Times New Roman" w:eastAsia="Times New Roman" w:hAnsi="Times New Roman"/>
                <w:b w:val="false"/>
                <w:bCs w:val="false"/>
                <w:sz w:val="24"/>
                <w:szCs w:val="24"/>
              </w:rPr>
              <w:t xml:space="preserve">0</w:t>
            </w:r>
          </w:p>
        </w:tc>
      </w:tr>
    </w:tbl>
    <w:p>
      <w:pPr>
        <w:spacing w:after="120"/>
      </w:pPr>
    </w:p>
    <w:p>
      <w:pPr>
        <w:pStyle w:val="Heading2"/>
        <w:keepNext/>
        <w:spacing w:after="200" w:before="240" w:line="360"/>
        <w:ind w:firstLine="709"/>
        <w:jc w:val="left"/>
      </w:pPr>
      <w:r>
        <w:rPr>
          <w:rFonts w:ascii="Times New Roman" w:cs="Times New Roman" w:eastAsia="Times New Roman" w:hAnsi="Times New Roman"/>
          <w:b/>
          <w:bCs/>
          <w:sz w:val="28"/>
          <w:szCs w:val="28"/>
        </w:rPr>
        <w:t xml:space="preserve">3.5. Автозагрузка</w:t>
      </w:r>
    </w:p>
    <w:p>
      <w:pPr>
        <w:spacing w:after="0" w:before="0" w:line="360"/>
        <w:ind w:firstLine="709"/>
        <w:jc w:val="both"/>
      </w:pPr>
      <w:r>
        <w:rPr>
          <w:rFonts w:ascii="Times New Roman" w:cs="Times New Roman" w:eastAsia="Times New Roman" w:hAnsi="Times New Roman"/>
          <w:sz w:val="28"/>
          <w:szCs w:val="28"/>
        </w:rPr>
        <w:t xml:space="preserve">При входе в систему запускаются: Microsoft Edge (автозапуск), Яндекс Браузер (автозапуск), OneDrive (первичная настройка), диспетчер звука Realtek (RtkAudUService), Windows Security (SecurityHealth), Java Update Scheduler, USB Safely Remove, VMware Tray.</w:t>
      </w:r>
    </w:p>
    <w:p>
      <w:pPr>
        <w:pStyle w:val="Heading1"/>
        <w:keepNext/>
        <w:spacing w:after="240" w:before="240" w:line="360"/>
        <w:jc w:val="center"/>
      </w:pPr>
      <w:r>
        <w:rPr>
          <w:rFonts w:ascii="Times New Roman" w:cs="Times New Roman" w:eastAsia="Times New Roman" w:hAnsi="Times New Roman"/>
          <w:b/>
          <w:bCs/>
          <w:sz w:val="28"/>
          <w:szCs w:val="28"/>
        </w:rPr>
        <w:t xml:space="preserve">4. РЕЗУЛЬТАТЫ И ЗАМЕЧАНИЯ</w:t>
      </w:r>
    </w:p>
    <w:p>
      <w:pPr>
        <w:pStyle w:val="ListParagraph"/>
        <w:numPr>
          <w:ilvl w:val="0"/>
          <w:numId w:val="2"/>
        </w:numPr>
        <w:spacing w:line="360"/>
        <w:jc w:val="both"/>
      </w:pPr>
      <w:r>
        <w:rPr>
          <w:rFonts w:ascii="Times New Roman" w:cs="Times New Roman" w:eastAsia="Times New Roman" w:hAnsi="Times New Roman"/>
          <w:sz w:val="28"/>
          <w:szCs w:val="28"/>
        </w:rPr>
        <w:t xml:space="preserve">Комплекс технических средств представляет собой моноблок ICL RAY S131.Mi на процессоре Intel Core i5-10400 с 16 ГБ оперативной памяти DDR4 и SSD на 256 ГБ. Рабочая станция подключена к локальной сети по проводному интерфейсу Ethernet.</w:t>
      </w:r>
    </w:p>
    <w:p>
      <w:pPr>
        <w:pStyle w:val="ListParagraph"/>
        <w:numPr>
          <w:ilvl w:val="0"/>
          <w:numId w:val="2"/>
        </w:numPr>
        <w:spacing w:line="360"/>
        <w:jc w:val="both"/>
      </w:pPr>
      <w:r>
        <w:rPr>
          <w:rFonts w:ascii="Times New Roman" w:cs="Times New Roman" w:eastAsia="Times New Roman" w:hAnsi="Times New Roman"/>
          <w:sz w:val="28"/>
          <w:szCs w:val="28"/>
        </w:rPr>
        <w:t xml:space="preserve">Оперативная память установлена одним модулем, второй слот свободен. Установка второго модуля даст двухканальный режим работы памяти и допускается платой до 32 ГБ.</w:t>
      </w:r>
    </w:p>
    <w:p>
      <w:pPr>
        <w:pStyle w:val="ListParagraph"/>
        <w:numPr>
          <w:ilvl w:val="0"/>
          <w:numId w:val="2"/>
        </w:numPr>
        <w:spacing w:line="360"/>
        <w:jc w:val="both"/>
      </w:pPr>
      <w:r>
        <w:rPr>
          <w:rFonts w:ascii="Times New Roman" w:cs="Times New Roman" w:eastAsia="Times New Roman" w:hAnsi="Times New Roman"/>
          <w:sz w:val="28"/>
          <w:szCs w:val="28"/>
        </w:rPr>
        <w:t xml:space="preserve">На диске C: свободно 20 % ёмкости. Для хранения баз данных, виртуальных машин VMware и проектов Unity этого может не хватить.</w:t>
      </w:r>
    </w:p>
    <w:p>
      <w:pPr>
        <w:pStyle w:val="ListParagraph"/>
        <w:numPr>
          <w:ilvl w:val="0"/>
          <w:numId w:val="2"/>
        </w:numPr>
        <w:spacing w:line="360"/>
        <w:jc w:val="both"/>
      </w:pPr>
      <w:r>
        <w:rPr>
          <w:rFonts w:ascii="Times New Roman" w:cs="Times New Roman" w:eastAsia="Times New Roman" w:hAnsi="Times New Roman"/>
          <w:sz w:val="28"/>
          <w:szCs w:val="28"/>
        </w:rPr>
        <w:t xml:space="preserve">Программное обеспечение ориентировано на разработку и работу с базами данных. Установлены одновременно два архиватора (7-Zip, WinRAR) и три браузера.</w:t>
      </w:r>
    </w:p>
    <w:p>
      <w:pPr>
        <w:pStyle w:val="ListParagraph"/>
        <w:numPr>
          <w:ilvl w:val="0"/>
          <w:numId w:val="2"/>
        </w:numPr>
        <w:spacing w:line="360"/>
        <w:jc w:val="both"/>
      </w:pPr>
      <w:r>
        <w:rPr>
          <w:rFonts w:ascii="Times New Roman" w:cs="Times New Roman" w:eastAsia="Times New Roman" w:hAnsi="Times New Roman"/>
          <w:sz w:val="28"/>
          <w:szCs w:val="28"/>
        </w:rPr>
        <w:t xml:space="preserve">Программа AIDA64 сообщает, что активация Windows требуется. Статус лицензии нужно проверить отдельно (Параметры — Обновление и безопасность — Активация). Лицензионные ключи в отчёт намеренно не включены.</w:t>
      </w:r>
    </w:p>
    <w:p>
      <w:pPr>
        <w:pStyle w:val="ListParagraph"/>
        <w:numPr>
          <w:ilvl w:val="0"/>
          <w:numId w:val="2"/>
        </w:numPr>
        <w:spacing w:line="360"/>
        <w:jc w:val="both"/>
      </w:pPr>
      <w:r>
        <w:rPr>
          <w:rFonts w:ascii="Times New Roman" w:cs="Times New Roman" w:eastAsia="Times New Roman" w:hAnsi="Times New Roman"/>
          <w:sz w:val="28"/>
          <w:szCs w:val="28"/>
        </w:rPr>
        <w:t xml:space="preserve">Версия Windows 10 22H2 вышла из основной поддержки. В системе присутствует пакет подготовки лицензий ESU, поэтому нужно уточнить, оформлена ли подписка на расширенные обновления безопасности.</w:t>
      </w:r>
    </w:p>
    <w:p>
      <w:pPr>
        <w:pStyle w:val="ListParagraph"/>
        <w:numPr>
          <w:ilvl w:val="0"/>
          <w:numId w:val="2"/>
        </w:numPr>
        <w:spacing w:line="360"/>
        <w:jc w:val="both"/>
      </w:pPr>
      <w:r>
        <w:rPr>
          <w:rFonts w:ascii="Times New Roman" w:cs="Times New Roman" w:eastAsia="Times New Roman" w:hAnsi="Times New Roman"/>
          <w:sz w:val="28"/>
          <w:szCs w:val="28"/>
        </w:rPr>
        <w:t xml:space="preserve">Состав и версии программного обеспечения зафиксированы на дату 02.10.2026. При изменении конфигурации инвентаризацию следует провести повторно.</w:t>
      </w:r>
    </w:p>
    <w:p>
      <w:pPr>
        <w:pStyle w:val="Heading1"/>
        <w:keepNext/>
        <w:spacing w:after="240" w:before="240" w:line="360"/>
        <w:jc w:val="center"/>
      </w:pPr>
      <w:r>
        <w:rPr>
          <w:rFonts w:ascii="Times New Roman" w:cs="Times New Roman" w:eastAsia="Times New Roman" w:hAnsi="Times New Roman"/>
          <w:b/>
          <w:bCs/>
          <w:sz w:val="28"/>
          <w:szCs w:val="28"/>
        </w:rPr>
        <w:t xml:space="preserve">ПРИЛОЖЕНИЕ А</w:t>
      </w:r>
    </w:p>
    <w:p>
      <w:pPr>
        <w:spacing w:after="0" w:before="0" w:line="360"/>
        <w:ind w:firstLine="709"/>
        <w:jc w:val="both"/>
      </w:pPr>
      <w:r>
        <w:rPr>
          <w:rFonts w:ascii="Times New Roman" w:cs="Times New Roman" w:eastAsia="Times New Roman" w:hAnsi="Times New Roman"/>
          <w:sz w:val="28"/>
          <w:szCs w:val="28"/>
        </w:rPr>
        <w:t xml:space="preserve">Исходные данные: файл xtr2.txt (аппаратная часть) и файл ctrc.txt (программная часть) — отчёты AIDA64 Engineer от 02.10.2026.</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2026-10-02T04:31:46.287Z</dcterms:created>
  <dcterms:modified xsi:type="dcterms:W3CDTF">2026-10-02T04:31:46.287Z</dcterms:modified>
</cp:coreProperties>
</file>

<file path=docProps/custom.xml><?xml version="1.0" encoding="utf-8"?>
<Properties xmlns="http://schemas.openxmlformats.org/officeDocument/2006/custom-properties" xmlns:vt="http://schemas.openxmlformats.org/officeDocument/2006/docPropsVTypes"/>
</file>