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apertitle"/>
      </w:pPr>
      <w:r>
        <w:t xml:space="preserve">연산량이 아닌 병목으로 설계하기: 입력 대역에 묶인 소형 FPGA 정수 가속기에서의 CNN 영상 잡음 제거</w:t>
      </w:r>
    </w:p>
    <w:p>
      <w:pPr>
        <w:pStyle w:val="Author"/>
        <w:sectPr>
          <w:pgSz w:w="11909" w:h="16834"/>
          <w:pgMar w:top="1080" w:right="734" w:bottom="2434" w:left="734" w:header="720" w:footer="720" w:gutter="0"/>
          <w:cols w:space="720"/>
          <w:docGrid w:linePitch="360"/>
          <w:headerReference w:type="default" r:id="rId1"/>
        </w:sectPr>
      </w:pPr>
    </w:p>
    <w:p>
      <w:pPr>
        <w:pStyle w:val="Author"/>
      </w:pPr>
      <w:r>
        <w:t xml:space="preserve">(저자 이름)</w:t>
      </w:r>
    </w:p>
    <w:p>
      <w:pPr>
        <w:pStyle w:val="Affiliation"/>
      </w:pPr>
      <w:r>
        <w:t xml:space="preserve">(학과), (대학교)</w:t>
      </w:r>
    </w:p>
    <w:p>
      <w:pPr>
        <w:pStyle w:val="Affiliation"/>
        <w:sectPr>
          <w:type w:val="continuous"/>
          <w:pgSz w:w="11909" w:h="16834"/>
          <w:pgMar w:top="1080" w:right="734" w:bottom="2434" w:left="734" w:header="720" w:footer="720" w:gutter="0"/>
          <w:cols w:space="720"/>
          <w:docGrid w:linePitch="360"/>
        </w:sectPr>
      </w:pPr>
    </w:p>
    <w:p/>
    <w:p>
      <w:pPr>
        <w:sectPr>
          <w:type w:val="continuous"/>
          <w:pgSz w:w="11909" w:h="16834"/>
          <w:pgMar w:top="1080" w:right="734" w:bottom="2434" w:left="734" w:header="720" w:footer="720" w:gutter="0"/>
          <w:cols w:space="720"/>
          <w:docGrid w:linePitch="360"/>
        </w:sectPr>
      </w:pPr>
    </w:p>
    <w:p>
      <w:pPr>
        <w:pStyle w:val="Abstract"/>
      </w:pPr>
      <w:r>
        <w:t>초록—효율적인 신경망은 보통 곱셈 수를 최소화하도록 설계되지만, 소형 가속기에서는 실행 시간이 다른 것으로 정해질 수 있다. 본 연구는 소형 FPGA용 정수 CNN 가속기(Zynq XC7Z020: 곱셈기 64개, 단일 비트스트림, 7비트 입력, ReLU 출력)에서 가우시안 잡음(σ=25)을 제거하며, 측정된 병목이 망 설계를 어떻게 바꾸는지 보인다. 사이클 모델(설계 단계에서 1.7% 이내, 이전 보드 실행에서 관찰한 보정 두 개를 넣으면 0.003% 이내)은 PC가 만든 창을 사이클당 7비트 값 하나씩 받는 이 구현이 입력 포트에 묶여 있음을 보인다. 즉 한 층의 비용은 창당 K 사이클이며(K는 입력 값의 수), 출력 채널 수는 곱셈기 수(64)까지 비용에 영향을 주지 않는다. 그래서 7층 DnCNN 형태의 기준 망은 곱셈기의 41%만 쓴다. 여기서 연산량(FLOP) 기준으로는 낭비로 보이는 두 가지 선택이 나온다. 2×2 space-to-depth 입력은 10층 64채널 망(파라미터 6.4배, 곱셈 1.6배)을 기준 망보다 25% 적은 사이클에 돌리게 하며, Set12에서 0.3 dB(BSD68 0.2 dB) 높다. 은닉층의 출력을 2배로 늘려 두 개씩 합치면(maxout) 놀고 있던 곱셈기를 쓸 수 있다. 보드에서 출력 64채널 층은 창당 289 사이클로 출력 32채널 층과 같았고, 그래서 망은 파라미터가 2배가 되는 대신 사이클은 1%만 늘었다(675 대 669). 그러나 같은 학습 예산에서 같은 폭의 ReLU 망보다 화질이 높은지는 시드 세 개 중 하나에서 뒤집혀(시드 평균 +0.15 / +0.10 dB, 시드별 Set12 +0.37, −0.03, +0.10 dB), 결과 전에 정한 규칙에 따라 주장하지 않는다. 보드 연산을 재현한 양자화 인지 학습은 ReLU·maxout 정수 모델을 모두 float의 0.04 dB 안으로 가져왔다. 화질 우선 정수 모델은 30.12 / 29.02 dB로, 같은 클리핑 7비트 입력에서 측정한 BM3D(29.95 / 28.37 dB, 클리핑 없이는 29.98 / 28.62 dB)보다 높다. 속도 우선 모델은 기준 망보다 2.63배 적은 코어 사이클로 30.00 / 28.94 dB다(시드 세 개 평균 29.97 / 28.92 dB). 합치기 없는 같은 32채널 망도 시드 평균으로 기준 망과 같은 화질(29.82 / 28.82 dB)을 2.66배 적은 사이클에 낸다. 보드에서 실행한 일곱 모델마다 Set12 한 장을 끝까지 실행했고, 모든 층이 정수 모델과 비트 단위로 일치했다. 입력이 사이클당 2값이면 같은 모델은 합치기가 더는 공짜가 아니라고 예측하고, 4값이거나 칩 안에 라인 버퍼를 두면 망 B도 기준 망보다 느려진다고 예측한다. 고를 망은 측정한 병목에 따라 달라진다.</w:t>
      </w:r>
    </w:p>
    <w:p>
      <w:pPr>
        <w:pStyle w:val="keywords"/>
      </w:pPr>
      <w:r>
        <w:t>주제어—영상 잡음 제거, CNN 가속기, FPGA, 하드웨어 인지 신경망 설계, maxout, 양자화 인지 학습</w:t>
      </w:r>
    </w:p>
    <w:p>
      <w:pPr>
        <w:pStyle w:val="1"/>
      </w:pPr>
      <w:r>
        <w:t>서론</w:t>
      </w:r>
    </w:p>
    <w:p>
      <w:pPr>
        <w:pStyle w:val="a3"/>
      </w:pPr>
      <w:r>
        <w:t>DnCNN [2] 같은 CNN 잡음 제거기는 고전 기법 BM3D [1]보다 화질이 좋지만 픽셀마다 수만 번의 곱셈이 필요하다. 가속기에 올릴 망을 고를 때는 보통 곱셈 수(FLOPs)나 파라미터 수를 비용으로 삼는다. 그러나 연산량과 실제 지연이 비례하지 않는다는 것은 알려져 있다. Roofline 모델 [12]은 연산 강도가 낮은 커널은 연산기가 아니라 대역폭에 묶인다고 설명하고, ShuffleNet V2 [9]는 GPU 실측 속도로 설계 지침을 세웠으며, EfficientNet-X [13]는 TPU/GPU에서 FLOPs와 지연의 비비례를 분석해 space-to-depth를 가속기 활용도를 위해 썼고, ABPN [14]은 모바일 NPU에서 연산자별 지연을 재어 INT8 초해상도 망을 설계했다. FPGA CNN 가속기는 칩 안의 파이프라인과 라인 버퍼로 메모리 대역폭 병목을 줄이는 방향으로 설계되어 왔다(PipeCNN [21] 등). 영상 복원에서는 eCNN/ERNet [15]이 DRAM 대역폭 제약에 맞춰 복원망을 공동 설계했고, 경량 CNN 잡음 제거기를 Zynq 계열 FPGA에 올린 보고 [18], [19]와 벤더 DPU에서 INT8 양자화 인지 학습으로 잡음을 제거한 ReTiDe [20]가 있다. 이들은 GPU, TPU, NPU, 벤더 DPU의 측정 지연이나 DRAM 대역폭을 다뤘다. 가장 가까운 연구로, HALP [25]는 GPU에서 잰 계단 모양의 지연(채널 수에 따라 계단처럼 바뀜)에 맞춰 채널을 가지치기하고, DRACO [26]는 데이터 흐름이 아니라 망을 바꿔 메모리에 묶인 망이 고정된 시스톨릭 배열의 PE를 더 쓰게 했다. 본 연구는 주어진 입력 병목이 어떤 망을 유리하게 만드는지를 정확한 사이클 모델로 정하고 보드에서 비트 단위로 확인한다는 점이 다르다.</w:t>
      </w:r>
    </w:p>
    <w:p>
      <w:pPr>
        <w:pStyle w:val="a3"/>
      </w:pPr>
      <w:r>
        <w:t xml:space="preserve">본 연구는 같은 원리를 더 작은 규모에서, 사이클 단위로 다룬다. 가속기는 Zynq XC7Z020에 올린 정수 CNN 코어로, 곱셈기가 64개이고 하나의 비트스트림이 층마다 형상만 레지스터로 바꿔 모든 층을 실행한다. 입력은 7비트 부호 없는 값, 모든 출력에는 ReLU가 걸린다. 현재 구현의 입력 포트는 사이클당 값 하나를 받으므로, 창 하나의 비용은 곱셈 수가 아니라 </w:t>
      </w:r>
      <w:r>
        <w:rPr>
          <w:b/>
        </w:rPr>
        <w:t>스트리밍되는 값의 수 K</w:t>
      </w:r>
      <w:r>
        <w:t>로 정해지고, 출력 채널은 곱셈기 수(64)까지 비용이 없다. 이 성질을 실측으로 확정한 사이클 모델에서 설계를 출발한다. 이 코어는 PC CPU보다 느린 실험용 플랫폼이며(V절), 목적은 처리량이 아니라 사이클을 정확히 따질 수 있는 환경에서 망 선택의 근거를 보이는 것이다.</w:t>
      </w:r>
    </w:p>
    <w:p>
      <w:pPr>
        <w:pStyle w:val="a3"/>
      </w:pPr>
      <w:r>
        <w:t>기여는 다음과 같다.</w:t>
      </w:r>
    </w:p>
    <w:p>
      <w:pPr>
        <w:pStyle w:val="a3"/>
      </w:pPr>
      <w:r>
        <w:t xml:space="preserve">1. 이 코어에서 </w:t>
      </w:r>
      <w:r>
        <w:rPr>
          <w:b/>
        </w:rPr>
        <w:t>공짜인 것과 비용인 것을 가르는 사이클 모델</w:t>
      </w:r>
      <w:r>
        <w:t xml:space="preserve">. 설계 단계 모델은 보드 실측과 1.7% 이내, 이전 보드 실행에서 본 보정 두 개를 넣으면 0.003% 이내로 맞는다. 공짜 집합은 출력 채널(≤ 64), 커널 모양, 리샘플링, host 쪽 비선형과 양자화기이고, 비용은 K다. 2. 그 모델이 가리키는, </w:t>
      </w:r>
      <w:r>
        <w:rPr>
          <w:b/>
        </w:rPr>
        <w:t>연산량 기준으로는 손해인 두 선택</w:t>
      </w:r>
      <w:r>
        <w:t xml:space="preserve">을 같은 사이클 축에서 비교한 표(iso-cycle 비교). space-to-depth는 6.4배 큰 망을 25% 적은 사이클에 넣고, 은닉층 출력을 2배로 늘려 두 개씩 합치는 설계(maxout)는 은닉층의 사이클을 바꾸지 않은 채(보드 실측 289 사이클/창, ReLU 층과 동일) 파라미터를 2배로 늘린다. 같은 폭의 ReLU 망, 평균으로 합치는 대조군, 같은 파라미터의 45채널 ReLU 망과 비교했고(ReLU·maxout은 시드 세 개), 같은 폭의 ReLU 망에 대한 화질 이득은 시드마다 엇갈렸다. 3. </w:t>
      </w:r>
      <w:r>
        <w:rPr>
          <w:b/>
        </w:rPr>
        <w:t>보드에서의 비트 단위 검증.</w:t>
      </w:r>
      <w:r>
        <w:t xml:space="preserve"> 보드 연산을 재현한 양자화 인지 학습(방법은 기존 관행, III절)으로 만든 정수 모델은 같은 입력 조건의 BM3D를 넘고(30.12 / 29.02 dB), 속도 우선 모델은 기준 망보다 2.63배 적은 사이클로 BM3D 수준이다(30.00 / 28.94 dB). 보드에서 실행한 일곱 모델은 모든 층이 정수 모델과 비트 단위로 일치했다.</w:t>
      </w:r>
    </w:p>
    <w:p>
      <w:pPr>
        <w:pStyle w:val="a3"/>
      </w:pPr>
      <w:r>
        <w:t xml:space="preserve">space-to-depth [3], [13], maxout [4], [16], [17], 양자화 인지 학습 [5] 자체는 알려진 기법이다. 본 연구의 주장은 기법이 아니라 </w:t>
      </w:r>
      <w:r>
        <w:rPr>
          <w:b/>
        </w:rPr>
        <w:t>선택의 근거</w:t>
      </w:r>
      <w:r>
        <w:t>다. 측정된 병목이 설계 규칙을 뒤집는다는 것을 작은 코어에서 사이클 단위로, 비트 단위로 검증한 사례 연구다. 결론은 PC가 창을 만들어 보내는 입력 구조에 대한 것이며, 칩 안 라인 버퍼 구조에서는 사이클 모델상 maxout이 더는 공짜가 아니고 망 B는 기준 망보다 느려진다(II절).</w:t>
      </w:r>
    </w:p>
    <w:p>
      <w:pPr>
        <w:pStyle w:val="1"/>
      </w:pPr>
      <w:r>
        <w:t>가속기와 사이클 모델</w:t>
      </w:r>
    </w:p>
    <w:p>
      <w:pPr>
        <w:ind w:firstLine="0"/>
        <w:jc w:val="center"/>
      </w:pPr>
      <w:r>
        <w:drawing>
          <wp:inline xmlns:a="http://schemas.openxmlformats.org/drawingml/2006/main" xmlns:pic="http://schemas.openxmlformats.org/drawingml/2006/picture">
            <wp:extent cx="3024000" cy="1391040"/>
            <wp:docPr id="1" name="Picture 1"/>
            <wp:cNvGraphicFramePr>
              <a:graphicFrameLocks noChangeAspect="1"/>
            </wp:cNvGraphicFramePr>
            <a:graphic>
              <a:graphicData uri="http://schemas.openxmlformats.org/drawingml/2006/picture">
                <pic:pic>
                  <pic:nvPicPr>
                    <pic:cNvPr id="0" name="fig_system.png"/>
                    <pic:cNvPicPr/>
                  </pic:nvPicPr>
                  <pic:blipFill>
                    <a:blip r:embed="rId8"/>
                    <a:stretch>
                      <a:fillRect/>
                    </a:stretch>
                  </pic:blipFill>
                  <pic:spPr>
                    <a:xfrm>
                      <a:off x="0" y="0"/>
                      <a:ext cx="3024000" cy="1391040"/>
                    </a:xfrm>
                    <a:prstGeom prst="rect"/>
                  </pic:spPr>
                </pic:pic>
              </a:graphicData>
            </a:graphic>
          </wp:inline>
        </w:drawing>
      </w:r>
    </w:p>
    <w:p>
      <w:pPr>
        <w:pStyle w:val="figurecaption"/>
        <w:numPr>
          <w:ilvl w:val="0"/>
          <w:numId w:val="0"/>
        </w:numPr>
      </w:pPr>
      <w:r>
        <w:t>그림 1. 시스템 구성. PC가 창(im2col)과 층 간 재양자화를 맡고, PL의 코어가 모든 합성곱을 계산한다.</w:t>
      </w:r>
    </w:p>
    <w:p>
      <w:pPr>
        <w:pStyle w:val="a3"/>
      </w:pPr>
      <w:r>
        <w:rPr>
          <w:b/>
        </w:rPr>
        <w:t>연산.</w:t>
      </w:r>
      <w:r>
        <w:t xml:space="preserve"> 코어는 창 하나(활성값 K개)를 받아 COUT개 채널의 </w:t>
      </w:r>
      <w:r>
        <w:rPr>
          <w:rFonts w:ascii="Courier New" w:hAnsi="Courier New"/>
        </w:rPr>
        <w:t>ReLU(b + Σ w·x)</w:t>
      </w:r>
      <w:r>
        <w:t>를 계산한다. 가중치 INT8, 누산 INT32, 활성값 7비트. 곱셈기는 출력 채널 P=16개 × 탭 뱅크 T=4개 = 64개이다. 런타임 형상은 K ≤ 1152, COUT ≤ 128이고, 같은 비트스트림으로 CIFAR-10 분류망과 본 잡음 제거망을 모두 실행했다. 설계는 XC7Z020의 LUT 21%, BRAM 51%를 쓴다. DSP는 0개다. 보드 빌드에서 DSP 사용을 제한하지 않았는데 Vivado가 8비트 곱셈을 모두 LUT로 구현했고(관측이며 보장되는 성질은 아니다), 그 결과 DSP 220개는 다른 용도로 남는다. 타이밍은 100 MHz에서 닫혔고(WNS +0.221 ns), 측정은 PS 초기화 기본값인 50 MHz에서 했으며 한 모델은 100 MHz에서도 돌려 사이클 수가 같음을 확인했다(표 II).</w:t>
      </w:r>
    </w:p>
    <w:p>
      <w:pPr>
        <w:pStyle w:val="a3"/>
      </w:pPr>
      <w:r>
        <w:rPr>
          <w:b/>
        </w:rPr>
        <w:t>사이클 모델.</w:t>
      </w:r>
      <w:r>
        <w:t xml:space="preserve"> 입력 포트는 사이클당 값 하나를 받고, 출력 채널은 P개씩 묶어 묶음마다 ⌈K/T⌉ 사이클에 처리한다. 다음 창을 받는 동안 현재 창을 계산하므로 창 하나의 비용은</w:t>
      </w:r>
    </w:p>
    <w:p>
      <w:pPr>
        <w:pStyle w:val="a3"/>
        <w:ind w:firstLine="0"/>
        <w:jc w:val="center"/>
      </w:pPr>
      <w:r>
        <w:t>C = max( K, ⌈COUT/P⌉ · ⌈K/T⌉ ).  (사이클/창)</w:t>
      </w:r>
    </w:p>
    <w:p>
      <w:pPr>
        <w:pStyle w:val="a3"/>
      </w:pPr>
      <w:r>
        <w:t xml:space="preserve">K가 앞서면 코어는 </w:t>
      </w:r>
      <w:r>
        <w:rPr>
          <w:b/>
        </w:rPr>
        <w:t>입력 대역에 묶인다</w:t>
      </w:r>
      <w:r>
        <w:t>. 이때 COUT ≤ P·T = 64인 한 출력 채널은 사이클을 바꾸지 않는다. 예를 들어 K=288에서 COUT 32와 64는 둘 다 288 사이클이고, 128이면 576이다. 이 식은 dense 모드의 상한이다. 보드 실행은 모두 sparse 모드였는데, 이 모드는 0인 활성값의 곱셈만 건너뛰어 연산 항을 줄이고 입력 항 K는 그대로이므로, 입력에 묶인 층의 사이클은 두 모드에서 같다. dense 모드의 COUT &gt; 64는 보드에서 재지 않았다. 같은 비트스트림의 CIFAR-10 실행에서 K=576, COUT=128 층은 sparse 모드(활성값의 65%가 0)로 591.5 사이클/창이었다. 이런 해석적 비용 모델은 FPGA 가속기 설계에서 흔히 쓰인다 [8].</w:t>
      </w:r>
    </w:p>
    <w:p>
      <w:pPr>
        <w:pStyle w:val="a3"/>
      </w:pPr>
      <w:r>
        <w:rPr>
          <w:b/>
        </w:rPr>
        <w:t>실측 보정.</w:t>
      </w:r>
      <w:r>
        <w:t xml:space="preserve"> 기준 7층 망의 보드 실행에서 모든 층이 이 값보다 창당 1 사이클 많았고, 창당 최소 COUT 사이클이 걸렸다(코어가 출력을 사이클당 하나씩 내보내므로; 같은 현상을 CIFAR-10 실행에서도 보았다). 두 보정은 매개변수가 없는 규칙이다. 창당 +1은 CIFAR-10 실행과 기준 망에서 보였고, 최소 COUT 규칙은 기준 망(첫 층 K=9, COUT=32 → 32 사이클)만으로는 "최소 32 사이클"과 구별되지 않아 B의 첫 층(K=36, COUT=64 → 64 사이클)에서 확정했다. 두 보정을 넣은 모델 C′ = max(C + 1, COUT)는 네 망의 총 사이클과 0.003% 안에서 맞고(표 II), 보정을 코드로 옮긴 뒤 처음 잰 B-32 ReLU 망은 미리 0.0014% 안에서 예측했다. 창당 1 사이클(289분의 1)은 RTL에 남은 비효율이며, 고치지 않고 모델에 넣었다. 보정 전 모델의 오차는 네 망에서 0.4–1.6%다.</w:t>
      </w:r>
    </w:p>
    <w:p>
      <w:pPr>
        <w:pStyle w:val="a3"/>
      </w:pPr>
      <w:r>
        <w:rPr>
          <w:b/>
        </w:rPr>
        <w:t>병목의 출처.</w:t>
      </w:r>
      <w:r>
        <w:t xml:space="preserve"> 입력이 사이클당 값 하나인 것은 FPGA의 물리 제약이 아니라 이 설계의 선택이다. 코어의 창 입력 포트가 사이클당 7비트 값 하나를 받고(</w:t>
      </w:r>
      <w:r>
        <w:rPr>
          <w:rFonts w:ascii="Courier New" w:hAnsi="Courier New"/>
        </w:rPr>
        <w:t>rtl/banked_window_mac.sv</w:t>
      </w:r>
      <w:r>
        <w:t xml:space="preserve">의 </w:t>
      </w:r>
      <w:r>
        <w:rPr>
          <w:rFonts w:ascii="Courier New" w:hAnsi="Courier New"/>
        </w:rPr>
        <w:t>s_data[6:0]</w:t>
      </w:r>
      <w:r>
        <w:t xml:space="preserve">), AXI-Stream 래퍼는 32비트 전송 단위(beat)에 실려 오는 값 4개를 그에 맞춰 1개/사이클로 풀어 넣는다. 래퍼만이 아니라 코어의 적재 경로도 바꿔야 포트가 넓어진다. 본 연구는 CIFAR-10용으로 만든 코어를 바꾸지 않고 주어진 것으로 다룬다(이미 있는 가속기를 쓰는 사용자의 입장). 포트를 4개/사이클로 넓히면 비용은 max(K/4, ⌈COUT/P⌉·⌈K/T⌉)가 되어 K=288, COUT=64인 층은 288 사이클(COUT=32이면 144)로 연산에 묶이고, 아래의 maxout은 더 이상 공짜가 아니다. 즉 본 논문의 규칙은 "이 포트 폭에서는"이라는 조건이 붙는다. 일반화하면 추가 사이클 없이 늘릴 수 있는 출력 채널은 대략 곱셈기 수를 입력 폭으로 나눈 값(P·T/w: 사이클당 1값이면 64, 2값이면 32, 4값이면 16)까지다. dense 상한으로는 2값/사이클만 돼도 maxout이 ReLU 망의 1.9배가 되고 B가 A보다 느려지지만(1,247 대 907 사이클/px), 보드에서 잰 활성값 밀도로 sparse 모드를 추정하면 maxout은 1.4–1.8배이고 B는 4값/사이클부터 A보다 느려진다(표 III). 포트를 넓히면 출력 64 층(4값부터는 모든 은닉층)의 비용을 정하는 것은 계산 항인데, 이 항은 같은 형상의 VGG11 </w:t>
      </w:r>
      <w:r>
        <w:rPr>
          <w:rFonts w:ascii="Courier New" w:hAnsi="Courier New"/>
        </w:rPr>
        <w:t>features.3</w:t>
      </w:r>
      <w:r>
        <w:t xml:space="preserve"> 창(K=576, 출력 128, dense·sparse 창 교대) 중 계산에 묶인 창에서 이 코어의 RTL 시뮬레이션과 창당 1 사이클 안에서 맞았다(모델 956.2 대 시뮬레이션 956.8 사이클/창, </w:t>
      </w:r>
      <w:r>
        <w:rPr>
          <w:rFonts w:ascii="Courier New" w:hAnsi="Courier New"/>
        </w:rPr>
        <w:t>python scripts/cifar_budget.py --validate</w:t>
      </w:r>
      <w:r>
        <w:t>). 예측은 이 항에 기댄다. 창을 PC가 만든다는 점도 같은 역할을 한다. 칩 안에 라인 버퍼를 두는 일반적인 FPGA 가속기 구조 [21]에서는 창마다 새 입력 픽셀 하나의 C_in개 값만 들어오므로, dense 사이클 모델로 은닉층(K=288)이 COUT=32에서 145, COUT=64에서 289 사이클/창이 된다. 그러면 maxout은 ReLU의 약 2배 비용(B-32 maxout 615 대 ReLU 319 사이클/px)이 되어 더는 공짜가 아니고, 망 전체로도 A(833 사이클/px)가 B(1,209)보다 빨라진다(sparse 추정에서도 같다; 예측이며 보드에서 재지 않았다). 전달하려는 것은 규칙 자체가 아니라, 측정한 병목에 맞춰 망을 고르면 연산량 기준의 선택이 뒤집힌다는 방법이다.</w:t>
      </w:r>
    </w:p>
    <w:p>
      <w:pPr>
        <w:pStyle w:val="a3"/>
      </w:pPr>
      <w:r>
        <w:rPr>
          <w:b/>
        </w:rPr>
        <w:t>공짜인 것, 그리고 host의 몫.</w:t>
      </w:r>
      <w:r>
        <w:t xml:space="preserve"> 창을 PC가 만들기 때문에 창의 모양(팽창, 2×2 위상 분할, 임의의 탭 배치)은 코어 사이클이 아니다. 층 사이의 재양자화도 PC가 하므로 그 자리에서 하는 값별 연산(채널 쌍의 max, 채널의 공간 배치)도 코어 사이클이 아니다. 코어 사이클에는 오직 K가 든다. host의 몫은 0이 아니다. 256×256 영상 한 장에 im2col, 재양자화, maxout의 max를 합쳐 0.07–0.13 s이며(4코어 PC, numpy; </w:t>
      </w:r>
      <w:r>
        <w:rPr>
          <w:rFonts w:ascii="Courier New" w:hAnsi="Courier New"/>
        </w:rPr>
        <w:t>scripts/time_host.py</w:t>
      </w:r>
      <w:r>
        <w:t>, 대부분이 재양자화), 50 MHz 코어 시간의 5–9%다. 은닉층에서는 창당 host 연산(COUT + COUT/2)이 K보다 작으므로 스트리밍 단으로 하드웨어화해도 입력 한계 아래에 숨는다(첫 층은 예외). 표 II의 벽시계 시간이 이보다 훨씬 긴 것은 JTAG 전송과 보드 쪽 검증 오라클 때문이다.</w:t>
      </w:r>
    </w:p>
    <w:p>
      <w:pPr>
        <w:pStyle w:val="1"/>
      </w:pPr>
      <w:r>
        <w:t>하드웨어에 맞춘 망 설계</w:t>
      </w:r>
    </w:p>
    <w:p>
      <w:pPr>
        <w:pStyle w:val="a3"/>
      </w:pPr>
      <w:r>
        <w:rPr>
          <w:b/>
        </w:rPr>
        <w:t>제약과 기본 망 (A).</w:t>
      </w:r>
      <w:r>
        <w:t xml:space="preserve"> DnCNN을 줄인 7층 × 32채널 3×3 망이다(배치 정규화는 합성곱에 합친다). 입력은 [0, 1]로 자르고 7비트로 양자화한다(학습과 평가에서 동일). 모든 출력에 ReLU가 걸리므로 DnCNN처럼 잡음(부호 있음)을 예측할 수 없다. 그래서 마지막 층이 </w:t>
      </w:r>
      <w:r>
        <w:rPr>
          <w:b/>
        </w:rPr>
        <w:t>깨끗한 영상을 직접 출력</w:t>
      </w:r>
      <w:r>
        <w:t>하고, 잡음 영상을 마지막 층에 한 채널 더 입력(skip)해서 "입력을 베끼고 고치는" 경로를 준다. 부호를 둘로 나눠 잡음을 예측하는 변형((w, b), (−w, −b) 두 채널)도 시험했지만 정수 변환 손실이 0.30 dB로 직접 출력 망(0.12 dB)보다 커서 쓰지 않았다(60 epoch 모델 기준).</w:t>
      </w:r>
    </w:p>
    <w:p>
      <w:pPr>
        <w:pStyle w:val="a3"/>
      </w:pPr>
      <w:r>
        <w:rPr>
          <w:b/>
        </w:rPr>
        <w:t>병목 분석.</w:t>
      </w:r>
      <w:r>
        <w:t xml:space="preserve"> A의 중간 층(K=288, COUT=32)은 계산에 ⌈32/16⌉·72 = 144 사이클이면 되지만 입력을 받는 데 288 사이클이 걸린다. 망 전체로 곱셈기 활용률(dense 곱셈 수 / (64 × 사이클))은 </w:t>
      </w:r>
      <w:r>
        <w:rPr>
          <w:b/>
        </w:rPr>
        <w:t>41%</w:t>
      </w:r>
      <w:r>
        <w:t>다. 현재 포트 폭에서는 곱셈기를 늘려도 빨라지지 않고, 줄여도 느려지지 않는다. 설계 방향은 둘이다. K를 줄이거나, 노는 곱셈기를 공짜로 쓰거나.</w:t>
      </w:r>
    </w:p>
    <w:p>
      <w:pPr>
        <w:pStyle w:val="a3"/>
      </w:pPr>
      <w:r>
        <w:rPr>
          <w:b/>
        </w:rPr>
        <w:t>space-to-depth (B).</w:t>
      </w:r>
      <w:r>
        <w:t xml:space="preserve"> FFDNet [3]처럼 영상을 2×2 위상으로 나눠 반쪽 해상도 4채널로 처리한다. 창 수가 1/4이 되므로, 같은 사이클 예산 안에 채널 64, 깊이 10층의 망이 들어간다. 중간 층은 K=576, COUT=64로 ⌈64/16⌉·144 = 576 = K: 입력 대역과 연산이 정확히 균형을 이룬다(망 전체 활용률 88%). 파라미터는 A의 6.4배, 곱셈은 1.6배인데 사이클은 25% 적다. 이 비교에서 바뀐 것은 리샘플링만이 아니라 깊이·폭·파라미터이므로, 아래 표의 B 대 A 차이는 "space-to-depth 덕분에 더 큰 망이 더 적은 사이클에 들어간다"로 읽어야 한다.</w:t>
      </w:r>
    </w:p>
    <w:p>
      <w:pPr>
        <w:pStyle w:val="a3"/>
      </w:pPr>
      <w:r>
        <w:rPr>
          <w:b/>
        </w:rPr>
        <w:t>공짜 출력 채널을 두 개씩 합치기 (B-32+maxout).</w:t>
      </w:r>
      <w:r>
        <w:t xml:space="preserve"> B의 채널을 32로 줄이면 중간 층이 K=288로 돌아와 사이클이 B의 절반이 되지만, 다시 출력 채널 64까지가 공짜가 된다. 이 공짜 출력으로 망의 용량을 늘린다. 은닉층이 채널마다 후보 두 개를 계산하고(출력 64), PC가 재양자화할 때 큰 쪽만 다음 층으로 넘긴다(입력 32, K=288 유지). 합치기가 필요한 이유는 다음 층이다. 출력 64개를 그대로 넘기면 다음 층의 K가 576이 되어 사이클이 2배가 된다. 두 개씩 합쳐 32개로 넘기면 출력 쪽의 공짜 용량은 쓰고 비용이 드는 입력 쪽은 그대로 둔다. 같은 파라미터를 ReLU만으로 얻으려면 은닉층이 45채널이어야 하는데(파라미터 149,593, maxout 망 151,636; 바이어스 포함), 그러면 K가 405로 늘어 사이클 모델로 934 사이클/px, maxout 망보다 38% 비싸다(V절에서 학습해 비교한다).</w:t>
      </w:r>
    </w:p>
    <w:p>
      <w:pPr>
        <w:pStyle w:val="a3"/>
        <w:ind w:firstLine="0"/>
        <w:jc w:val="center"/>
      </w:pPr>
      <w:r>
        <w:t>max(ReLU(a), ReLU(b)) = ReLU(max(a, b)).</w:t>
      </w:r>
    </w:p>
    <w:p>
      <w:pPr>
        <w:pStyle w:val="a3"/>
      </w:pPr>
      <w:r>
        <w:t>이것이 maxout [4](Max-Feature-Map [10] 형태)이다. 복원망에서 maxout의 효과는 망 폭에 따라 다르다. Choi와 Kim [16]은 초해상도에서 maxout으로 필터 수를 절반으로 줄여도 화질을 유지했고, MTLU [17]는 4× space-to-depth 잡음 제거망(64채널, σ=50)에서 maxout이 ReLU보다 약 0.04 dB 낮다고 보고했다. 이 코어의 특징은 그 효과를 사이클 대가 없이 시험할 수 있다는 점이다. max 자체의 효과와 늘어난 용량의 효과를 가르려고, 같은 64 출력을 재양자화 뒤 평균((a+b+1)&gt;&gt;1)으로 합치는 대조군을 같은 조건으로 학습했다(V절). 평균 결합은 다음 층 가중치가 쌍마다 묶인 64채널 ReLU 층과 같아서, 파라미터와 사이클이 maxout과 같고 max만 없다. 일반 하드웨어에서 maxout은 층의 곱셈을 2배로 늘리지만, 여기서는 다음 층의 K가 그대로이므로 K ≥ COUT인 은닉층의 사이클이 그대로다(첫 층은 K=36 &lt; 64라 창당 64 사이클이 되어 픽셀당 1%가 는다). 재양자화가 채널별 단조 함수이므로 코드의 max는 실수 값의 max를 재양자화한 것과 같다. 정수 모델과 보드 드라이버가 같은 순서로 계산한다.</w:t>
      </w:r>
    </w:p>
    <w:p>
      <w:pPr>
        <w:pStyle w:val="a3"/>
      </w:pPr>
      <w:r>
        <w:rPr>
          <w:b/>
        </w:rPr>
        <w:t>학습.</w:t>
      </w:r>
      <w:r>
        <w:t xml:space="preserve"> Train400 중 20장을 검증용으로 떼고 380장으로 학습한다. 40×40(A) 또는 50×50(B 계열) 패치, 뒤집기·회전, MSE, Adam(초기 10⁻³, 배치 128). 검증 PSNR이 6 epoch 동안 오르지 않으면 학습률을 반으로, 15 epoch 동안 오르지 않으면 종료한다. 검증 최고 모델을 쓴다. 체크포인트, 학습률 조정, 양자화 범위는 어느 것도 테스트셋(Set12, BSD68)으로 고르지 않았다. 데이터, 증강, 손실, 학습률 규칙은 모든 망이 같고 epoch당 픽셀 수도 같지만(52.4M 대 51.2M), epoch당 갱신 횟수는 A 256, B 계열 160이다. 최고 검증 epoch까지의 갱신은 A 2.7만, B 2.2만이었다. B-32 세 망(ReLU, 평균 결합, maxout)과 45채널 ReLU 망은 조기 종료 없이 같은 120 epoch(갱신 19,200회)을 학습하고 검증 최고 모델을 썼다. 처음 조기 종료로 학습했을 때 B-32(ReLU)는 epoch 26에 검증 PSNR이 무너진 뒤 15 epoch 안에 회복하지 못해 epoch 40(갱신 6,400)에 멈췄고 쓴 체크포인트는 epoch 25(갱신 0.4만; maxout은 1.8만)였으며, 그래서 예산을 맞춰 다시 학습했다. 시드는 B-32 ReLU와 maxout이 1·2·3, 평균 결합이 1·2이고 나머지 망은 1이다. 시드 1은 CPU에서, 시드 2·3과 45채널 망은 다른 PC의 GPU(PyTorch 기본 설정)에서 학습했다. 가중치 초기값과 학습 패치·잡음은 시드만으로 정해져 장치가 달라도 같고, 다른 것은 부동소수점 연산이다(GPU 기본값에서는 합성곱이 TF32일 수 있어 정밀도도 다르다). 같은 시드의 첫 epoch 학습 손실은 CPU와 GPU에서 ReLU 0.07%, 평균 결합 0.13% 안에서 같았지만, maxout은 1.2% 달라 CPU에서 시드를 바꾼 차이(0.4%)보다 컸다. 연산 정밀도 차이로 학습 궤적이 갈라진 것과 맞는다.</w:t>
      </w:r>
    </w:p>
    <w:p>
      <w:pPr>
        <w:pStyle w:val="a3"/>
      </w:pPr>
      <w:r>
        <w:rPr>
          <w:b/>
        </w:rPr>
        <w:t>양자화와 양자화 인지 학습.</w:t>
      </w:r>
      <w:r>
        <w:t xml:space="preserve"> 정수 추론 [5]을 따른다. 가중치는 출력 채널별 대칭 INT8, 바이어스 INT32, 활성값은 층(맵)마다 스케일 하나를 갖는 7비트. 스케일은 먼저 학습 영상에서 맵마다 활성값 분포의 퍼센타일을 골라 정하고(범위 통계는 Train400의 매 10번째 40장, 퍼센타일 선택은 그와 겹치지 않는 다른 40장이며, Set12와 BSD68은 쓰지 않음), 이어서 </w:t>
      </w:r>
      <w:r>
        <w:rPr>
          <w:b/>
        </w:rPr>
        <w:t>보드의 정수 연산을 float 안에서 그대로 재현한 모듈</w:t>
      </w:r>
      <w:r>
        <w:t>(INT8 가중치 반올림, 7비트 활성값 반올림, 바이어스 단위, skip 입력의 스케일 비 접기, 재양자화 뒤의 maxout, 8비트 출력)을 straight-through 추정으로 15 epoch 미세조정한다(학습률 10⁻⁴). 활성값 스케일은 학습 변수다(LSQ [6]). 검증은 양자화를 켠 채로 하므로 남는 모델이 곧 보드 모델이다. 같은 스케일을 주면 이 모듈과 정수 모델의 PSNR은 0.001 dB 안에서 같다. 이 방식 자체는 FPGA용 양자화 도구들이 쓰는 비트 정확 에뮬레이션과 같은 관행이며, 본 코어에 맞춘 것은 7비트 부호 없는 활성값, 재양자화 뒤의 maxout, skip 스케일 접기다.</w:t>
      </w:r>
    </w:p>
    <w:p>
      <w:pPr>
        <w:pStyle w:val="1"/>
      </w:pPr>
      <w:r>
        <w:t>검증</w:t>
      </w:r>
    </w:p>
    <w:p>
      <w:pPr>
        <w:pStyle w:val="a3"/>
      </w:pPr>
      <w:r>
        <w:rPr>
          <w:b/>
        </w:rPr>
        <w:t>RTL.</w:t>
      </w:r>
      <w:r>
        <w:t xml:space="preserve"> UVM [11] 환경(AXI4-Lite·AXI4-Stream 에이전트, 모니터에서 예측하는 참조 모델 스코어보드, 형상·모드·데이터·흐름 커버리지, AXI 핸드셰이크 assertion 8개)을 Verilator 5.052에서 돌렸다. 테스트 4종을 빌드 4개와 시드 2–3개로 실행해 UVM 1.2에서 39회, IEEE 1800.2-2020에서 26회 모두 통과했고(xsim은 돌리지 않았다), UVM 1.2 실행에서 출력 38,809개와 레지스터 읽기 7,114개를 비교했다(2020판 실행은 23,043개와 4,774개). 일부러 넣은 버그 10개를 모두 검출했다. 형상 커버리지는 축소 빌드에서 89–100%, 보드 빌드에서는 17–29%다. 지시 테스트는 CIFAR-10 층 형상(K=27–1152, COUT=32–128)을 덮으며, 잡음 제거망의 형상(K=9, 36, 297, 324, 612 등)은 UVM이 아니라 보드에서 비트 단위로 검증했다.</w:t>
      </w:r>
    </w:p>
    <w:p>
      <w:pPr>
        <w:pStyle w:val="a3"/>
      </w:pPr>
      <w:r>
        <w:rPr>
          <w:b/>
        </w:rPr>
        <w:t>보드.</w:t>
      </w:r>
      <w:r>
        <w:t xml:space="preserve"> 층마다 보드 출력을 PC 정수 모델의 정답과 보드 쪽에서 값 하나하나 비교하고, 최종 PSNR이 정수 모델의 값과 같아야 통과한다. 본 논문의 모든 "보드" 수치는 이 검사를 통과한 것이다.</w:t>
      </w:r>
    </w:p>
    <w:p>
      <w:pPr>
        <w:pStyle w:val="1"/>
      </w:pPr>
      <w:r>
        <w:t>결과</w:t>
      </w:r>
    </w:p>
    <w:p>
      <w:pPr>
        <w:pStyle w:val="a3"/>
      </w:pPr>
      <w:r>
        <w:rPr>
          <w:b/>
        </w:rPr>
        <w:t>조건.</w:t>
      </w:r>
      <w:r>
        <w:t xml:space="preserve"> Set12(12장), BSD68 [7](68장), 가우시안 잡음 σ=25. 모든 기법에 같은 잡음 영상(고정 시드)을 </w:t>
      </w:r>
      <w:r>
        <w:rPr>
          <w:b/>
        </w:rPr>
        <w:t>클리핑하고 7비트로 양자화해서</w:t>
      </w:r>
      <w:r>
        <w:t xml:space="preserve"> 넣었다. 이 조건은 CNN에는 학습 분포이지만 BM3D에는 아니다. 클리핑 없는 float 잡음에서 BM3D는 Set12 +0.03, BSD68 +0.26 dB 높고(포화 픽셀이 많은 영상에 집중), BM3D의 σ를 학습 영상에서 다시 골라도 차이는 0.1 dB 이내다. 표에는 두 값을 모두 적는다. 화질은 PSNR과 함께 SSIM [27](8비트 영상, 11×11 가우시안 창, σ=1.5)으로도 쟀다. SSIM은 모든 출력을 같은 잡음에서 다시 만들고, 사진별 PSNR이 저장된 값과 맞는지(정수 모델 10⁻⁵ dB, BM3D·DnCNN-S 10⁻³ dB 안) 먼저 확인한 뒤 계산했다(</w:t>
      </w:r>
      <w:r>
        <w:rPr>
          <w:rFonts w:ascii="Courier New" w:hAnsi="Courier New"/>
        </w:rPr>
        <w:t>denoise/ssim_eval.py</w:t>
      </w:r>
      <w:r>
        <w:t>). 같은 입력에서의 CNN 기준선으로 공개 DnCNN-S [2] 가중치(17층 × 64, 556k, float, 클리핑 없이 학습)를 평가했다. 정수 PSNR은 보드와 같은 정수 연산을 PC에서 수행한 값이며, 보드에서 실행한 일곱 모델(A, B, B+QAT, 조기 종료판 B-32+maxout과 그 QAT 모델, 같은 예산판 B-32 ReLU+QAT와 B-32+maxout+QAT)마다 Set12 05.png 한 장을 끝까지 실행해 전 층 비트 일치를 확인했다(표 II). B-32 비교는 시드 세 개로 하고, 시드가 하나인 망끼리의 0.1 dB 미만 차이는 해석하지 않는다.</w:t>
      </w:r>
    </w:p>
    <w:p>
      <w:pPr>
        <w:spacing w:after="0" w:before="0"/>
        <w:sectPr>
          <w:type w:val="continuous"/>
          <w:pgSz w:w="11909" w:h="16834"/>
          <w:pgMar w:top="1080" w:right="734" w:bottom="2434" w:left="734" w:header="720" w:footer="720" w:gutter="0"/>
          <w:cols w:space="360" w:num="2"/>
          <w:docGrid w:linePitch="360"/>
        </w:sectPr>
      </w:pPr>
    </w:p>
    <w:p>
      <w:pPr>
        <w:pStyle w:val="tablehead"/>
        <w:numPr>
          <w:ilvl w:val="0"/>
          <w:numId w:val="0"/>
        </w:numPr>
      </w:pPr>
      <w:r>
        <w:t>표 I. 평균 PSNR(dB)과 코어 비용. 정수 = 보드와 같은 정수 연산의 값. 사이클은 보정 모델이며 "실측"은 보드에서 잰 모델(05.png)이다. SSIM은 정수 모델(보드와 같은 8비트 출력)의 값이며, BM3D와 DnCNN-S는 float 출력을 8비트로 반올림해 계산했다. 마지막 열은 정수 모델이 BM3D(클리핑 입력)보다 PSNR이 높은 사진 수. B-32와 45채널 행은 조기 종료 없이 120 epoch(갱신 19,200회)을 학습했고, +QAT 행은 여기에 QAT 15 epoch을 더했다(QAT 단계의 시드는 모든 QAT 모델이 3). 시드 표시가 없는 B-32 행은 시드 1이고, "시드 1–3" 행은 세 시드의 평균(괄호는 범위)이다. 평균 결합 QAT 모델의 float 값은 뜻이 없어 적지 않는다(아래 QAT 항목).</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2891"/>
        <w:gridCol w:w="964"/>
        <w:gridCol w:w="964"/>
        <w:gridCol w:w="964"/>
        <w:gridCol w:w="964"/>
        <w:gridCol w:w="964"/>
        <w:gridCol w:w="964"/>
        <w:gridCol w:w="964"/>
      </w:tblGrid>
      <w:tr>
        <w:tc>
          <w:tcPr>
            <w:tcW w:type="dxa" w:w="2891"/>
          </w:tcPr>
          <w:p>
            <w:pPr>
              <w:pStyle w:val="tablecolhead"/>
              <w:spacing w:before="20" w:after="20"/>
            </w:pPr>
            <w:r>
              <w:t>모델</w:t>
            </w:r>
          </w:p>
        </w:tc>
        <w:tc>
          <w:tcPr>
            <w:tcW w:type="dxa" w:w="964"/>
          </w:tcPr>
          <w:p>
            <w:pPr>
              <w:pStyle w:val="tablecolhead"/>
              <w:spacing w:before="20" w:after="20"/>
              <w:jc w:val="center"/>
            </w:pPr>
            <w:r>
              <w:t>사이클/px</w:t>
            </w:r>
          </w:p>
        </w:tc>
        <w:tc>
          <w:tcPr>
            <w:tcW w:type="dxa" w:w="964"/>
          </w:tcPr>
          <w:p>
            <w:pPr>
              <w:pStyle w:val="tablecolhead"/>
              <w:spacing w:before="20" w:after="20"/>
              <w:jc w:val="center"/>
            </w:pPr>
            <w:r>
              <w:t>곱셈기 활용률</w:t>
            </w:r>
          </w:p>
        </w:tc>
        <w:tc>
          <w:tcPr>
            <w:tcW w:type="dxa" w:w="964"/>
          </w:tcPr>
          <w:p>
            <w:pPr>
              <w:pStyle w:val="tablecolhead"/>
              <w:spacing w:before="20" w:after="20"/>
              <w:jc w:val="center"/>
            </w:pPr>
            <w:r>
              <w:t>파라미터</w:t>
            </w:r>
          </w:p>
        </w:tc>
        <w:tc>
          <w:tcPr>
            <w:tcW w:type="dxa" w:w="964"/>
          </w:tcPr>
          <w:p>
            <w:pPr>
              <w:pStyle w:val="tablecolhead"/>
              <w:spacing w:before="20" w:after="20"/>
              <w:jc w:val="center"/>
            </w:pPr>
            <w:r>
              <w:t>Set12 float / 정수</w:t>
            </w:r>
          </w:p>
        </w:tc>
        <w:tc>
          <w:tcPr>
            <w:tcW w:type="dxa" w:w="964"/>
          </w:tcPr>
          <w:p>
            <w:pPr>
              <w:pStyle w:val="tablecolhead"/>
              <w:spacing w:before="20" w:after="20"/>
              <w:jc w:val="center"/>
            </w:pPr>
            <w:r>
              <w:t>BSD68 float / 정수</w:t>
            </w:r>
          </w:p>
        </w:tc>
        <w:tc>
          <w:tcPr>
            <w:tcW w:type="dxa" w:w="964"/>
          </w:tcPr>
          <w:p>
            <w:pPr>
              <w:pStyle w:val="tablecolhead"/>
              <w:spacing w:before="20" w:after="20"/>
              <w:jc w:val="center"/>
            </w:pPr>
            <w:r>
              <w:t>SSIM Set12 / BSD68</w:t>
            </w:r>
          </w:p>
        </w:tc>
        <w:tc>
          <w:tcPr>
            <w:tcW w:type="dxa" w:w="964"/>
          </w:tcPr>
          <w:p>
            <w:pPr>
              <w:pStyle w:val="tablecolhead"/>
              <w:spacing w:before="20" w:after="20"/>
              <w:jc w:val="center"/>
            </w:pPr>
            <w:r>
              <w:t>&gt; BM3D</w:t>
            </w:r>
          </w:p>
        </w:tc>
      </w:tr>
      <w:tr>
        <w:tc>
          <w:tcPr>
            <w:tcW w:type="dxa" w:w="2891"/>
          </w:tcPr>
          <w:p>
            <w:pPr>
              <w:pStyle w:val="tablecopy"/>
              <w:spacing w:before="20" w:after="20"/>
            </w:pPr>
            <w:r>
              <w:t>BM3D [1], 클리핑 입력</w:t>
            </w:r>
          </w:p>
        </w:tc>
        <w:tc>
          <w:tcPr>
            <w:tcW w:type="dxa" w:w="964"/>
          </w:tcPr>
          <w:p>
            <w:pPr>
              <w:pStyle w:val="tablecopy"/>
              <w:spacing w:before="20" w:after="20"/>
              <w:jc w:val="center"/>
            </w:pPr>
            <w:r>
              <w:t>—</w:t>
            </w:r>
          </w:p>
        </w:tc>
        <w:tc>
          <w:tcPr>
            <w:tcW w:type="dxa" w:w="964"/>
          </w:tcPr>
          <w:p>
            <w:pPr>
              <w:pStyle w:val="tablecopy"/>
              <w:spacing w:before="20" w:after="20"/>
              <w:jc w:val="center"/>
            </w:pPr>
            <w:r>
              <w:t>—</w:t>
            </w:r>
          </w:p>
        </w:tc>
        <w:tc>
          <w:tcPr>
            <w:tcW w:type="dxa" w:w="964"/>
          </w:tcPr>
          <w:p>
            <w:pPr>
              <w:pStyle w:val="tablecopy"/>
              <w:spacing w:before="20" w:after="20"/>
              <w:jc w:val="center"/>
            </w:pPr>
            <w:r>
              <w:t>—</w:t>
            </w:r>
          </w:p>
        </w:tc>
        <w:tc>
          <w:tcPr>
            <w:tcW w:type="dxa" w:w="964"/>
          </w:tcPr>
          <w:p>
            <w:pPr>
              <w:pStyle w:val="tablecopy"/>
              <w:spacing w:before="20" w:after="20"/>
              <w:jc w:val="center"/>
            </w:pPr>
            <w:r>
              <w:t>29.95</w:t>
            </w:r>
          </w:p>
        </w:tc>
        <w:tc>
          <w:tcPr>
            <w:tcW w:type="dxa" w:w="964"/>
          </w:tcPr>
          <w:p>
            <w:pPr>
              <w:pStyle w:val="tablecopy"/>
              <w:spacing w:before="20" w:after="20"/>
              <w:jc w:val="center"/>
            </w:pPr>
            <w:r>
              <w:t>28.37</w:t>
            </w:r>
          </w:p>
        </w:tc>
        <w:tc>
          <w:tcPr>
            <w:tcW w:type="dxa" w:w="964"/>
          </w:tcPr>
          <w:p>
            <w:pPr>
              <w:pStyle w:val="tablecopy"/>
              <w:spacing w:before="20" w:after="20"/>
              <w:jc w:val="center"/>
            </w:pPr>
            <w:r>
              <w:t>0.8504 / 0.7990</w:t>
            </w:r>
          </w:p>
        </w:tc>
        <w:tc>
          <w:tcPr>
            <w:tcW w:type="dxa" w:w="964"/>
          </w:tcPr>
          <w:p>
            <w:pPr>
              <w:pStyle w:val="tablecopy"/>
              <w:spacing w:before="20" w:after="20"/>
              <w:jc w:val="center"/>
            </w:pPr>
            <w:r>
              <w:t>—</w:t>
            </w:r>
          </w:p>
        </w:tc>
      </w:tr>
      <w:tr>
        <w:tc>
          <w:tcPr>
            <w:tcW w:type="dxa" w:w="2891"/>
          </w:tcPr>
          <w:p>
            <w:pPr>
              <w:pStyle w:val="tablecopy"/>
              <w:spacing w:before="20" w:after="20"/>
            </w:pPr>
            <w:r>
              <w:t>BM3D, 클리핑 없음</w:t>
            </w:r>
          </w:p>
        </w:tc>
        <w:tc>
          <w:tcPr>
            <w:tcW w:type="dxa" w:w="964"/>
          </w:tcPr>
          <w:p>
            <w:pPr>
              <w:pStyle w:val="tablecopy"/>
              <w:spacing w:before="20" w:after="20"/>
              <w:jc w:val="center"/>
            </w:pPr>
            <w:r>
              <w:t>—</w:t>
            </w:r>
          </w:p>
        </w:tc>
        <w:tc>
          <w:tcPr>
            <w:tcW w:type="dxa" w:w="964"/>
          </w:tcPr>
          <w:p>
            <w:pPr>
              <w:pStyle w:val="tablecopy"/>
              <w:spacing w:before="20" w:after="20"/>
              <w:jc w:val="center"/>
            </w:pPr>
            <w:r>
              <w:t>—</w:t>
            </w:r>
          </w:p>
        </w:tc>
        <w:tc>
          <w:tcPr>
            <w:tcW w:type="dxa" w:w="964"/>
          </w:tcPr>
          <w:p>
            <w:pPr>
              <w:pStyle w:val="tablecopy"/>
              <w:spacing w:before="20" w:after="20"/>
              <w:jc w:val="center"/>
            </w:pPr>
            <w:r>
              <w:t>—</w:t>
            </w:r>
          </w:p>
        </w:tc>
        <w:tc>
          <w:tcPr>
            <w:tcW w:type="dxa" w:w="964"/>
          </w:tcPr>
          <w:p>
            <w:pPr>
              <w:pStyle w:val="tablecopy"/>
              <w:spacing w:before="20" w:after="20"/>
              <w:jc w:val="center"/>
            </w:pPr>
            <w:r>
              <w:t>29.98</w:t>
            </w:r>
          </w:p>
        </w:tc>
        <w:tc>
          <w:tcPr>
            <w:tcW w:type="dxa" w:w="964"/>
          </w:tcPr>
          <w:p>
            <w:pPr>
              <w:pStyle w:val="tablecopy"/>
              <w:spacing w:before="20" w:after="20"/>
              <w:jc w:val="center"/>
            </w:pPr>
            <w:r>
              <w:t>28.62</w:t>
            </w:r>
          </w:p>
        </w:tc>
        <w:tc>
          <w:tcPr>
            <w:tcW w:type="dxa" w:w="964"/>
          </w:tcPr>
          <w:p>
            <w:pPr>
              <w:pStyle w:val="tablecopy"/>
              <w:spacing w:before="20" w:after="20"/>
              <w:jc w:val="center"/>
            </w:pPr>
            <w:r>
              <w:t>0.8513 / 0.8037</w:t>
            </w:r>
          </w:p>
        </w:tc>
        <w:tc>
          <w:tcPr>
            <w:tcW w:type="dxa" w:w="964"/>
          </w:tcPr>
          <w:p>
            <w:pPr>
              <w:pStyle w:val="tablecopy"/>
              <w:spacing w:before="20" w:after="20"/>
              <w:jc w:val="center"/>
            </w:pPr>
            <w:r>
              <w:t>—</w:t>
            </w:r>
          </w:p>
        </w:tc>
      </w:tr>
      <w:tr>
        <w:tc>
          <w:tcPr>
            <w:tcW w:type="dxa" w:w="2891"/>
          </w:tcPr>
          <w:p>
            <w:pPr>
              <w:pStyle w:val="tablecopy"/>
              <w:spacing w:before="20" w:after="20"/>
            </w:pPr>
            <w:r>
              <w:t>DnCNN-S [2], 같은 입력 (float)</w:t>
            </w:r>
          </w:p>
        </w:tc>
        <w:tc>
          <w:tcPr>
            <w:tcW w:type="dxa" w:w="964"/>
          </w:tcPr>
          <w:p>
            <w:pPr>
              <w:pStyle w:val="tablecopy"/>
              <w:spacing w:before="20" w:after="20"/>
              <w:jc w:val="center"/>
            </w:pPr>
            <w:r>
              <w:t>9.3k (모델)</w:t>
            </w:r>
          </w:p>
        </w:tc>
        <w:tc>
          <w:tcPr>
            <w:tcW w:type="dxa" w:w="964"/>
          </w:tcPr>
          <w:p>
            <w:pPr>
              <w:pStyle w:val="tablecopy"/>
              <w:spacing w:before="20" w:after="20"/>
              <w:jc w:val="center"/>
            </w:pPr>
            <w:r>
              <w:t>—</w:t>
            </w:r>
          </w:p>
        </w:tc>
        <w:tc>
          <w:tcPr>
            <w:tcW w:type="dxa" w:w="964"/>
          </w:tcPr>
          <w:p>
            <w:pPr>
              <w:pStyle w:val="tablecopy"/>
              <w:spacing w:before="20" w:after="20"/>
              <w:jc w:val="center"/>
            </w:pPr>
            <w:r>
              <w:t>556k</w:t>
            </w:r>
          </w:p>
        </w:tc>
        <w:tc>
          <w:tcPr>
            <w:tcW w:type="dxa" w:w="964"/>
          </w:tcPr>
          <w:p>
            <w:pPr>
              <w:pStyle w:val="tablecopy"/>
              <w:spacing w:before="20" w:after="20"/>
              <w:jc w:val="center"/>
            </w:pPr>
            <w:r>
              <w:t>30.35</w:t>
            </w:r>
          </w:p>
        </w:tc>
        <w:tc>
          <w:tcPr>
            <w:tcW w:type="dxa" w:w="964"/>
          </w:tcPr>
          <w:p>
            <w:pPr>
              <w:pStyle w:val="tablecopy"/>
              <w:spacing w:before="20" w:after="20"/>
              <w:jc w:val="center"/>
            </w:pPr>
            <w:r>
              <w:t>28.89</w:t>
            </w:r>
          </w:p>
        </w:tc>
        <w:tc>
          <w:tcPr>
            <w:tcW w:type="dxa" w:w="964"/>
          </w:tcPr>
          <w:p>
            <w:pPr>
              <w:pStyle w:val="tablecopy"/>
              <w:spacing w:before="20" w:after="20"/>
              <w:jc w:val="center"/>
            </w:pPr>
            <w:r>
              <w:t>0.8594 / 0.8217</w:t>
            </w:r>
          </w:p>
        </w:tc>
        <w:tc>
          <w:tcPr>
            <w:tcW w:type="dxa" w:w="964"/>
          </w:tcPr>
          <w:p>
            <w:pPr>
              <w:pStyle w:val="tablecopy"/>
              <w:spacing w:before="20" w:after="20"/>
              <w:jc w:val="center"/>
            </w:pPr>
            <w:r>
              <w:t>—</w:t>
            </w:r>
          </w:p>
        </w:tc>
      </w:tr>
      <w:tr>
        <w:tc>
          <w:tcPr>
            <w:tcW w:type="dxa" w:w="2891"/>
          </w:tcPr>
          <w:p>
            <w:pPr>
              <w:pStyle w:val="tablecopy"/>
              <w:spacing w:before="20" w:after="20"/>
            </w:pPr>
            <w:r>
              <w:t>A: 7층 × 32 (기준)</w:t>
            </w:r>
          </w:p>
        </w:tc>
        <w:tc>
          <w:tcPr>
            <w:tcW w:type="dxa" w:w="964"/>
          </w:tcPr>
          <w:p>
            <w:pPr>
              <w:pStyle w:val="tablecopy"/>
              <w:spacing w:before="20" w:after="20"/>
              <w:jc w:val="center"/>
            </w:pPr>
            <w:r>
              <w:t>1,775 (실측)</w:t>
            </w:r>
          </w:p>
        </w:tc>
        <w:tc>
          <w:tcPr>
            <w:tcW w:type="dxa" w:w="964"/>
          </w:tcPr>
          <w:p>
            <w:pPr>
              <w:pStyle w:val="tablecopy"/>
              <w:spacing w:before="20" w:after="20"/>
              <w:jc w:val="center"/>
            </w:pPr>
            <w:r>
              <w:t>41%</w:t>
            </w:r>
          </w:p>
        </w:tc>
        <w:tc>
          <w:tcPr>
            <w:tcW w:type="dxa" w:w="964"/>
          </w:tcPr>
          <w:p>
            <w:pPr>
              <w:pStyle w:val="tablecopy"/>
              <w:spacing w:before="20" w:after="20"/>
              <w:jc w:val="center"/>
            </w:pPr>
            <w:r>
              <w:t>47k</w:t>
            </w:r>
          </w:p>
        </w:tc>
        <w:tc>
          <w:tcPr>
            <w:tcW w:type="dxa" w:w="964"/>
          </w:tcPr>
          <w:p>
            <w:pPr>
              <w:pStyle w:val="tablecopy"/>
              <w:spacing w:before="20" w:after="20"/>
              <w:jc w:val="center"/>
            </w:pPr>
            <w:r>
              <w:t>29.87 / 29.83</w:t>
            </w:r>
          </w:p>
        </w:tc>
        <w:tc>
          <w:tcPr>
            <w:tcW w:type="dxa" w:w="964"/>
          </w:tcPr>
          <w:p>
            <w:pPr>
              <w:pStyle w:val="tablecopy"/>
              <w:spacing w:before="20" w:after="20"/>
              <w:jc w:val="center"/>
            </w:pPr>
            <w:r>
              <w:t>28.83 / 28.80</w:t>
            </w:r>
          </w:p>
        </w:tc>
        <w:tc>
          <w:tcPr>
            <w:tcW w:type="dxa" w:w="964"/>
          </w:tcPr>
          <w:p>
            <w:pPr>
              <w:pStyle w:val="tablecopy"/>
              <w:spacing w:before="20" w:after="20"/>
              <w:jc w:val="center"/>
            </w:pPr>
            <w:r>
              <w:t>0.8422 / 0.8088</w:t>
            </w:r>
          </w:p>
        </w:tc>
        <w:tc>
          <w:tcPr>
            <w:tcW w:type="dxa" w:w="964"/>
          </w:tcPr>
          <w:p>
            <w:pPr>
              <w:pStyle w:val="tablecopy"/>
              <w:spacing w:before="20" w:after="20"/>
              <w:jc w:val="center"/>
            </w:pPr>
            <w:r>
              <w:t>6/12, 60/68</w:t>
            </w:r>
          </w:p>
        </w:tc>
      </w:tr>
      <w:tr>
        <w:tc>
          <w:tcPr>
            <w:tcW w:type="dxa" w:w="2891"/>
          </w:tcPr>
          <w:p>
            <w:pPr>
              <w:pStyle w:val="tablecopy"/>
              <w:spacing w:before="20" w:after="20"/>
            </w:pPr>
            <w:r>
              <w:t>B: s2d, 10층 × 64</w:t>
            </w:r>
          </w:p>
        </w:tc>
        <w:tc>
          <w:tcPr>
            <w:tcW w:type="dxa" w:w="964"/>
          </w:tcPr>
          <w:p>
            <w:pPr>
              <w:pStyle w:val="tablecopy"/>
              <w:spacing w:before="20" w:after="20"/>
              <w:jc w:val="center"/>
            </w:pPr>
            <w:r>
              <w:t>1,323 (실측)</w:t>
            </w:r>
          </w:p>
        </w:tc>
        <w:tc>
          <w:tcPr>
            <w:tcW w:type="dxa" w:w="964"/>
          </w:tcPr>
          <w:p>
            <w:pPr>
              <w:pStyle w:val="tablecopy"/>
              <w:spacing w:before="20" w:after="20"/>
              <w:jc w:val="center"/>
            </w:pPr>
            <w:r>
              <w:t>88%</w:t>
            </w:r>
          </w:p>
        </w:tc>
        <w:tc>
          <w:tcPr>
            <w:tcW w:type="dxa" w:w="964"/>
          </w:tcPr>
          <w:p>
            <w:pPr>
              <w:pStyle w:val="tablecopy"/>
              <w:spacing w:before="20" w:after="20"/>
              <w:jc w:val="center"/>
            </w:pPr>
            <w:r>
              <w:t>300k</w:t>
            </w:r>
          </w:p>
        </w:tc>
        <w:tc>
          <w:tcPr>
            <w:tcW w:type="dxa" w:w="964"/>
          </w:tcPr>
          <w:p>
            <w:pPr>
              <w:pStyle w:val="tablecopy"/>
              <w:spacing w:before="20" w:after="20"/>
              <w:jc w:val="center"/>
            </w:pPr>
            <w:r>
              <w:t>30.14 / 30.10</w:t>
            </w:r>
          </w:p>
        </w:tc>
        <w:tc>
          <w:tcPr>
            <w:tcW w:type="dxa" w:w="964"/>
          </w:tcPr>
          <w:p>
            <w:pPr>
              <w:pStyle w:val="tablecopy"/>
              <w:spacing w:before="20" w:after="20"/>
              <w:jc w:val="center"/>
            </w:pPr>
            <w:r>
              <w:t>29.01 / 29.00</w:t>
            </w:r>
          </w:p>
        </w:tc>
        <w:tc>
          <w:tcPr>
            <w:tcW w:type="dxa" w:w="964"/>
          </w:tcPr>
          <w:p>
            <w:pPr>
              <w:pStyle w:val="tablecopy"/>
              <w:spacing w:before="20" w:after="20"/>
              <w:jc w:val="center"/>
            </w:pPr>
            <w:r>
              <w:t>0.8532 / 0.8187</w:t>
            </w:r>
          </w:p>
        </w:tc>
        <w:tc>
          <w:tcPr>
            <w:tcW w:type="dxa" w:w="964"/>
          </w:tcPr>
          <w:p>
            <w:pPr>
              <w:pStyle w:val="tablecopy"/>
              <w:spacing w:before="20" w:after="20"/>
              <w:jc w:val="center"/>
            </w:pPr>
            <w:r>
              <w:t>10/12, 68/68</w:t>
            </w:r>
          </w:p>
        </w:tc>
      </w:tr>
      <w:tr>
        <w:tc>
          <w:tcPr>
            <w:tcW w:type="dxa" w:w="2891"/>
          </w:tcPr>
          <w:p>
            <w:pPr>
              <w:pStyle w:val="tablecopy"/>
              <w:spacing w:before="20" w:after="20"/>
            </w:pPr>
            <w:r>
              <w:rPr>
                <w:b/>
              </w:rPr>
              <w:t>B + QAT</w:t>
            </w:r>
            <w:r>
              <w:t xml:space="preserve"> (화질)</w:t>
            </w:r>
          </w:p>
        </w:tc>
        <w:tc>
          <w:tcPr>
            <w:tcW w:type="dxa" w:w="964"/>
          </w:tcPr>
          <w:p>
            <w:pPr>
              <w:pStyle w:val="tablecopy"/>
              <w:spacing w:before="20" w:after="20"/>
              <w:jc w:val="center"/>
            </w:pPr>
            <w:r>
              <w:t>1,323 (실측)</w:t>
            </w:r>
          </w:p>
        </w:tc>
        <w:tc>
          <w:tcPr>
            <w:tcW w:type="dxa" w:w="964"/>
          </w:tcPr>
          <w:p>
            <w:pPr>
              <w:pStyle w:val="tablecopy"/>
              <w:spacing w:before="20" w:after="20"/>
              <w:jc w:val="center"/>
            </w:pPr>
            <w:r>
              <w:t>88%</w:t>
            </w:r>
          </w:p>
        </w:tc>
        <w:tc>
          <w:tcPr>
            <w:tcW w:type="dxa" w:w="964"/>
          </w:tcPr>
          <w:p>
            <w:pPr>
              <w:pStyle w:val="tablecopy"/>
              <w:spacing w:before="20" w:after="20"/>
              <w:jc w:val="center"/>
            </w:pPr>
            <w:r>
              <w:t>300k</w:t>
            </w:r>
          </w:p>
        </w:tc>
        <w:tc>
          <w:tcPr>
            <w:tcW w:type="dxa" w:w="964"/>
          </w:tcPr>
          <w:p>
            <w:pPr>
              <w:pStyle w:val="tablecopy"/>
              <w:spacing w:before="20" w:after="20"/>
              <w:jc w:val="center"/>
            </w:pPr>
            <w:r>
              <w:t xml:space="preserve">30.13 / </w:t>
            </w:r>
            <w:r>
              <w:rPr>
                <w:b/>
              </w:rPr>
              <w:t>30.12</w:t>
            </w:r>
          </w:p>
        </w:tc>
        <w:tc>
          <w:tcPr>
            <w:tcW w:type="dxa" w:w="964"/>
          </w:tcPr>
          <w:p>
            <w:pPr>
              <w:pStyle w:val="tablecopy"/>
              <w:spacing w:before="20" w:after="20"/>
              <w:jc w:val="center"/>
            </w:pPr>
            <w:r>
              <w:t xml:space="preserve">29.01 / </w:t>
            </w:r>
            <w:r>
              <w:rPr>
                <w:b/>
              </w:rPr>
              <w:t>29.02</w:t>
            </w:r>
          </w:p>
        </w:tc>
        <w:tc>
          <w:tcPr>
            <w:tcW w:type="dxa" w:w="964"/>
          </w:tcPr>
          <w:p>
            <w:pPr>
              <w:pStyle w:val="tablecopy"/>
              <w:spacing w:before="20" w:after="20"/>
              <w:jc w:val="center"/>
            </w:pPr>
            <w:r>
              <w:rPr>
                <w:b/>
              </w:rPr>
              <w:t>0.8545</w:t>
            </w:r>
            <w:r>
              <w:t xml:space="preserve"> / </w:t>
            </w:r>
            <w:r>
              <w:rPr>
                <w:b/>
              </w:rPr>
              <w:t>0.8206</w:t>
            </w:r>
          </w:p>
        </w:tc>
        <w:tc>
          <w:tcPr>
            <w:tcW w:type="dxa" w:w="964"/>
          </w:tcPr>
          <w:p>
            <w:pPr>
              <w:pStyle w:val="tablecopy"/>
              <w:spacing w:before="20" w:after="20"/>
              <w:jc w:val="center"/>
            </w:pPr>
            <w:r>
              <w:rPr>
                <w:b/>
              </w:rPr>
              <w:t>10/12, 68/68</w:t>
            </w:r>
          </w:p>
        </w:tc>
      </w:tr>
      <w:tr>
        <w:tc>
          <w:tcPr>
            <w:tcW w:type="dxa" w:w="2891"/>
          </w:tcPr>
          <w:p>
            <w:pPr>
              <w:pStyle w:val="tablecopy"/>
              <w:spacing w:before="20" w:after="20"/>
            </w:pPr>
            <w:r>
              <w:t>B-32: s2d, 10층 × 32, ReLU</w:t>
            </w:r>
          </w:p>
        </w:tc>
        <w:tc>
          <w:tcPr>
            <w:tcW w:type="dxa" w:w="964"/>
          </w:tcPr>
          <w:p>
            <w:pPr>
              <w:pStyle w:val="tablecopy"/>
              <w:spacing w:before="20" w:after="20"/>
              <w:jc w:val="center"/>
            </w:pPr>
            <w:r>
              <w:t>669</w:t>
            </w:r>
          </w:p>
        </w:tc>
        <w:tc>
          <w:tcPr>
            <w:tcW w:type="dxa" w:w="964"/>
          </w:tcPr>
          <w:p>
            <w:pPr>
              <w:pStyle w:val="tablecopy"/>
              <w:spacing w:before="20" w:after="20"/>
              <w:jc w:val="center"/>
            </w:pPr>
            <w:r>
              <w:t>45%</w:t>
            </w:r>
          </w:p>
        </w:tc>
        <w:tc>
          <w:tcPr>
            <w:tcW w:type="dxa" w:w="964"/>
          </w:tcPr>
          <w:p>
            <w:pPr>
              <w:pStyle w:val="tablecopy"/>
              <w:spacing w:before="20" w:after="20"/>
              <w:jc w:val="center"/>
            </w:pPr>
            <w:r>
              <w:t>76k</w:t>
            </w:r>
          </w:p>
        </w:tc>
        <w:tc>
          <w:tcPr>
            <w:tcW w:type="dxa" w:w="964"/>
          </w:tcPr>
          <w:p>
            <w:pPr>
              <w:pStyle w:val="tablecopy"/>
              <w:spacing w:before="20" w:after="20"/>
              <w:jc w:val="center"/>
            </w:pPr>
            <w:r>
              <w:t>29.55 / 29.51</w:t>
            </w:r>
          </w:p>
        </w:tc>
        <w:tc>
          <w:tcPr>
            <w:tcW w:type="dxa" w:w="964"/>
          </w:tcPr>
          <w:p>
            <w:pPr>
              <w:pStyle w:val="tablecopy"/>
              <w:spacing w:before="20" w:after="20"/>
              <w:jc w:val="center"/>
            </w:pPr>
            <w:r>
              <w:t>28.55 / 28.53</w:t>
            </w:r>
          </w:p>
        </w:tc>
        <w:tc>
          <w:tcPr>
            <w:tcW w:type="dxa" w:w="964"/>
          </w:tcPr>
          <w:p>
            <w:pPr>
              <w:pStyle w:val="tablecopy"/>
              <w:spacing w:before="20" w:after="20"/>
              <w:jc w:val="center"/>
            </w:pPr>
            <w:r>
              <w:t>0.8335 / 0.7959</w:t>
            </w:r>
          </w:p>
        </w:tc>
        <w:tc>
          <w:tcPr>
            <w:tcW w:type="dxa" w:w="964"/>
          </w:tcPr>
          <w:p>
            <w:pPr>
              <w:pStyle w:val="tablecopy"/>
              <w:spacing w:before="20" w:after="20"/>
              <w:jc w:val="center"/>
            </w:pPr>
            <w:r>
              <w:t>2/12, 49/68</w:t>
            </w:r>
          </w:p>
        </w:tc>
      </w:tr>
      <w:tr>
        <w:tc>
          <w:tcPr>
            <w:tcW w:type="dxa" w:w="2891"/>
          </w:tcPr>
          <w:p>
            <w:pPr>
              <w:pStyle w:val="tablecopy"/>
              <w:spacing w:before="20" w:after="20"/>
            </w:pPr>
            <w:r>
              <w:t>B-32 + QAT</w:t>
            </w:r>
          </w:p>
        </w:tc>
        <w:tc>
          <w:tcPr>
            <w:tcW w:type="dxa" w:w="964"/>
          </w:tcPr>
          <w:p>
            <w:pPr>
              <w:pStyle w:val="tablecopy"/>
              <w:spacing w:before="20" w:after="20"/>
              <w:jc w:val="center"/>
            </w:pPr>
            <w:r>
              <w:t>669 (실측)</w:t>
            </w:r>
          </w:p>
        </w:tc>
        <w:tc>
          <w:tcPr>
            <w:tcW w:type="dxa" w:w="964"/>
          </w:tcPr>
          <w:p>
            <w:pPr>
              <w:pStyle w:val="tablecopy"/>
              <w:spacing w:before="20" w:after="20"/>
              <w:jc w:val="center"/>
            </w:pPr>
            <w:r>
              <w:t>45%</w:t>
            </w:r>
          </w:p>
        </w:tc>
        <w:tc>
          <w:tcPr>
            <w:tcW w:type="dxa" w:w="964"/>
          </w:tcPr>
          <w:p>
            <w:pPr>
              <w:pStyle w:val="tablecopy"/>
              <w:spacing w:before="20" w:after="20"/>
              <w:jc w:val="center"/>
            </w:pPr>
            <w:r>
              <w:t>76k</w:t>
            </w:r>
          </w:p>
        </w:tc>
        <w:tc>
          <w:tcPr>
            <w:tcW w:type="dxa" w:w="964"/>
          </w:tcPr>
          <w:p>
            <w:pPr>
              <w:pStyle w:val="tablecopy"/>
              <w:spacing w:before="20" w:after="20"/>
              <w:jc w:val="center"/>
            </w:pPr>
            <w:r>
              <w:t>29.58 / 29.62</w:t>
            </w:r>
          </w:p>
        </w:tc>
        <w:tc>
          <w:tcPr>
            <w:tcW w:type="dxa" w:w="964"/>
          </w:tcPr>
          <w:p>
            <w:pPr>
              <w:pStyle w:val="tablecopy"/>
              <w:spacing w:before="20" w:after="20"/>
              <w:jc w:val="center"/>
            </w:pPr>
            <w:r>
              <w:t>28.66 / 28.68</w:t>
            </w:r>
          </w:p>
        </w:tc>
        <w:tc>
          <w:tcPr>
            <w:tcW w:type="dxa" w:w="964"/>
          </w:tcPr>
          <w:p>
            <w:pPr>
              <w:pStyle w:val="tablecopy"/>
              <w:spacing w:before="20" w:after="20"/>
              <w:jc w:val="center"/>
            </w:pPr>
            <w:r>
              <w:t>0.8400 / 0.8065</w:t>
            </w:r>
          </w:p>
        </w:tc>
        <w:tc>
          <w:tcPr>
            <w:tcW w:type="dxa" w:w="964"/>
          </w:tcPr>
          <w:p>
            <w:pPr>
              <w:pStyle w:val="tablecopy"/>
              <w:spacing w:before="20" w:after="20"/>
              <w:jc w:val="center"/>
            </w:pPr>
            <w:r>
              <w:t>5/12, 57/68</w:t>
            </w:r>
          </w:p>
        </w:tc>
      </w:tr>
      <w:tr>
        <w:tc>
          <w:tcPr>
            <w:tcW w:type="dxa" w:w="2891"/>
          </w:tcPr>
          <w:p>
            <w:pPr>
              <w:pStyle w:val="tablecopy"/>
              <w:spacing w:before="20" w:after="20"/>
            </w:pPr>
            <w:r>
              <w:t>B-32 + QAT, 시드 1–3</w:t>
            </w:r>
          </w:p>
        </w:tc>
        <w:tc>
          <w:tcPr>
            <w:tcW w:type="dxa" w:w="964"/>
          </w:tcPr>
          <w:p>
            <w:pPr>
              <w:pStyle w:val="tablecopy"/>
              <w:spacing w:before="20" w:after="20"/>
              <w:jc w:val="center"/>
            </w:pPr>
            <w:r>
              <w:t>669</w:t>
            </w:r>
          </w:p>
        </w:tc>
        <w:tc>
          <w:tcPr>
            <w:tcW w:type="dxa" w:w="964"/>
          </w:tcPr>
          <w:p>
            <w:pPr>
              <w:pStyle w:val="tablecopy"/>
              <w:spacing w:before="20" w:after="20"/>
              <w:jc w:val="center"/>
            </w:pPr>
            <w:r>
              <w:t>45%</w:t>
            </w:r>
          </w:p>
        </w:tc>
        <w:tc>
          <w:tcPr>
            <w:tcW w:type="dxa" w:w="964"/>
          </w:tcPr>
          <w:p>
            <w:pPr>
              <w:pStyle w:val="tablecopy"/>
              <w:spacing w:before="20" w:after="20"/>
              <w:jc w:val="center"/>
            </w:pPr>
            <w:r>
              <w:t>76k</w:t>
            </w:r>
          </w:p>
        </w:tc>
        <w:tc>
          <w:tcPr>
            <w:tcW w:type="dxa" w:w="964"/>
          </w:tcPr>
          <w:p>
            <w:pPr>
              <w:pStyle w:val="tablecopy"/>
              <w:spacing w:before="20" w:after="20"/>
              <w:jc w:val="center"/>
            </w:pPr>
            <w:r>
              <w:t>29.79 / 29.82 (29.62–29.94)</w:t>
            </w:r>
          </w:p>
        </w:tc>
        <w:tc>
          <w:tcPr>
            <w:tcW w:type="dxa" w:w="964"/>
          </w:tcPr>
          <w:p>
            <w:pPr>
              <w:pStyle w:val="tablecopy"/>
              <w:spacing w:before="20" w:after="20"/>
              <w:jc w:val="center"/>
            </w:pPr>
            <w:r>
              <w:t>28.81 / 28.82 (28.68–28.91)</w:t>
            </w:r>
          </w:p>
        </w:tc>
        <w:tc>
          <w:tcPr>
            <w:tcW w:type="dxa" w:w="964"/>
          </w:tcPr>
          <w:p>
            <w:pPr>
              <w:pStyle w:val="tablecopy"/>
              <w:spacing w:before="20" w:after="20"/>
              <w:jc w:val="center"/>
            </w:pPr>
            <w:r>
              <w:t>0.8459 / 0.8122</w:t>
            </w:r>
          </w:p>
        </w:tc>
        <w:tc>
          <w:tcPr>
            <w:tcW w:type="dxa" w:w="964"/>
          </w:tcPr>
          <w:p>
            <w:pPr>
              <w:pStyle w:val="tablecopy"/>
              <w:spacing w:before="20" w:after="20"/>
              <w:jc w:val="center"/>
            </w:pPr>
            <w:r>
              <w:t>5·8·7/12, 57·68·68/68</w:t>
            </w:r>
          </w:p>
        </w:tc>
      </w:tr>
      <w:tr>
        <w:tc>
          <w:tcPr>
            <w:tcW w:type="dxa" w:w="2891"/>
          </w:tcPr>
          <w:p>
            <w:pPr>
              <w:pStyle w:val="tablecopy"/>
              <w:spacing w:before="20" w:after="20"/>
            </w:pPr>
            <w:r>
              <w:t>B-32 + maxout</w:t>
            </w:r>
          </w:p>
        </w:tc>
        <w:tc>
          <w:tcPr>
            <w:tcW w:type="dxa" w:w="964"/>
          </w:tcPr>
          <w:p>
            <w:pPr>
              <w:pStyle w:val="tablecopy"/>
              <w:spacing w:before="20" w:after="20"/>
              <w:jc w:val="center"/>
            </w:pPr>
            <w:r>
              <w:t>675</w:t>
            </w:r>
          </w:p>
        </w:tc>
        <w:tc>
          <w:tcPr>
            <w:tcW w:type="dxa" w:w="964"/>
          </w:tcPr>
          <w:p>
            <w:pPr>
              <w:pStyle w:val="tablecopy"/>
              <w:spacing w:before="20" w:after="20"/>
              <w:jc w:val="center"/>
            </w:pPr>
            <w:r>
              <w:t>87%</w:t>
            </w:r>
          </w:p>
        </w:tc>
        <w:tc>
          <w:tcPr>
            <w:tcW w:type="dxa" w:w="964"/>
          </w:tcPr>
          <w:p>
            <w:pPr>
              <w:pStyle w:val="tablecopy"/>
              <w:spacing w:before="20" w:after="20"/>
              <w:jc w:val="center"/>
            </w:pPr>
            <w:r>
              <w:t>152k</w:t>
            </w:r>
          </w:p>
        </w:tc>
        <w:tc>
          <w:tcPr>
            <w:tcW w:type="dxa" w:w="964"/>
          </w:tcPr>
          <w:p>
            <w:pPr>
              <w:pStyle w:val="tablecopy"/>
              <w:spacing w:before="20" w:after="20"/>
              <w:jc w:val="center"/>
            </w:pPr>
            <w:r>
              <w:t>30.02 / 29.86</w:t>
            </w:r>
          </w:p>
        </w:tc>
        <w:tc>
          <w:tcPr>
            <w:tcW w:type="dxa" w:w="964"/>
          </w:tcPr>
          <w:p>
            <w:pPr>
              <w:pStyle w:val="tablecopy"/>
              <w:spacing w:before="20" w:after="20"/>
              <w:jc w:val="center"/>
            </w:pPr>
            <w:r>
              <w:t>28.94 / 28.80</w:t>
            </w:r>
          </w:p>
        </w:tc>
        <w:tc>
          <w:tcPr>
            <w:tcW w:type="dxa" w:w="964"/>
          </w:tcPr>
          <w:p>
            <w:pPr>
              <w:pStyle w:val="tablecopy"/>
              <w:spacing w:before="20" w:after="20"/>
              <w:jc w:val="center"/>
            </w:pPr>
            <w:r>
              <w:t>0.8475 / 0.8115</w:t>
            </w:r>
          </w:p>
        </w:tc>
        <w:tc>
          <w:tcPr>
            <w:tcW w:type="dxa" w:w="964"/>
          </w:tcPr>
          <w:p>
            <w:pPr>
              <w:pStyle w:val="tablecopy"/>
              <w:spacing w:before="20" w:after="20"/>
              <w:jc w:val="center"/>
            </w:pPr>
            <w:r>
              <w:t>6/12, 66/68</w:t>
            </w:r>
          </w:p>
        </w:tc>
      </w:tr>
      <w:tr>
        <w:tc>
          <w:tcPr>
            <w:tcW w:type="dxa" w:w="2891"/>
          </w:tcPr>
          <w:p>
            <w:pPr>
              <w:pStyle w:val="tablecopy"/>
              <w:spacing w:before="20" w:after="20"/>
            </w:pPr>
            <w:r>
              <w:rPr>
                <w:b/>
              </w:rPr>
              <w:t>B-32 + maxout + QAT</w:t>
            </w:r>
            <w:r>
              <w:t xml:space="preserve"> (속도)</w:t>
            </w:r>
          </w:p>
        </w:tc>
        <w:tc>
          <w:tcPr>
            <w:tcW w:type="dxa" w:w="964"/>
          </w:tcPr>
          <w:p>
            <w:pPr>
              <w:pStyle w:val="tablecopy"/>
              <w:spacing w:before="20" w:after="20"/>
              <w:jc w:val="center"/>
            </w:pPr>
            <w:r>
              <w:t>675 (실측)</w:t>
            </w:r>
          </w:p>
        </w:tc>
        <w:tc>
          <w:tcPr>
            <w:tcW w:type="dxa" w:w="964"/>
          </w:tcPr>
          <w:p>
            <w:pPr>
              <w:pStyle w:val="tablecopy"/>
              <w:spacing w:before="20" w:after="20"/>
              <w:jc w:val="center"/>
            </w:pPr>
            <w:r>
              <w:t>87%</w:t>
            </w:r>
          </w:p>
        </w:tc>
        <w:tc>
          <w:tcPr>
            <w:tcW w:type="dxa" w:w="964"/>
          </w:tcPr>
          <w:p>
            <w:pPr>
              <w:pStyle w:val="tablecopy"/>
              <w:spacing w:before="20" w:after="20"/>
              <w:jc w:val="center"/>
            </w:pPr>
            <w:r>
              <w:t>152k</w:t>
            </w:r>
          </w:p>
        </w:tc>
        <w:tc>
          <w:tcPr>
            <w:tcW w:type="dxa" w:w="964"/>
          </w:tcPr>
          <w:p>
            <w:pPr>
              <w:pStyle w:val="tablecopy"/>
              <w:spacing w:before="20" w:after="20"/>
              <w:jc w:val="center"/>
            </w:pPr>
            <w:r>
              <w:t xml:space="preserve">30.00 / </w:t>
            </w:r>
            <w:r>
              <w:rPr>
                <w:b/>
              </w:rPr>
              <w:t>30.00</w:t>
            </w:r>
          </w:p>
        </w:tc>
        <w:tc>
          <w:tcPr>
            <w:tcW w:type="dxa" w:w="964"/>
          </w:tcPr>
          <w:p>
            <w:pPr>
              <w:pStyle w:val="tablecopy"/>
              <w:spacing w:before="20" w:after="20"/>
              <w:jc w:val="center"/>
            </w:pPr>
            <w:r>
              <w:t xml:space="preserve">28.95 / </w:t>
            </w:r>
            <w:r>
              <w:rPr>
                <w:b/>
              </w:rPr>
              <w:t>28.94</w:t>
            </w:r>
          </w:p>
        </w:tc>
        <w:tc>
          <w:tcPr>
            <w:tcW w:type="dxa" w:w="964"/>
          </w:tcPr>
          <w:p>
            <w:pPr>
              <w:pStyle w:val="tablecopy"/>
              <w:spacing w:before="20" w:after="20"/>
              <w:jc w:val="center"/>
            </w:pPr>
            <w:r>
              <w:rPr>
                <w:b/>
              </w:rPr>
              <w:t>0.8512</w:t>
            </w:r>
            <w:r>
              <w:t xml:space="preserve"> / </w:t>
            </w:r>
            <w:r>
              <w:rPr>
                <w:b/>
              </w:rPr>
              <w:t>0.8171</w:t>
            </w:r>
          </w:p>
        </w:tc>
        <w:tc>
          <w:tcPr>
            <w:tcW w:type="dxa" w:w="964"/>
          </w:tcPr>
          <w:p>
            <w:pPr>
              <w:pStyle w:val="tablecopy"/>
              <w:spacing w:before="20" w:after="20"/>
              <w:jc w:val="center"/>
            </w:pPr>
            <w:r>
              <w:t xml:space="preserve">9/12, </w:t>
            </w:r>
            <w:r>
              <w:rPr>
                <w:b/>
              </w:rPr>
              <w:t>68/68</w:t>
            </w:r>
          </w:p>
        </w:tc>
      </w:tr>
      <w:tr>
        <w:tc>
          <w:tcPr>
            <w:tcW w:type="dxa" w:w="2891"/>
          </w:tcPr>
          <w:p>
            <w:pPr>
              <w:pStyle w:val="tablecopy"/>
              <w:spacing w:before="20" w:after="20"/>
            </w:pPr>
            <w:r>
              <w:t>B-32 + maxout + QAT, 시드 1–3</w:t>
            </w:r>
          </w:p>
        </w:tc>
        <w:tc>
          <w:tcPr>
            <w:tcW w:type="dxa" w:w="964"/>
          </w:tcPr>
          <w:p>
            <w:pPr>
              <w:pStyle w:val="tablecopy"/>
              <w:spacing w:before="20" w:after="20"/>
              <w:jc w:val="center"/>
            </w:pPr>
            <w:r>
              <w:t>675</w:t>
            </w:r>
          </w:p>
        </w:tc>
        <w:tc>
          <w:tcPr>
            <w:tcW w:type="dxa" w:w="964"/>
          </w:tcPr>
          <w:p>
            <w:pPr>
              <w:pStyle w:val="tablecopy"/>
              <w:spacing w:before="20" w:after="20"/>
              <w:jc w:val="center"/>
            </w:pPr>
            <w:r>
              <w:t>87%</w:t>
            </w:r>
          </w:p>
        </w:tc>
        <w:tc>
          <w:tcPr>
            <w:tcW w:type="dxa" w:w="964"/>
          </w:tcPr>
          <w:p>
            <w:pPr>
              <w:pStyle w:val="tablecopy"/>
              <w:spacing w:before="20" w:after="20"/>
              <w:jc w:val="center"/>
            </w:pPr>
            <w:r>
              <w:t>152k</w:t>
            </w:r>
          </w:p>
        </w:tc>
        <w:tc>
          <w:tcPr>
            <w:tcW w:type="dxa" w:w="964"/>
          </w:tcPr>
          <w:p>
            <w:pPr>
              <w:pStyle w:val="tablecopy"/>
              <w:spacing w:before="20" w:after="20"/>
              <w:jc w:val="center"/>
            </w:pPr>
            <w:r>
              <w:t>29.98 / 29.97 (29.91–30.00)</w:t>
            </w:r>
          </w:p>
        </w:tc>
        <w:tc>
          <w:tcPr>
            <w:tcW w:type="dxa" w:w="964"/>
          </w:tcPr>
          <w:p>
            <w:pPr>
              <w:pStyle w:val="tablecopy"/>
              <w:spacing w:before="20" w:after="20"/>
              <w:jc w:val="center"/>
            </w:pPr>
            <w:r>
              <w:t>28.93 / 28.92 (28.89–28.95)</w:t>
            </w:r>
          </w:p>
        </w:tc>
        <w:tc>
          <w:tcPr>
            <w:tcW w:type="dxa" w:w="964"/>
          </w:tcPr>
          <w:p>
            <w:pPr>
              <w:pStyle w:val="tablecopy"/>
              <w:spacing w:before="20" w:after="20"/>
              <w:jc w:val="center"/>
            </w:pPr>
            <w:r>
              <w:t>0.8501 / 0.8163</w:t>
            </w:r>
          </w:p>
        </w:tc>
        <w:tc>
          <w:tcPr>
            <w:tcW w:type="dxa" w:w="964"/>
          </w:tcPr>
          <w:p>
            <w:pPr>
              <w:pStyle w:val="tablecopy"/>
              <w:spacing w:before="20" w:after="20"/>
              <w:jc w:val="center"/>
            </w:pPr>
            <w:r>
              <w:t>9·7·9/12, 68·68·68/68</w:t>
            </w:r>
          </w:p>
        </w:tc>
      </w:tr>
      <w:tr>
        <w:tc>
          <w:tcPr>
            <w:tcW w:type="dxa" w:w="2891"/>
          </w:tcPr>
          <w:p>
            <w:pPr>
              <w:pStyle w:val="tablecopy"/>
              <w:spacing w:before="20" w:after="20"/>
            </w:pPr>
            <w:r>
              <w:t>B-32 + 평균 결합 + QAT, 시드 2</w:t>
            </w:r>
          </w:p>
        </w:tc>
        <w:tc>
          <w:tcPr>
            <w:tcW w:type="dxa" w:w="964"/>
          </w:tcPr>
          <w:p>
            <w:pPr>
              <w:pStyle w:val="tablecopy"/>
              <w:spacing w:before="20" w:after="20"/>
              <w:jc w:val="center"/>
            </w:pPr>
            <w:r>
              <w:t>675</w:t>
            </w:r>
          </w:p>
        </w:tc>
        <w:tc>
          <w:tcPr>
            <w:tcW w:type="dxa" w:w="964"/>
          </w:tcPr>
          <w:p>
            <w:pPr>
              <w:pStyle w:val="tablecopy"/>
              <w:spacing w:before="20" w:after="20"/>
              <w:jc w:val="center"/>
            </w:pPr>
            <w:r>
              <w:t>87%</w:t>
            </w:r>
          </w:p>
        </w:tc>
        <w:tc>
          <w:tcPr>
            <w:tcW w:type="dxa" w:w="964"/>
          </w:tcPr>
          <w:p>
            <w:pPr>
              <w:pStyle w:val="tablecopy"/>
              <w:spacing w:before="20" w:after="20"/>
              <w:jc w:val="center"/>
            </w:pPr>
            <w:r>
              <w:t>152k</w:t>
            </w:r>
          </w:p>
        </w:tc>
        <w:tc>
          <w:tcPr>
            <w:tcW w:type="dxa" w:w="964"/>
          </w:tcPr>
          <w:p>
            <w:pPr>
              <w:pStyle w:val="tablecopy"/>
              <w:spacing w:before="20" w:after="20"/>
              <w:jc w:val="center"/>
            </w:pPr>
            <w:r>
              <w:t>— / 29.82</w:t>
            </w:r>
          </w:p>
        </w:tc>
        <w:tc>
          <w:tcPr>
            <w:tcW w:type="dxa" w:w="964"/>
          </w:tcPr>
          <w:p>
            <w:pPr>
              <w:pStyle w:val="tablecopy"/>
              <w:spacing w:before="20" w:after="20"/>
              <w:jc w:val="center"/>
            </w:pPr>
            <w:r>
              <w:t>— / 28.82</w:t>
            </w:r>
          </w:p>
        </w:tc>
        <w:tc>
          <w:tcPr>
            <w:tcW w:type="dxa" w:w="964"/>
          </w:tcPr>
          <w:p>
            <w:pPr>
              <w:pStyle w:val="tablecopy"/>
              <w:spacing w:before="20" w:after="20"/>
              <w:jc w:val="center"/>
            </w:pPr>
            <w:r>
              <w:t>0.8457 / 0.8115</w:t>
            </w:r>
          </w:p>
        </w:tc>
        <w:tc>
          <w:tcPr>
            <w:tcW w:type="dxa" w:w="964"/>
          </w:tcPr>
          <w:p>
            <w:pPr>
              <w:pStyle w:val="tablecopy"/>
              <w:spacing w:before="20" w:after="20"/>
              <w:jc w:val="center"/>
            </w:pPr>
            <w:r>
              <w:t>6/12, 65/68</w:t>
            </w:r>
          </w:p>
        </w:tc>
      </w:tr>
      <w:tr>
        <w:tc>
          <w:tcPr>
            <w:tcW w:type="dxa" w:w="2891"/>
          </w:tcPr>
          <w:p>
            <w:pPr>
              <w:pStyle w:val="tablecopy"/>
              <w:spacing w:before="20" w:after="20"/>
            </w:pPr>
            <w:r>
              <w:t>10층 × 45, ReLU + QAT (s2d)</w:t>
            </w:r>
          </w:p>
        </w:tc>
        <w:tc>
          <w:tcPr>
            <w:tcW w:type="dxa" w:w="964"/>
          </w:tcPr>
          <w:p>
            <w:pPr>
              <w:pStyle w:val="tablecopy"/>
              <w:spacing w:before="20" w:after="20"/>
              <w:jc w:val="center"/>
            </w:pPr>
            <w:r>
              <w:t>934</w:t>
            </w:r>
          </w:p>
        </w:tc>
        <w:tc>
          <w:tcPr>
            <w:tcW w:type="dxa" w:w="964"/>
          </w:tcPr>
          <w:p>
            <w:pPr>
              <w:pStyle w:val="tablecopy"/>
              <w:spacing w:before="20" w:after="20"/>
              <w:jc w:val="center"/>
            </w:pPr>
            <w:r>
              <w:t>62%</w:t>
            </w:r>
          </w:p>
        </w:tc>
        <w:tc>
          <w:tcPr>
            <w:tcW w:type="dxa" w:w="964"/>
          </w:tcPr>
          <w:p>
            <w:pPr>
              <w:pStyle w:val="tablecopy"/>
              <w:spacing w:before="20" w:after="20"/>
              <w:jc w:val="center"/>
            </w:pPr>
            <w:r>
              <w:t>150k</w:t>
            </w:r>
          </w:p>
        </w:tc>
        <w:tc>
          <w:tcPr>
            <w:tcW w:type="dxa" w:w="964"/>
          </w:tcPr>
          <w:p>
            <w:pPr>
              <w:pStyle w:val="tablecopy"/>
              <w:spacing w:before="20" w:after="20"/>
              <w:jc w:val="center"/>
            </w:pPr>
            <w:r>
              <w:t>30.07 / 30.05</w:t>
            </w:r>
          </w:p>
        </w:tc>
        <w:tc>
          <w:tcPr>
            <w:tcW w:type="dxa" w:w="964"/>
          </w:tcPr>
          <w:p>
            <w:pPr>
              <w:pStyle w:val="tablecopy"/>
              <w:spacing w:before="20" w:after="20"/>
              <w:jc w:val="center"/>
            </w:pPr>
            <w:r>
              <w:t>28.98 / 28.97</w:t>
            </w:r>
          </w:p>
        </w:tc>
        <w:tc>
          <w:tcPr>
            <w:tcW w:type="dxa" w:w="964"/>
          </w:tcPr>
          <w:p>
            <w:pPr>
              <w:pStyle w:val="tablecopy"/>
              <w:spacing w:before="20" w:after="20"/>
              <w:jc w:val="center"/>
            </w:pPr>
            <w:r>
              <w:t>0.8516 / 0.8174</w:t>
            </w:r>
          </w:p>
        </w:tc>
        <w:tc>
          <w:tcPr>
            <w:tcW w:type="dxa" w:w="964"/>
          </w:tcPr>
          <w:p>
            <w:pPr>
              <w:pStyle w:val="tablecopy"/>
              <w:spacing w:before="20" w:after="20"/>
              <w:jc w:val="center"/>
            </w:pPr>
            <w:r>
              <w:t>10/12, 68/68</w:t>
            </w:r>
          </w:p>
        </w:tc>
      </w:tr>
    </w:tbl>
    <w:p>
      <w:pPr>
        <w:spacing w:after="0" w:before="0"/>
        <w:sectPr>
          <w:type w:val="continuous"/>
          <w:pgSz w:w="11909" w:h="16834"/>
          <w:pgMar w:top="1080" w:right="734" w:bottom="2434" w:left="734" w:header="720" w:footer="720" w:gutter="0"/>
          <w:cols w:space="720"/>
          <w:docGrid w:linePitch="360"/>
        </w:sectPr>
      </w:pPr>
    </w:p>
    <w:p>
      <w:pPr>
        <w:pStyle w:val="a3"/>
        <w:ind w:firstLine="0" w:left="198"/>
      </w:pPr>
      <w:r>
        <w:t xml:space="preserve">• </w:t>
      </w:r>
      <w:r>
        <w:rPr>
          <w:b/>
        </w:rPr>
        <w:t>화질 모델(B+QAT):</w:t>
      </w:r>
      <w:r>
        <w:t xml:space="preserve"> 클리핑 BM3D보다 Set12 +0.17, BSD68 +0.66 dB(10/12, 68/68장). 클리핑 없는 BM3D보다도 +0.14 / +0.40 dB(10/12, 68/68). 기준 망 A보다 1.34배 적은 사이클로 +0.29 / +0.22 dB(12/12, 68/68). SSIM으로도 클리핑 BM3D보다 +0.004 / +0.022(10/12, 67/68장), 클리핑 없는 BM3D보다 +0.003 / +0.017(10/12, 68/68장) 높다.</w:t>
      </w:r>
    </w:p>
    <w:p>
      <w:pPr>
        <w:pStyle w:val="a3"/>
        <w:ind w:firstLine="0" w:left="198"/>
      </w:pPr>
      <w:r>
        <w:t xml:space="preserve">• </w:t>
      </w:r>
      <w:r>
        <w:rPr>
          <w:b/>
        </w:rPr>
        <w:t>속도 모델(B-32+maxout+QAT):</w:t>
      </w:r>
      <w:r>
        <w:t xml:space="preserve"> A보다 </w:t>
      </w:r>
      <w:r>
        <w:rPr>
          <w:b/>
        </w:rPr>
        <w:t>2.63배</w:t>
      </w:r>
      <w:r>
        <w:t xml:space="preserve"> 적은 사이클로 A보다 +0.17 / +0.14 dB(12/12, 64/68장) 높다. Set12는 BM3D 수준(클리핑 기준 +0.04 dB, 9/12장; 클리핑 없는 BM3D보다 +0.01 dB), BSD68은 클리핑 BM3D보다 +0.57, 클리핑 없는 BM3D보다 +0.32 dB(67/68). 같은 구조를 조기 종료로 학습한 이전 판(29.95 / 28.91 dB)과의 차이 +0.04 / +0.03 dB는 해석하지 않는다(0.1 dB 미만). 이 모델을 고른 이유는 점수가 아니라 아래 같은 예산 비교에 들어간 바로 그 모델이기 때문이며, 시드 2·3이 나오기 전에 정했다. 세 시드의 평균은 29.97 / 28.92 dB(범위 29.91–30.00 / 28.89–28.95)이고, 시드 1은 Set12에서 셋 중 가장 높고(시드 3보다 0.002 dB) BSD68에서 둘째다. 합치기 없는 B-32 ReLU+QAT도 시드 평균 29.82 / 28.82 dB로 A(29.83 / 28.80)와 같은 화질을 2.66배 적은 사이클에 낸다. 즉 space-to-depth로 더 깊은(10층) 망을 넣고도 같은 화질에서 사이클이 크게 준다. SSIM은 Set12에서 BM3D와 같은 수준(0.8512 대 클리핑 0.8504, 클리핑 없음 0.8513; 8/12, 7/12장)이고 BSD68에서 높으며(0.8171 대 0.7990 / 0.8037; 66/68, 63/68장), A보다는 80/80장 모두 높다(+0.009 / +0.008).</w:t>
      </w:r>
    </w:p>
    <w:p>
      <w:pPr>
        <w:pStyle w:val="a3"/>
        <w:ind w:firstLine="0" w:left="198"/>
      </w:pPr>
      <w:r>
        <w:t xml:space="preserve">• </w:t>
      </w:r>
      <w:r>
        <w:rPr>
          <w:b/>
        </w:rPr>
        <w:t>공짜 출력 채널의 효과 (시드 세 개):</w:t>
      </w:r>
      <w:r>
        <w:t xml:space="preserve"> 같은 예산(120 epoch + QAT 15 epoch)에서 정수 PSNR(Set12 / BSD68)은 maxout 망이 시드 1·2·3에서 30.00 / 28.94, 29.91 / 28.89, 29.99 / 28.95 dB, ReLU 망이 29.62 / 28.68, 29.94 / 28.91, 29.89 / 28.88 dB다. 사이클은 maxout이 1% 많다(보드 실측 1.01배; 첫 층). 평균은 maxout이 +0.15 / +0.10 dB 높지만, 시드별 차이는 +0.37 / +0.26, −0.03 / −0.02, +0.10 / +0.07 dB로 시드 2에서 뒤집혔다(시드 2는 ReLU가 80장 중 69장에서 높다). 사진별 차이의 표준오차는 모두 0.04 dB 이하라서 불확실성은 테스트 사진이 아니라 학습 실행에서 온다. 시드 2·3을 보기 전에 정한 규칙(모든 maxout 시드가 모든 ReLU 시드보다 두 테스트셋에서 높을 때만 '높다'고 쓴다)에 따라, maxout이 화질을 올린다고 주장하지 않는다. 시드 1의 큰 차이는 그 시드의 ReLU 망이 epoch 26에 무너지고(검증 27.93 → 24.27 dB) 학습률 규칙이 회복 중에 학습률을 네 번 반으로 줄인 탓이 컸다. 이런 붕괴(검증 PSNR이 그때까지의 최고보다 1 dB 넘게 떨어짐)는 120 epoch 실행 아홉 개 중 넷(ReLU 시드 1·3, maxout 시드 2, 평균 결합 시드 2)에서 망 종류와 상관없이 일어났고, 망마다 붕괴한 실행이 붕괴하지 않은 실행보다 모두 낮았다(평균 결합은 float Set12 기준). 즉 시드 간 퍼짐은 대부분 붕괴한 실행에서 생긴다. 학습률을 낮추거나 기울기 클리핑을 쓰면 줄 것으로 보이지만 시험하지 않았다. maxout 망은 파라미터가 2배이므로(76k 대 152k) 두 대조군을 함께 봤다. 같은 파라미터의 45채널 ReLU 망(150k, 934 사이클/px)은 30.05 / 28.97 dB로, 시드가 하나지만 32채널 실행 여섯 개 모두보다 높았다(가장 좋은 32채널 실행보다 +0.06 / +0.03 dB). 대신 사이클이 38% 더 든다. 같은 64 출력을 max 대신 평균으로 합치는 대조군(초기 가중치와 데이터까지 maxout과 같음)은 시드 1에서 float 검증 최고 28.549 dB, Set12 30.05 dB로 maxout(28.528, 30.02)과 같거나 약간 높았고, 시드 2에서 정수 29.82 / 28.82 dB로 maxout(29.91 / 28.89)보다 0.09 / 0.07 dB 낮았다. 두 시드 모두 0.1 dB 안이라 max와 평균의 차이는 해석하지 않는다(시드 1의 QAT 정수 값은 아직 없다). 곱셈기 활용률은 45% → 87%이고, 7층 32채널 망의 15 epoch 스크린에서는 maxout과 ReLU의 차이가 없었다(마지막 5 epoch 평균 +0.02 dB). 64채널 망에서는 출력 128이 K를 넘겨 공짜가 아니다. 처음의 조기 종료 비교(+0.54 / +0.35 dB)는 ReLU 망의 체크포인트가 갱신 0.4만인 비교라 쓰지 않는다.</w:t>
      </w:r>
    </w:p>
    <w:p>
      <w:pPr>
        <w:pStyle w:val="a3"/>
        <w:ind w:firstLine="0" w:left="198"/>
      </w:pPr>
      <w:r>
        <w:t xml:space="preserve">• </w:t>
      </w:r>
      <w:r>
        <w:rPr>
          <w:b/>
        </w:rPr>
        <w:t>QAT의 효과:</w:t>
      </w:r>
      <w:r>
        <w:t xml:space="preserve"> 시드 1에서 학습 뒤 양자화(PTQ)의 정수 손실은 maxout 망 0.16 / 0.14 dB, ReLU 망 0.05 / 0.02 dB였고(Set12 / BSD68), ReLU·maxout 시드 2·3과 45채널 망까지 보면 0.02–0.25 dB다(평균 결합 시드 2는 0.29 / 0.17 dB). QAT 뒤에는 ReLU·maxout·45채널 정수 모델이 모두 float의 0.04 dB 안이다(시드 1 ReLU 망은 정수가 float보다 0.04 / 0.02 dB 높다). 시드 1의 정수 PSNR 이득은 maxout 망 +0.14 / +0.14 dB, ReLU 망 +0.12 / +0.15 dB(둘 다 80/80장)로 비슷하고 B는 +0.02 / +0.03 dB다. 평균 결합 QAT 모델의 float 값(양자화를 끈 망)은 활성값 클리핑까지 꺼져 BSD68 한 장이 8.74 dB로 무너지므로(평균 27.78 dB) 비교 기준이 되지 못한다. 클리핑만 남기면 28.75 dB로 정수 값(28.82)과 가깝고, 보드가 계산하는 정수 값과는 상관없다. QAT는 학습률 10⁻⁴의 추가 15 epoch이기도 해서, 120 epoch 끝에 아직 오르던 ReLU 망은 float 점수도 +0.03 / +0.11 dB 올랐다.</w:t>
      </w:r>
    </w:p>
    <w:p>
      <w:pPr>
        <w:pStyle w:val="a3"/>
        <w:ind w:firstLine="0" w:left="198"/>
      </w:pPr>
      <w:r>
        <w:t xml:space="preserve">• </w:t>
      </w:r>
      <w:r>
        <w:rPr>
          <w:b/>
        </w:rPr>
        <w:t>SSIM과 PSNR:</w:t>
      </w:r>
      <w:r>
        <w:t xml:space="preserve"> 정수 모델 열네 개의 SSIM 순위는 PSNR 순위와 거의 같고(순위 상관 0.99), 자리가 바뀐 것은 PSNR 차이가 0.03 dB 미만인 모델끼리뿐이다. maxout 대 ReLU의 SSIM 차이도 PSNR처럼 시드마다 엇갈린다(시드 1·2·3에서 +0.011 / +0.011, −0.001 / −0.001, +0.003 / +0.002). BM3D보다 높은 사진 수는 모든 모델에서 SSIM이 PSNR보다 같거나 적고(화질 모델 BSD68 68 → 67장, A 60 → 49장, B-32 ReLU+QAT 57 → 45장), 그 차이는 대체로 약한 모델일수록 크다. 즉 SSIM에서는 BM3D가 상대적으로 강하다. 그래도 본문의 BM3D 비교(화질 모델은 두 테스트셋에서 높고, 속도 모델은 Set12에서 같은 수준, BSD68에서 높다)는 SSIM에서도 그대로 성립한다.</w:t>
      </w:r>
    </w:p>
    <w:p>
      <w:pPr>
        <w:pStyle w:val="a3"/>
        <w:ind w:firstLine="0" w:left="198"/>
      </w:pPr>
      <w:r>
        <w:t xml:space="preserve">• </w:t>
      </w:r>
      <w:r>
        <w:rPr>
          <w:b/>
        </w:rPr>
        <w:t>같은 입력의 DnCNN-S:</w:t>
      </w:r>
      <w:r>
        <w:t xml:space="preserve"> float 556k 모델이 30.35 / 28.89 dB(클리핑 없는 입력에서는 30.44 / 29.24로 문헌 [2]와 같다). 본 화질 모델(정수, 300k)은 Set12에서 0.2 dB 낮고 BSD68에서 0.1 dB 높은데, 후자는 DnCNN-S가 클리핑 없이 학습된 탓이므로 이득으로 세지 않는다. SSIM(0.8594 / 0.8217)으로는 화질 모델이 두 테스트셋 모두 약간 낮다(−0.005 / −0.001; BSD68에서 높은 사진 19/68장). DnCNN-S 형상(K=576, 17층)을 이 코어에 올리면 사이클 모델로 약 9.3k 사이클/px, 화질 모델의 7.0배다.</w:t>
      </w:r>
    </w:p>
    <w:p>
      <w:pPr>
        <w:spacing w:after="0" w:before="0"/>
        <w:sectPr>
          <w:type w:val="continuous"/>
          <w:pgSz w:w="11909" w:h="16834"/>
          <w:pgMar w:top="1080" w:right="734" w:bottom="2434" w:left="734"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400000" cy="1839130"/>
            <wp:docPr id="2" name="Picture 2"/>
            <wp:cNvGraphicFramePr>
              <a:graphicFrameLocks noChangeAspect="1"/>
            </wp:cNvGraphicFramePr>
            <a:graphic>
              <a:graphicData uri="http://schemas.openxmlformats.org/drawingml/2006/picture">
                <pic:pic>
                  <pic:nvPicPr>
                    <pic:cNvPr id="0" name="psnr_vs_cycles.png"/>
                    <pic:cNvPicPr/>
                  </pic:nvPicPr>
                  <pic:blipFill>
                    <a:blip r:embed="rId9"/>
                    <a:stretch>
                      <a:fillRect/>
                    </a:stretch>
                  </pic:blipFill>
                  <pic:spPr>
                    <a:xfrm>
                      <a:off x="0" y="0"/>
                      <a:ext cx="5400000" cy="1839130"/>
                    </a:xfrm>
                    <a:prstGeom prst="rect"/>
                  </pic:spPr>
                </pic:pic>
              </a:graphicData>
            </a:graphic>
          </wp:inline>
        </w:drawing>
      </w:r>
    </w:p>
    <w:p>
      <w:pPr>
        <w:pStyle w:val="figurecaption"/>
        <w:numPr>
          <w:ilvl w:val="0"/>
          <w:numId w:val="0"/>
        </w:numPr>
      </w:pPr>
      <w:r>
        <w:t>그림 2. 코어 사이클/픽셀 대 정수 PSNR (왼쪽 Set12, 오른쪽 BSD68). 채운 점은 보드에서 잰 사이클, 속 빈 점은 사이클 모델값. 가로선은 BM3D(실선: 논문의 클리핑 7비트 입력, 점선: 클리핑 없음). B-32 점은 같은 예산 QAT 모델의 시드 세 개이고(세로선은 범위), 두 망 모두 약 670 사이클이지만 점이 겹치지 않게 x를 조금씩(최대 7%) 옮겨 그렸다. maxout의 세 시드는 ReLU 범위의 위쪽 끝과 겹치고, 같은 파라미터의 45채널 ReLU 망은 38% 더 많은 사이클에서 그 위에 있다. space-to-depth 망 B는 기준 망 A의 왼쪽 위에 있다.</w:t>
      </w:r>
    </w:p>
    <w:p>
      <w:pPr>
        <w:pStyle w:val="tablehead"/>
        <w:numPr>
          <w:ilvl w:val="0"/>
          <w:numId w:val="0"/>
        </w:numPr>
      </w:pPr>
      <w:r>
        <w:t>표 II. 보드 실측 (Set12 05.png, 256×256, 모든 층 불일치 0). 코어 시간 = 사이클 / 클럭. 벽시계는 JTAG 전송과 보드 쪽 검증을 포함한 하네스 시간.</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2891"/>
        <w:gridCol w:w="750"/>
        <w:gridCol w:w="750"/>
        <w:gridCol w:w="750"/>
        <w:gridCol w:w="750"/>
        <w:gridCol w:w="750"/>
        <w:gridCol w:w="750"/>
        <w:gridCol w:w="750"/>
        <w:gridCol w:w="750"/>
        <w:gridCol w:w="750"/>
      </w:tblGrid>
      <w:tr>
        <w:tc>
          <w:tcPr>
            <w:tcW w:type="dxa" w:w="2891"/>
          </w:tcPr>
          <w:p>
            <w:pPr>
              <w:pStyle w:val="tablecolhead"/>
              <w:spacing w:before="20" w:after="20"/>
            </w:pPr>
            <w:r>
              <w:t>모델</w:t>
            </w:r>
          </w:p>
        </w:tc>
        <w:tc>
          <w:tcPr>
            <w:tcW w:type="dxa" w:w="750"/>
          </w:tcPr>
          <w:p>
            <w:pPr>
              <w:pStyle w:val="tablecolhead"/>
              <w:spacing w:before="20" w:after="20"/>
              <w:jc w:val="center"/>
            </w:pPr>
            <w:r>
              <w:t>클럭</w:t>
            </w:r>
          </w:p>
        </w:tc>
        <w:tc>
          <w:tcPr>
            <w:tcW w:type="dxa" w:w="750"/>
          </w:tcPr>
          <w:p>
            <w:pPr>
              <w:pStyle w:val="tablecolhead"/>
              <w:spacing w:before="20" w:after="20"/>
              <w:jc w:val="center"/>
            </w:pPr>
            <w:r>
              <w:t>층</w:t>
            </w:r>
          </w:p>
        </w:tc>
        <w:tc>
          <w:tcPr>
            <w:tcW w:type="dxa" w:w="750"/>
          </w:tcPr>
          <w:p>
            <w:pPr>
              <w:pStyle w:val="tablecolhead"/>
              <w:spacing w:before="20" w:after="20"/>
              <w:jc w:val="center"/>
            </w:pPr>
            <w:r>
              <w:t>K</w:t>
            </w:r>
          </w:p>
        </w:tc>
        <w:tc>
          <w:tcPr>
            <w:tcW w:type="dxa" w:w="750"/>
          </w:tcPr>
          <w:p>
            <w:pPr>
              <w:pStyle w:val="tablecolhead"/>
              <w:spacing w:before="20" w:after="20"/>
              <w:jc w:val="center"/>
            </w:pPr>
            <w:r>
              <w:t>COUT</w:t>
            </w:r>
          </w:p>
        </w:tc>
        <w:tc>
          <w:tcPr>
            <w:tcW w:type="dxa" w:w="750"/>
          </w:tcPr>
          <w:p>
            <w:pPr>
              <w:pStyle w:val="tablecolhead"/>
              <w:spacing w:before="20" w:after="20"/>
              <w:jc w:val="center"/>
            </w:pPr>
            <w:r>
              <w:t>사이클/창 (모델→실측)</w:t>
            </w:r>
          </w:p>
        </w:tc>
        <w:tc>
          <w:tcPr>
            <w:tcW w:type="dxa" w:w="750"/>
          </w:tcPr>
          <w:p>
            <w:pPr>
              <w:pStyle w:val="tablecolhead"/>
              <w:spacing w:before="20" w:after="20"/>
              <w:jc w:val="center"/>
            </w:pPr>
            <w:r>
              <w:t>총 사이클</w:t>
            </w:r>
          </w:p>
        </w:tc>
        <w:tc>
          <w:tcPr>
            <w:tcW w:type="dxa" w:w="750"/>
          </w:tcPr>
          <w:p>
            <w:pPr>
              <w:pStyle w:val="tablecolhead"/>
              <w:spacing w:before="20" w:after="20"/>
              <w:jc w:val="center"/>
            </w:pPr>
            <w:r>
              <w:t>코어 시간</w:t>
            </w:r>
          </w:p>
        </w:tc>
        <w:tc>
          <w:tcPr>
            <w:tcW w:type="dxa" w:w="750"/>
          </w:tcPr>
          <w:p>
            <w:pPr>
              <w:pStyle w:val="tablecolhead"/>
              <w:spacing w:before="20" w:after="20"/>
              <w:jc w:val="center"/>
            </w:pPr>
            <w:r>
              <w:t>벽시계</w:t>
            </w:r>
          </w:p>
        </w:tc>
        <w:tc>
          <w:tcPr>
            <w:tcW w:type="dxa" w:w="750"/>
          </w:tcPr>
          <w:p>
            <w:pPr>
              <w:pStyle w:val="tablecolhead"/>
              <w:spacing w:before="20" w:after="20"/>
              <w:jc w:val="center"/>
            </w:pPr>
            <w:r>
              <w:t>05.png PSNR</w:t>
            </w:r>
          </w:p>
        </w:tc>
      </w:tr>
      <w:tr>
        <w:tc>
          <w:tcPr>
            <w:tcW w:type="dxa" w:w="2891"/>
          </w:tcPr>
          <w:p>
            <w:pPr>
              <w:pStyle w:val="tablecopy"/>
              <w:spacing w:before="20" w:after="20"/>
            </w:pPr>
            <w:r>
              <w:t>B + QAT</w:t>
            </w:r>
          </w:p>
        </w:tc>
        <w:tc>
          <w:tcPr>
            <w:tcW w:type="dxa" w:w="750"/>
          </w:tcPr>
          <w:p>
            <w:pPr>
              <w:pStyle w:val="tablecopy"/>
              <w:spacing w:before="20" w:after="20"/>
              <w:jc w:val="center"/>
            </w:pPr>
            <w:r>
              <w:t>50 MHz</w:t>
            </w:r>
          </w:p>
        </w:tc>
        <w:tc>
          <w:tcPr>
            <w:tcW w:type="dxa" w:w="750"/>
          </w:tcPr>
          <w:p>
            <w:pPr>
              <w:pStyle w:val="tablecopy"/>
              <w:spacing w:before="20" w:after="20"/>
              <w:jc w:val="center"/>
            </w:pPr>
            <w:r>
              <w:t>conv1 / conv2–9 / conv10</w:t>
            </w:r>
          </w:p>
        </w:tc>
        <w:tc>
          <w:tcPr>
            <w:tcW w:type="dxa" w:w="750"/>
          </w:tcPr>
          <w:p>
            <w:pPr>
              <w:pStyle w:val="tablecopy"/>
              <w:spacing w:before="20" w:after="20"/>
              <w:jc w:val="center"/>
            </w:pPr>
            <w:r>
              <w:t>36 / 576 / 612</w:t>
            </w:r>
          </w:p>
        </w:tc>
        <w:tc>
          <w:tcPr>
            <w:tcW w:type="dxa" w:w="750"/>
          </w:tcPr>
          <w:p>
            <w:pPr>
              <w:pStyle w:val="tablecopy"/>
              <w:spacing w:before="20" w:after="20"/>
              <w:jc w:val="center"/>
            </w:pPr>
            <w:r>
              <w:t>64 / 64 / 4</w:t>
            </w:r>
          </w:p>
        </w:tc>
        <w:tc>
          <w:tcPr>
            <w:tcW w:type="dxa" w:w="750"/>
          </w:tcPr>
          <w:p>
            <w:pPr>
              <w:pStyle w:val="tablecopy"/>
              <w:spacing w:before="20" w:after="20"/>
              <w:jc w:val="center"/>
            </w:pPr>
            <w:r>
              <w:t>36→64 / 576→577 / 612→613</w:t>
            </w:r>
          </w:p>
        </w:tc>
        <w:tc>
          <w:tcPr>
            <w:tcW w:type="dxa" w:w="750"/>
          </w:tcPr>
          <w:p>
            <w:pPr>
              <w:pStyle w:val="tablecopy"/>
              <w:spacing w:before="20" w:after="20"/>
              <w:jc w:val="center"/>
            </w:pPr>
            <w:r>
              <w:t>86,721,997 (1,323/px)</w:t>
            </w:r>
          </w:p>
        </w:tc>
        <w:tc>
          <w:tcPr>
            <w:tcW w:type="dxa" w:w="750"/>
          </w:tcPr>
          <w:p>
            <w:pPr>
              <w:pStyle w:val="tablecopy"/>
              <w:spacing w:before="20" w:after="20"/>
              <w:jc w:val="center"/>
            </w:pPr>
            <w:r>
              <w:t>1.73 s</w:t>
            </w:r>
          </w:p>
        </w:tc>
        <w:tc>
          <w:tcPr>
            <w:tcW w:type="dxa" w:w="750"/>
          </w:tcPr>
          <w:p>
            <w:pPr>
              <w:pStyle w:val="tablecopy"/>
              <w:spacing w:before="20" w:after="20"/>
              <w:jc w:val="center"/>
            </w:pPr>
            <w:r>
              <w:t>600 s</w:t>
            </w:r>
          </w:p>
        </w:tc>
        <w:tc>
          <w:tcPr>
            <w:tcW w:type="dxa" w:w="750"/>
          </w:tcPr>
          <w:p>
            <w:pPr>
              <w:pStyle w:val="tablecopy"/>
              <w:spacing w:before="20" w:after="20"/>
              <w:jc w:val="center"/>
            </w:pPr>
            <w:r>
              <w:t>30.06</w:t>
            </w:r>
          </w:p>
        </w:tc>
      </w:tr>
      <w:tr>
        <w:tc>
          <w:tcPr>
            <w:tcW w:type="dxa" w:w="2891"/>
          </w:tcPr>
          <w:p>
            <w:pPr>
              <w:pStyle w:val="tablecopy"/>
              <w:spacing w:before="20" w:after="20"/>
            </w:pPr>
            <w:r>
              <w:t>B-32 + maxout + QAT</w:t>
            </w:r>
          </w:p>
        </w:tc>
        <w:tc>
          <w:tcPr>
            <w:tcW w:type="dxa" w:w="750"/>
          </w:tcPr>
          <w:p>
            <w:pPr>
              <w:pStyle w:val="tablecopy"/>
              <w:spacing w:before="20" w:after="20"/>
              <w:jc w:val="center"/>
            </w:pPr>
            <w:r>
              <w:t>50 MHz</w:t>
            </w:r>
          </w:p>
        </w:tc>
        <w:tc>
          <w:tcPr>
            <w:tcW w:type="dxa" w:w="750"/>
          </w:tcPr>
          <w:p>
            <w:pPr>
              <w:pStyle w:val="tablecopy"/>
              <w:spacing w:before="20" w:after="20"/>
              <w:jc w:val="center"/>
            </w:pPr>
            <w:r>
              <w:t>conv1 / conv2–9 / conv10</w:t>
            </w:r>
          </w:p>
        </w:tc>
        <w:tc>
          <w:tcPr>
            <w:tcW w:type="dxa" w:w="750"/>
          </w:tcPr>
          <w:p>
            <w:pPr>
              <w:pStyle w:val="tablecopy"/>
              <w:spacing w:before="20" w:after="20"/>
              <w:jc w:val="center"/>
            </w:pPr>
            <w:r>
              <w:t>36 / 288 / 324</w:t>
            </w:r>
          </w:p>
        </w:tc>
        <w:tc>
          <w:tcPr>
            <w:tcW w:type="dxa" w:w="750"/>
          </w:tcPr>
          <w:p>
            <w:pPr>
              <w:pStyle w:val="tablecopy"/>
              <w:spacing w:before="20" w:after="20"/>
              <w:jc w:val="center"/>
            </w:pPr>
            <w:r>
              <w:t xml:space="preserve">64 / </w:t>
            </w:r>
            <w:r>
              <w:rPr>
                <w:b/>
              </w:rPr>
              <w:t>64</w:t>
            </w:r>
            <w:r>
              <w:t xml:space="preserve"> / 4</w:t>
            </w:r>
          </w:p>
        </w:tc>
        <w:tc>
          <w:tcPr>
            <w:tcW w:type="dxa" w:w="750"/>
          </w:tcPr>
          <w:p>
            <w:pPr>
              <w:pStyle w:val="tablecopy"/>
              <w:spacing w:before="20" w:after="20"/>
              <w:jc w:val="center"/>
            </w:pPr>
            <w:r>
              <w:t>36→64 / 288→</w:t>
            </w:r>
            <w:r>
              <w:rPr>
                <w:b/>
              </w:rPr>
              <w:t>289</w:t>
            </w:r>
            <w:r>
              <w:t xml:space="preserve"> / 324→325</w:t>
            </w:r>
          </w:p>
        </w:tc>
        <w:tc>
          <w:tcPr>
            <w:tcW w:type="dxa" w:w="750"/>
          </w:tcPr>
          <w:p>
            <w:pPr>
              <w:pStyle w:val="tablecopy"/>
              <w:spacing w:before="20" w:after="20"/>
              <w:jc w:val="center"/>
            </w:pPr>
            <w:r>
              <w:t>44,254,293 (675/px)</w:t>
            </w:r>
          </w:p>
        </w:tc>
        <w:tc>
          <w:tcPr>
            <w:tcW w:type="dxa" w:w="750"/>
          </w:tcPr>
          <w:p>
            <w:pPr>
              <w:pStyle w:val="tablecopy"/>
              <w:spacing w:before="20" w:after="20"/>
              <w:jc w:val="center"/>
            </w:pPr>
            <w:r>
              <w:t>0.89 s</w:t>
            </w:r>
          </w:p>
        </w:tc>
        <w:tc>
          <w:tcPr>
            <w:tcW w:type="dxa" w:w="750"/>
          </w:tcPr>
          <w:p>
            <w:pPr>
              <w:pStyle w:val="tablecopy"/>
              <w:spacing w:before="20" w:after="20"/>
              <w:jc w:val="center"/>
            </w:pPr>
            <w:r>
              <w:t>408 s</w:t>
            </w:r>
          </w:p>
        </w:tc>
        <w:tc>
          <w:tcPr>
            <w:tcW w:type="dxa" w:w="750"/>
          </w:tcPr>
          <w:p>
            <w:pPr>
              <w:pStyle w:val="tablecopy"/>
              <w:spacing w:before="20" w:after="20"/>
              <w:jc w:val="center"/>
            </w:pPr>
            <w:r>
              <w:t>29.94</w:t>
            </w:r>
          </w:p>
        </w:tc>
      </w:tr>
      <w:tr>
        <w:tc>
          <w:tcPr>
            <w:tcW w:type="dxa" w:w="2891"/>
          </w:tcPr>
          <w:p>
            <w:pPr>
              <w:pStyle w:val="tablecopy"/>
              <w:spacing w:before="20" w:after="20"/>
            </w:pPr>
            <w:r>
              <w:t>B-32 ReLU + QAT</w:t>
            </w:r>
          </w:p>
        </w:tc>
        <w:tc>
          <w:tcPr>
            <w:tcW w:type="dxa" w:w="750"/>
          </w:tcPr>
          <w:p>
            <w:pPr>
              <w:pStyle w:val="tablecopy"/>
              <w:spacing w:before="20" w:after="20"/>
              <w:jc w:val="center"/>
            </w:pPr>
            <w:r>
              <w:t>50 MHz</w:t>
            </w:r>
          </w:p>
        </w:tc>
        <w:tc>
          <w:tcPr>
            <w:tcW w:type="dxa" w:w="750"/>
          </w:tcPr>
          <w:p>
            <w:pPr>
              <w:pStyle w:val="tablecopy"/>
              <w:spacing w:before="20" w:after="20"/>
              <w:jc w:val="center"/>
            </w:pPr>
            <w:r>
              <w:t>conv1 / conv2–9 / conv10</w:t>
            </w:r>
          </w:p>
        </w:tc>
        <w:tc>
          <w:tcPr>
            <w:tcW w:type="dxa" w:w="750"/>
          </w:tcPr>
          <w:p>
            <w:pPr>
              <w:pStyle w:val="tablecopy"/>
              <w:spacing w:before="20" w:after="20"/>
              <w:jc w:val="center"/>
            </w:pPr>
            <w:r>
              <w:t>36 / 288 / 324</w:t>
            </w:r>
          </w:p>
        </w:tc>
        <w:tc>
          <w:tcPr>
            <w:tcW w:type="dxa" w:w="750"/>
          </w:tcPr>
          <w:p>
            <w:pPr>
              <w:pStyle w:val="tablecopy"/>
              <w:spacing w:before="20" w:after="20"/>
              <w:jc w:val="center"/>
            </w:pPr>
            <w:r>
              <w:t>32 / 32 / 4</w:t>
            </w:r>
          </w:p>
        </w:tc>
        <w:tc>
          <w:tcPr>
            <w:tcW w:type="dxa" w:w="750"/>
          </w:tcPr>
          <w:p>
            <w:pPr>
              <w:pStyle w:val="tablecopy"/>
              <w:spacing w:before="20" w:after="20"/>
              <w:jc w:val="center"/>
            </w:pPr>
            <w:r>
              <w:t>36→37 / 288→289 / 324→325</w:t>
            </w:r>
          </w:p>
        </w:tc>
        <w:tc>
          <w:tcPr>
            <w:tcW w:type="dxa" w:w="750"/>
          </w:tcPr>
          <w:p>
            <w:pPr>
              <w:pStyle w:val="tablecopy"/>
              <w:spacing w:before="20" w:after="20"/>
              <w:jc w:val="center"/>
            </w:pPr>
            <w:r>
              <w:t>43,811,412 (668.5/px)</w:t>
            </w:r>
          </w:p>
        </w:tc>
        <w:tc>
          <w:tcPr>
            <w:tcW w:type="dxa" w:w="750"/>
          </w:tcPr>
          <w:p>
            <w:pPr>
              <w:pStyle w:val="tablecopy"/>
              <w:spacing w:before="20" w:after="20"/>
              <w:jc w:val="center"/>
            </w:pPr>
            <w:r>
              <w:t>0.88 s</w:t>
            </w:r>
          </w:p>
        </w:tc>
        <w:tc>
          <w:tcPr>
            <w:tcW w:type="dxa" w:w="750"/>
          </w:tcPr>
          <w:p>
            <w:pPr>
              <w:pStyle w:val="tablecopy"/>
              <w:spacing w:before="20" w:after="20"/>
              <w:jc w:val="center"/>
            </w:pPr>
            <w:r>
              <w:t>292 s</w:t>
            </w:r>
          </w:p>
        </w:tc>
        <w:tc>
          <w:tcPr>
            <w:tcW w:type="dxa" w:w="750"/>
          </w:tcPr>
          <w:p>
            <w:pPr>
              <w:pStyle w:val="tablecopy"/>
              <w:spacing w:before="20" w:after="20"/>
              <w:jc w:val="center"/>
            </w:pPr>
            <w:r>
              <w:t>29.54</w:t>
            </w:r>
          </w:p>
        </w:tc>
      </w:tr>
      <w:tr>
        <w:tc>
          <w:tcPr>
            <w:tcW w:type="dxa" w:w="2891"/>
          </w:tcPr>
          <w:p>
            <w:pPr>
              <w:pStyle w:val="tablecopy"/>
              <w:spacing w:before="20" w:after="20"/>
            </w:pPr>
            <w:r>
              <w:t>B-32 + maxout + QAT (조기 종료 학습판)</w:t>
            </w:r>
          </w:p>
        </w:tc>
        <w:tc>
          <w:tcPr>
            <w:tcW w:type="dxa" w:w="750"/>
          </w:tcPr>
          <w:p>
            <w:pPr>
              <w:pStyle w:val="tablecopy"/>
              <w:spacing w:before="20" w:after="20"/>
              <w:jc w:val="center"/>
            </w:pPr>
            <w:r>
              <w:t>50 / 100 MHz</w:t>
            </w:r>
          </w:p>
        </w:tc>
        <w:tc>
          <w:tcPr>
            <w:tcW w:type="dxa" w:w="750"/>
          </w:tcPr>
          <w:p>
            <w:pPr>
              <w:pStyle w:val="tablecopy"/>
              <w:spacing w:before="20" w:after="20"/>
              <w:jc w:val="center"/>
            </w:pPr>
            <w:r>
              <w:t>같음</w:t>
            </w:r>
          </w:p>
        </w:tc>
        <w:tc>
          <w:tcPr>
            <w:tcW w:type="dxa" w:w="750"/>
          </w:tcPr>
          <w:p>
            <w:pPr>
              <w:pStyle w:val="tablecopy"/>
              <w:spacing w:before="20" w:after="20"/>
              <w:jc w:val="center"/>
            </w:pPr>
          </w:p>
        </w:tc>
        <w:tc>
          <w:tcPr>
            <w:tcW w:type="dxa" w:w="750"/>
          </w:tcPr>
          <w:p>
            <w:pPr>
              <w:pStyle w:val="tablecopy"/>
              <w:spacing w:before="20" w:after="20"/>
              <w:jc w:val="center"/>
            </w:pPr>
          </w:p>
        </w:tc>
        <w:tc>
          <w:tcPr>
            <w:tcW w:type="dxa" w:w="750"/>
          </w:tcPr>
          <w:p>
            <w:pPr>
              <w:pStyle w:val="tablecopy"/>
              <w:spacing w:before="20" w:after="20"/>
              <w:jc w:val="center"/>
            </w:pPr>
            <w:r>
              <w:t>같음</w:t>
            </w:r>
          </w:p>
        </w:tc>
        <w:tc>
          <w:tcPr>
            <w:tcW w:type="dxa" w:w="750"/>
          </w:tcPr>
          <w:p>
            <w:pPr>
              <w:pStyle w:val="tablecopy"/>
              <w:spacing w:before="20" w:after="20"/>
              <w:jc w:val="center"/>
            </w:pPr>
            <w:r>
              <w:t>44,254,269 (두 클럭 같음)</w:t>
            </w:r>
          </w:p>
        </w:tc>
        <w:tc>
          <w:tcPr>
            <w:tcW w:type="dxa" w:w="750"/>
          </w:tcPr>
          <w:p>
            <w:pPr>
              <w:pStyle w:val="tablecopy"/>
              <w:spacing w:before="20" w:after="20"/>
              <w:jc w:val="center"/>
            </w:pPr>
            <w:r>
              <w:t>0.89 / 0.44 s</w:t>
            </w:r>
          </w:p>
        </w:tc>
        <w:tc>
          <w:tcPr>
            <w:tcW w:type="dxa" w:w="750"/>
          </w:tcPr>
          <w:p>
            <w:pPr>
              <w:pStyle w:val="tablecopy"/>
              <w:spacing w:before="20" w:after="20"/>
              <w:jc w:val="center"/>
            </w:pPr>
            <w:r>
              <w:t>371 / 399 s</w:t>
            </w:r>
          </w:p>
        </w:tc>
        <w:tc>
          <w:tcPr>
            <w:tcW w:type="dxa" w:w="750"/>
          </w:tcPr>
          <w:p>
            <w:pPr>
              <w:pStyle w:val="tablecopy"/>
              <w:spacing w:before="20" w:after="20"/>
              <w:jc w:val="center"/>
            </w:pPr>
            <w:r>
              <w:t>29.87</w:t>
            </w:r>
          </w:p>
        </w:tc>
      </w:tr>
      <w:tr>
        <w:tc>
          <w:tcPr>
            <w:tcW w:type="dxa" w:w="2891"/>
          </w:tcPr>
          <w:p>
            <w:pPr>
              <w:pStyle w:val="tablecopy"/>
              <w:spacing w:before="20" w:after="20"/>
            </w:pPr>
            <w:r>
              <w:t>A</w:t>
            </w:r>
          </w:p>
        </w:tc>
        <w:tc>
          <w:tcPr>
            <w:tcW w:type="dxa" w:w="750"/>
          </w:tcPr>
          <w:p>
            <w:pPr>
              <w:pStyle w:val="tablecopy"/>
              <w:spacing w:before="20" w:after="20"/>
              <w:jc w:val="center"/>
            </w:pPr>
            <w:r>
              <w:t>50 MHz</w:t>
            </w:r>
          </w:p>
        </w:tc>
        <w:tc>
          <w:tcPr>
            <w:tcW w:type="dxa" w:w="750"/>
          </w:tcPr>
          <w:p>
            <w:pPr>
              <w:pStyle w:val="tablecopy"/>
              <w:spacing w:before="20" w:after="20"/>
              <w:jc w:val="center"/>
            </w:pPr>
            <w:r>
              <w:t>conv1 / conv2–6 / conv7</w:t>
            </w:r>
          </w:p>
        </w:tc>
        <w:tc>
          <w:tcPr>
            <w:tcW w:type="dxa" w:w="750"/>
          </w:tcPr>
          <w:p>
            <w:pPr>
              <w:pStyle w:val="tablecopy"/>
              <w:spacing w:before="20" w:after="20"/>
              <w:jc w:val="center"/>
            </w:pPr>
            <w:r>
              <w:t>9 / 288 / 297</w:t>
            </w:r>
          </w:p>
        </w:tc>
        <w:tc>
          <w:tcPr>
            <w:tcW w:type="dxa" w:w="750"/>
          </w:tcPr>
          <w:p>
            <w:pPr>
              <w:pStyle w:val="tablecopy"/>
              <w:spacing w:before="20" w:after="20"/>
              <w:jc w:val="center"/>
            </w:pPr>
            <w:r>
              <w:t xml:space="preserve">32 / </w:t>
            </w:r>
            <w:r>
              <w:rPr>
                <w:b/>
              </w:rPr>
              <w:t>32</w:t>
            </w:r>
            <w:r>
              <w:t xml:space="preserve"> / 1</w:t>
            </w:r>
          </w:p>
        </w:tc>
        <w:tc>
          <w:tcPr>
            <w:tcW w:type="dxa" w:w="750"/>
          </w:tcPr>
          <w:p>
            <w:pPr>
              <w:pStyle w:val="tablecopy"/>
              <w:spacing w:before="20" w:after="20"/>
              <w:jc w:val="center"/>
            </w:pPr>
            <w:r>
              <w:t>9→32 / 288→</w:t>
            </w:r>
            <w:r>
              <w:rPr>
                <w:b/>
              </w:rPr>
              <w:t>289</w:t>
            </w:r>
            <w:r>
              <w:t xml:space="preserve"> / 297→298</w:t>
            </w:r>
          </w:p>
        </w:tc>
        <w:tc>
          <w:tcPr>
            <w:tcW w:type="dxa" w:w="750"/>
          </w:tcPr>
          <w:p>
            <w:pPr>
              <w:pStyle w:val="tablecopy"/>
              <w:spacing w:before="20" w:after="20"/>
              <w:jc w:val="center"/>
            </w:pPr>
            <w:r>
              <w:t>116,326,743 (1,775/px)</w:t>
            </w:r>
          </w:p>
        </w:tc>
        <w:tc>
          <w:tcPr>
            <w:tcW w:type="dxa" w:w="750"/>
          </w:tcPr>
          <w:p>
            <w:pPr>
              <w:pStyle w:val="tablecopy"/>
              <w:spacing w:before="20" w:after="20"/>
              <w:jc w:val="center"/>
            </w:pPr>
            <w:r>
              <w:t>2.33 s</w:t>
            </w:r>
          </w:p>
        </w:tc>
        <w:tc>
          <w:tcPr>
            <w:tcW w:type="dxa" w:w="750"/>
          </w:tcPr>
          <w:p>
            <w:pPr>
              <w:pStyle w:val="tablecopy"/>
              <w:spacing w:before="20" w:after="20"/>
              <w:jc w:val="center"/>
            </w:pPr>
            <w:r>
              <w:t>701 s</w:t>
            </w:r>
          </w:p>
        </w:tc>
        <w:tc>
          <w:tcPr>
            <w:tcW w:type="dxa" w:w="750"/>
          </w:tcPr>
          <w:p>
            <w:pPr>
              <w:pStyle w:val="tablecopy"/>
              <w:spacing w:before="20" w:after="20"/>
              <w:jc w:val="center"/>
            </w:pPr>
            <w:r>
              <w:t>29.83</w:t>
            </w:r>
          </w:p>
        </w:tc>
      </w:tr>
    </w:tbl>
    <w:p>
      <w:pPr>
        <w:spacing w:after="0" w:before="0"/>
        <w:sectPr>
          <w:type w:val="continuous"/>
          <w:pgSz w:w="11909" w:h="16834"/>
          <w:pgMar w:top="1080" w:right="734" w:bottom="2434" w:left="734" w:header="720" w:footer="720" w:gutter="0"/>
          <w:cols w:space="720"/>
          <w:docGrid w:linePitch="360"/>
        </w:sectPr>
      </w:pPr>
    </w:p>
    <w:p>
      <w:pPr>
        <w:pStyle w:val="a3"/>
        <w:ind w:firstLine="0" w:left="198"/>
      </w:pPr>
      <w:r>
        <w:t xml:space="preserve">• maxout 층(K=288, 출력 64)은 A와 같은 폭 ReLU 망의 K=288, 출력 32 층과 똑같이 </w:t>
      </w:r>
      <w:r>
        <w:rPr>
          <w:b/>
        </w:rPr>
        <w:t>289 사이클/창</w:t>
      </w:r>
      <w:r>
        <w:t>이다. 출력을 2배로 늘린 비용이 0임을 보드가 보여 준다. 첫 층(K=36)만 출력을 내보내는 시간 때문에 64 사이클(ReLU 망은 37)이 걸려, 망 전체로는 ReLU 망의 1.01배(44,254,293 대 43,811,412 사이클)다.</w:t>
      </w:r>
    </w:p>
    <w:p>
      <w:pPr>
        <w:pStyle w:val="a3"/>
        <w:ind w:firstLine="0" w:left="198"/>
      </w:pPr>
      <w:r>
        <w:t>• 보정 모델과 실측의 차이는 네 망(A, B, B-32 maxout, B-32 ReLU) 모두 0.003% 이내이며, 그 차이는 층 실행마다 붙는 수십~수백 사이클의 오버헤드다(망 전체로 343~1,485 사이클). 100 MHz에서 사이클 수는 50 MHz와 같다. 같은 구조라도 가중치가 다르면 sparse 모드의 층별 사이클이 몇 사이클 달라진다(조기 종료판과 같은 예산판 B-32+maxout+QAT: 44,254,269 대 44,254,293).</w:t>
      </w:r>
    </w:p>
    <w:p>
      <w:pPr>
        <w:pStyle w:val="a3"/>
        <w:ind w:firstLine="0" w:left="198"/>
      </w:pPr>
      <w:r>
        <w:t>• 절대 처리량은 낮다. 50 MHz, 곱셈기 64개로 최대 6.4 GOPS(B 망의 실효 5.7 GOPS)이며 256×256 한 장에 코어만 0.9–2.3 s다. 같은 망을 PC CPU(Xeon 4코어, float32 PyTorch)는 30–38 ms에 처리한다. 같은 칩의 ARM 프로세서와는 비교하지 않았다. 이 논문은 처리량이 아니라 주어진 코어에서 망을 고르는 근거를 다룬다. 전력을 재지 않았으므로 GOPS/W는 보고하지 않는다.</w:t>
      </w:r>
    </w:p>
    <w:p>
      <w:pPr>
        <w:pStyle w:val="tablehead"/>
        <w:numPr>
          <w:ilvl w:val="0"/>
          <w:numId w:val="0"/>
        </w:numPr>
      </w:pPr>
      <w:r>
        <w:t>표 III. 입력 구조별 예측 코어 사이클/픽셀 (보정 사이클 모델, dense). 현재 구조(1값/사이클)만 보드에서 쟀고 나머지는 예측이다. 라인 버퍼는 창마다 새 입력 픽셀 하나(C_in개 값)가 들어오는 구조다.</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1429"/>
        <w:gridCol w:w="833"/>
        <w:gridCol w:w="833"/>
        <w:gridCol w:w="833"/>
        <w:gridCol w:w="833"/>
      </w:tblGrid>
      <w:tr>
        <w:tc>
          <w:tcPr>
            <w:tcW w:type="dxa" w:w="1429"/>
          </w:tcPr>
          <w:p>
            <w:pPr>
              <w:pStyle w:val="tablecolhead"/>
              <w:spacing w:before="20" w:after="20"/>
            </w:pPr>
            <w:r>
              <w:t>망</w:t>
            </w:r>
          </w:p>
        </w:tc>
        <w:tc>
          <w:tcPr>
            <w:tcW w:type="dxa" w:w="833"/>
          </w:tcPr>
          <w:p>
            <w:pPr>
              <w:pStyle w:val="tablecolhead"/>
              <w:spacing w:before="20" w:after="20"/>
              <w:jc w:val="center"/>
            </w:pPr>
            <w:r>
              <w:t>1값/사이클 (현재, 실측)</w:t>
            </w:r>
          </w:p>
        </w:tc>
        <w:tc>
          <w:tcPr>
            <w:tcW w:type="dxa" w:w="833"/>
          </w:tcPr>
          <w:p>
            <w:pPr>
              <w:pStyle w:val="tablecolhead"/>
              <w:spacing w:before="20" w:after="20"/>
              <w:jc w:val="center"/>
            </w:pPr>
            <w:r>
              <w:t>2값/사이클</w:t>
            </w:r>
          </w:p>
        </w:tc>
        <w:tc>
          <w:tcPr>
            <w:tcW w:type="dxa" w:w="833"/>
          </w:tcPr>
          <w:p>
            <w:pPr>
              <w:pStyle w:val="tablecolhead"/>
              <w:spacing w:before="20" w:after="20"/>
              <w:jc w:val="center"/>
            </w:pPr>
            <w:r>
              <w:t>4값/사이클</w:t>
            </w:r>
          </w:p>
        </w:tc>
        <w:tc>
          <w:tcPr>
            <w:tcW w:type="dxa" w:w="833"/>
          </w:tcPr>
          <w:p>
            <w:pPr>
              <w:pStyle w:val="tablecolhead"/>
              <w:spacing w:before="20" w:after="20"/>
              <w:jc w:val="center"/>
            </w:pPr>
            <w:r>
              <w:t>라인 버퍼</w:t>
            </w:r>
          </w:p>
        </w:tc>
      </w:tr>
      <w:tr>
        <w:tc>
          <w:tcPr>
            <w:tcW w:type="dxa" w:w="1429"/>
          </w:tcPr>
          <w:p>
            <w:pPr>
              <w:pStyle w:val="tablecopy"/>
              <w:spacing w:before="20" w:after="20"/>
            </w:pPr>
            <w:r>
              <w:t>A: 7층 × 32</w:t>
            </w:r>
          </w:p>
        </w:tc>
        <w:tc>
          <w:tcPr>
            <w:tcW w:type="dxa" w:w="833"/>
          </w:tcPr>
          <w:p>
            <w:pPr>
              <w:pStyle w:val="tablecopy"/>
              <w:spacing w:before="20" w:after="20"/>
              <w:jc w:val="center"/>
            </w:pPr>
            <w:r>
              <w:t>1,775</w:t>
            </w:r>
          </w:p>
        </w:tc>
        <w:tc>
          <w:tcPr>
            <w:tcW w:type="dxa" w:w="833"/>
          </w:tcPr>
          <w:p>
            <w:pPr>
              <w:pStyle w:val="tablecopy"/>
              <w:spacing w:before="20" w:after="20"/>
              <w:jc w:val="center"/>
            </w:pPr>
            <w:r>
              <w:t>907</w:t>
            </w:r>
          </w:p>
        </w:tc>
        <w:tc>
          <w:tcPr>
            <w:tcW w:type="dxa" w:w="833"/>
          </w:tcPr>
          <w:p>
            <w:pPr>
              <w:pStyle w:val="tablecopy"/>
              <w:spacing w:before="20" w:after="20"/>
              <w:jc w:val="center"/>
            </w:pPr>
            <w:r>
              <w:t>833</w:t>
            </w:r>
          </w:p>
        </w:tc>
        <w:tc>
          <w:tcPr>
            <w:tcW w:type="dxa" w:w="833"/>
          </w:tcPr>
          <w:p>
            <w:pPr>
              <w:pStyle w:val="tablecopy"/>
              <w:spacing w:before="20" w:after="20"/>
              <w:jc w:val="center"/>
            </w:pPr>
            <w:r>
              <w:t>833</w:t>
            </w:r>
          </w:p>
        </w:tc>
      </w:tr>
      <w:tr>
        <w:tc>
          <w:tcPr>
            <w:tcW w:type="dxa" w:w="1429"/>
          </w:tcPr>
          <w:p>
            <w:pPr>
              <w:pStyle w:val="tablecopy"/>
              <w:spacing w:before="20" w:after="20"/>
            </w:pPr>
            <w:r>
              <w:t>B: s2d, 10층 × 64</w:t>
            </w:r>
          </w:p>
        </w:tc>
        <w:tc>
          <w:tcPr>
            <w:tcW w:type="dxa" w:w="833"/>
          </w:tcPr>
          <w:p>
            <w:pPr>
              <w:pStyle w:val="tablecopy"/>
              <w:spacing w:before="20" w:after="20"/>
              <w:jc w:val="center"/>
            </w:pPr>
            <w:r>
              <w:t>1,323</w:t>
            </w:r>
          </w:p>
        </w:tc>
        <w:tc>
          <w:tcPr>
            <w:tcW w:type="dxa" w:w="833"/>
          </w:tcPr>
          <w:p>
            <w:pPr>
              <w:pStyle w:val="tablecopy"/>
              <w:spacing w:before="20" w:after="20"/>
              <w:jc w:val="center"/>
            </w:pPr>
            <w:r>
              <w:t>1,247</w:t>
            </w:r>
          </w:p>
        </w:tc>
        <w:tc>
          <w:tcPr>
            <w:tcW w:type="dxa" w:w="833"/>
          </w:tcPr>
          <w:p>
            <w:pPr>
              <w:pStyle w:val="tablecopy"/>
              <w:spacing w:before="20" w:after="20"/>
              <w:jc w:val="center"/>
            </w:pPr>
            <w:r>
              <w:t>1,209</w:t>
            </w:r>
          </w:p>
        </w:tc>
        <w:tc>
          <w:tcPr>
            <w:tcW w:type="dxa" w:w="833"/>
          </w:tcPr>
          <w:p>
            <w:pPr>
              <w:pStyle w:val="tablecopy"/>
              <w:spacing w:before="20" w:after="20"/>
              <w:jc w:val="center"/>
            </w:pPr>
            <w:r>
              <w:t>1,209</w:t>
            </w:r>
          </w:p>
        </w:tc>
      </w:tr>
      <w:tr>
        <w:tc>
          <w:tcPr>
            <w:tcW w:type="dxa" w:w="1429"/>
          </w:tcPr>
          <w:p>
            <w:pPr>
              <w:pStyle w:val="tablecopy"/>
              <w:spacing w:before="20" w:after="20"/>
            </w:pPr>
            <w:r>
              <w:t>B-32 ReLU</w:t>
            </w:r>
          </w:p>
        </w:tc>
        <w:tc>
          <w:tcPr>
            <w:tcW w:type="dxa" w:w="833"/>
          </w:tcPr>
          <w:p>
            <w:pPr>
              <w:pStyle w:val="tablecopy"/>
              <w:spacing w:before="20" w:after="20"/>
              <w:jc w:val="center"/>
            </w:pPr>
            <w:r>
              <w:t>669</w:t>
            </w:r>
          </w:p>
        </w:tc>
        <w:tc>
          <w:tcPr>
            <w:tcW w:type="dxa" w:w="833"/>
          </w:tcPr>
          <w:p>
            <w:pPr>
              <w:pStyle w:val="tablecopy"/>
              <w:spacing w:before="20" w:after="20"/>
              <w:jc w:val="center"/>
            </w:pPr>
            <w:r>
              <w:t>339</w:t>
            </w:r>
          </w:p>
        </w:tc>
        <w:tc>
          <w:tcPr>
            <w:tcW w:type="dxa" w:w="833"/>
          </w:tcPr>
          <w:p>
            <w:pPr>
              <w:pStyle w:val="tablecopy"/>
              <w:spacing w:before="20" w:after="20"/>
              <w:jc w:val="center"/>
            </w:pPr>
            <w:r>
              <w:t>319</w:t>
            </w:r>
          </w:p>
        </w:tc>
        <w:tc>
          <w:tcPr>
            <w:tcW w:type="dxa" w:w="833"/>
          </w:tcPr>
          <w:p>
            <w:pPr>
              <w:pStyle w:val="tablecopy"/>
              <w:spacing w:before="20" w:after="20"/>
              <w:jc w:val="center"/>
            </w:pPr>
            <w:r>
              <w:t>319</w:t>
            </w:r>
          </w:p>
        </w:tc>
      </w:tr>
      <w:tr>
        <w:tc>
          <w:tcPr>
            <w:tcW w:type="dxa" w:w="1429"/>
          </w:tcPr>
          <w:p>
            <w:pPr>
              <w:pStyle w:val="tablecopy"/>
              <w:spacing w:before="20" w:after="20"/>
            </w:pPr>
            <w:r>
              <w:t>B-32 maxout</w:t>
            </w:r>
          </w:p>
        </w:tc>
        <w:tc>
          <w:tcPr>
            <w:tcW w:type="dxa" w:w="833"/>
          </w:tcPr>
          <w:p>
            <w:pPr>
              <w:pStyle w:val="tablecopy"/>
              <w:spacing w:before="20" w:after="20"/>
              <w:jc w:val="center"/>
            </w:pPr>
            <w:r>
              <w:t>675</w:t>
            </w:r>
          </w:p>
        </w:tc>
        <w:tc>
          <w:tcPr>
            <w:tcW w:type="dxa" w:w="833"/>
          </w:tcPr>
          <w:p>
            <w:pPr>
              <w:pStyle w:val="tablecopy"/>
              <w:spacing w:before="20" w:after="20"/>
              <w:jc w:val="center"/>
            </w:pPr>
            <w:r>
              <w:t>635</w:t>
            </w:r>
          </w:p>
        </w:tc>
        <w:tc>
          <w:tcPr>
            <w:tcW w:type="dxa" w:w="833"/>
          </w:tcPr>
          <w:p>
            <w:pPr>
              <w:pStyle w:val="tablecopy"/>
              <w:spacing w:before="20" w:after="20"/>
              <w:jc w:val="center"/>
            </w:pPr>
            <w:r>
              <w:t>615</w:t>
            </w:r>
          </w:p>
        </w:tc>
        <w:tc>
          <w:tcPr>
            <w:tcW w:type="dxa" w:w="833"/>
          </w:tcPr>
          <w:p>
            <w:pPr>
              <w:pStyle w:val="tablecopy"/>
              <w:spacing w:before="20" w:after="20"/>
              <w:jc w:val="center"/>
            </w:pPr>
            <w:r>
              <w:t>615</w:t>
            </w:r>
          </w:p>
        </w:tc>
      </w:tr>
      <w:tr>
        <w:tc>
          <w:tcPr>
            <w:tcW w:type="dxa" w:w="1429"/>
          </w:tcPr>
          <w:p>
            <w:pPr>
              <w:pStyle w:val="tablecopy"/>
              <w:spacing w:before="20" w:after="20"/>
            </w:pPr>
            <w:r>
              <w:t>B ÷ A</w:t>
            </w:r>
          </w:p>
        </w:tc>
        <w:tc>
          <w:tcPr>
            <w:tcW w:type="dxa" w:w="833"/>
          </w:tcPr>
          <w:p>
            <w:pPr>
              <w:pStyle w:val="tablecopy"/>
              <w:spacing w:before="20" w:after="20"/>
              <w:jc w:val="center"/>
            </w:pPr>
            <w:r>
              <w:t>0.75</w:t>
            </w:r>
          </w:p>
        </w:tc>
        <w:tc>
          <w:tcPr>
            <w:tcW w:type="dxa" w:w="833"/>
          </w:tcPr>
          <w:p>
            <w:pPr>
              <w:pStyle w:val="tablecopy"/>
              <w:spacing w:before="20" w:after="20"/>
              <w:jc w:val="center"/>
            </w:pPr>
            <w:r>
              <w:t>1.37</w:t>
            </w:r>
          </w:p>
        </w:tc>
        <w:tc>
          <w:tcPr>
            <w:tcW w:type="dxa" w:w="833"/>
          </w:tcPr>
          <w:p>
            <w:pPr>
              <w:pStyle w:val="tablecopy"/>
              <w:spacing w:before="20" w:after="20"/>
              <w:jc w:val="center"/>
            </w:pPr>
            <w:r>
              <w:t>1.45</w:t>
            </w:r>
          </w:p>
        </w:tc>
        <w:tc>
          <w:tcPr>
            <w:tcW w:type="dxa" w:w="833"/>
          </w:tcPr>
          <w:p>
            <w:pPr>
              <w:pStyle w:val="tablecopy"/>
              <w:spacing w:before="20" w:after="20"/>
              <w:jc w:val="center"/>
            </w:pPr>
            <w:r>
              <w:t>1.45</w:t>
            </w:r>
          </w:p>
        </w:tc>
      </w:tr>
      <w:tr>
        <w:tc>
          <w:tcPr>
            <w:tcW w:type="dxa" w:w="1429"/>
          </w:tcPr>
          <w:p>
            <w:pPr>
              <w:pStyle w:val="tablecopy"/>
              <w:spacing w:before="20" w:after="20"/>
            </w:pPr>
            <w:r>
              <w:t>maxout ÷ ReLU</w:t>
            </w:r>
          </w:p>
        </w:tc>
        <w:tc>
          <w:tcPr>
            <w:tcW w:type="dxa" w:w="833"/>
          </w:tcPr>
          <w:p>
            <w:pPr>
              <w:pStyle w:val="tablecopy"/>
              <w:spacing w:before="20" w:after="20"/>
              <w:jc w:val="center"/>
            </w:pPr>
            <w:r>
              <w:t>1.01</w:t>
            </w:r>
          </w:p>
        </w:tc>
        <w:tc>
          <w:tcPr>
            <w:tcW w:type="dxa" w:w="833"/>
          </w:tcPr>
          <w:p>
            <w:pPr>
              <w:pStyle w:val="tablecopy"/>
              <w:spacing w:before="20" w:after="20"/>
              <w:jc w:val="center"/>
            </w:pPr>
            <w:r>
              <w:t>1.87</w:t>
            </w:r>
          </w:p>
        </w:tc>
        <w:tc>
          <w:tcPr>
            <w:tcW w:type="dxa" w:w="833"/>
          </w:tcPr>
          <w:p>
            <w:pPr>
              <w:pStyle w:val="tablecopy"/>
              <w:spacing w:before="20" w:after="20"/>
              <w:jc w:val="center"/>
            </w:pPr>
            <w:r>
              <w:t>1.93</w:t>
            </w:r>
          </w:p>
        </w:tc>
        <w:tc>
          <w:tcPr>
            <w:tcW w:type="dxa" w:w="833"/>
          </w:tcPr>
          <w:p>
            <w:pPr>
              <w:pStyle w:val="tablecopy"/>
              <w:spacing w:before="20" w:after="20"/>
              <w:jc w:val="center"/>
            </w:pPr>
            <w:r>
              <w:t>1.93</w:t>
            </w:r>
          </w:p>
        </w:tc>
      </w:tr>
    </w:tbl>
    <w:p>
      <w:pPr>
        <w:pStyle w:val="tablehead"/>
        <w:numPr>
          <w:ilvl w:val="0"/>
          <w:numId w:val="0"/>
        </w:numPr>
      </w:pPr>
      <w:r>
        <w:t>sparse 모드 추정 (보드에서 잰 층별 입력 활성값 밀도를 쓰고, 뱅크 불균형을 1.0–1.3으로 가정; 연산에 묶인 잡음 제거 층의 sparse 사이클은 보드에서 재지 않았다)</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1429"/>
        <w:gridCol w:w="1111"/>
        <w:gridCol w:w="1111"/>
        <w:gridCol w:w="1111"/>
      </w:tblGrid>
      <w:tr>
        <w:tc>
          <w:tcPr>
            <w:tcW w:type="dxa" w:w="1429"/>
          </w:tcPr>
          <w:p>
            <w:pPr>
              <w:pStyle w:val="tablecolhead"/>
              <w:spacing w:before="20" w:after="20"/>
            </w:pPr>
            <w:r>
              <w:t>망</w:t>
            </w:r>
          </w:p>
        </w:tc>
        <w:tc>
          <w:tcPr>
            <w:tcW w:type="dxa" w:w="1111"/>
          </w:tcPr>
          <w:p>
            <w:pPr>
              <w:pStyle w:val="tablecolhead"/>
              <w:spacing w:before="20" w:after="20"/>
              <w:jc w:val="center"/>
            </w:pPr>
            <w:r>
              <w:t>2값/사이클</w:t>
            </w:r>
          </w:p>
        </w:tc>
        <w:tc>
          <w:tcPr>
            <w:tcW w:type="dxa" w:w="1111"/>
          </w:tcPr>
          <w:p>
            <w:pPr>
              <w:pStyle w:val="tablecolhead"/>
              <w:spacing w:before="20" w:after="20"/>
              <w:jc w:val="center"/>
            </w:pPr>
            <w:r>
              <w:t>4값/사이클</w:t>
            </w:r>
          </w:p>
        </w:tc>
        <w:tc>
          <w:tcPr>
            <w:tcW w:type="dxa" w:w="1111"/>
          </w:tcPr>
          <w:p>
            <w:pPr>
              <w:pStyle w:val="tablecolhead"/>
              <w:spacing w:before="20" w:after="20"/>
              <w:jc w:val="center"/>
            </w:pPr>
            <w:r>
              <w:t>라인 버퍼</w:t>
            </w:r>
          </w:p>
        </w:tc>
      </w:tr>
      <w:tr>
        <w:tc>
          <w:tcPr>
            <w:tcW w:type="dxa" w:w="1429"/>
          </w:tcPr>
          <w:p>
            <w:pPr>
              <w:pStyle w:val="tablecopy"/>
              <w:spacing w:before="20" w:after="20"/>
            </w:pPr>
            <w:r>
              <w:t>A</w:t>
            </w:r>
          </w:p>
        </w:tc>
        <w:tc>
          <w:tcPr>
            <w:tcW w:type="dxa" w:w="1111"/>
          </w:tcPr>
          <w:p>
            <w:pPr>
              <w:pStyle w:val="tablecopy"/>
              <w:spacing w:before="20" w:after="20"/>
              <w:jc w:val="center"/>
            </w:pPr>
            <w:r>
              <w:t>907</w:t>
            </w:r>
          </w:p>
        </w:tc>
        <w:tc>
          <w:tcPr>
            <w:tcW w:type="dxa" w:w="1111"/>
          </w:tcPr>
          <w:p>
            <w:pPr>
              <w:pStyle w:val="tablecopy"/>
              <w:spacing w:before="20" w:after="20"/>
              <w:jc w:val="center"/>
            </w:pPr>
            <w:r>
              <w:t>495–603</w:t>
            </w:r>
          </w:p>
        </w:tc>
        <w:tc>
          <w:tcPr>
            <w:tcW w:type="dxa" w:w="1111"/>
          </w:tcPr>
          <w:p>
            <w:pPr>
              <w:pStyle w:val="tablecopy"/>
              <w:spacing w:before="20" w:after="20"/>
              <w:jc w:val="center"/>
            </w:pPr>
            <w:r>
              <w:t>458–582</w:t>
            </w:r>
          </w:p>
        </w:tc>
      </w:tr>
      <w:tr>
        <w:tc>
          <w:tcPr>
            <w:tcW w:type="dxa" w:w="1429"/>
          </w:tcPr>
          <w:p>
            <w:pPr>
              <w:pStyle w:val="tablecopy"/>
              <w:spacing w:before="20" w:after="20"/>
            </w:pPr>
            <w:r>
              <w:t>B</w:t>
            </w:r>
          </w:p>
        </w:tc>
        <w:tc>
          <w:tcPr>
            <w:tcW w:type="dxa" w:w="1111"/>
          </w:tcPr>
          <w:p>
            <w:pPr>
              <w:pStyle w:val="tablecopy"/>
              <w:spacing w:before="20" w:after="20"/>
              <w:jc w:val="center"/>
            </w:pPr>
            <w:r>
              <w:t>678–777</w:t>
            </w:r>
          </w:p>
        </w:tc>
        <w:tc>
          <w:tcPr>
            <w:tcW w:type="dxa" w:w="1111"/>
          </w:tcPr>
          <w:p>
            <w:pPr>
              <w:pStyle w:val="tablecopy"/>
              <w:spacing w:before="20" w:after="20"/>
              <w:jc w:val="center"/>
            </w:pPr>
            <w:r>
              <w:t>579–733</w:t>
            </w:r>
          </w:p>
        </w:tc>
        <w:tc>
          <w:tcPr>
            <w:tcW w:type="dxa" w:w="1111"/>
          </w:tcPr>
          <w:p>
            <w:pPr>
              <w:pStyle w:val="tablecopy"/>
              <w:spacing w:before="20" w:after="20"/>
              <w:jc w:val="center"/>
            </w:pPr>
            <w:r>
              <w:t>557–717</w:t>
            </w:r>
          </w:p>
        </w:tc>
      </w:tr>
      <w:tr>
        <w:tc>
          <w:tcPr>
            <w:tcW w:type="dxa" w:w="1429"/>
          </w:tcPr>
          <w:p>
            <w:pPr>
              <w:pStyle w:val="tablecopy"/>
              <w:spacing w:before="20" w:after="20"/>
            </w:pPr>
            <w:r>
              <w:t>B-32 ReLU</w:t>
            </w:r>
          </w:p>
        </w:tc>
        <w:tc>
          <w:tcPr>
            <w:tcW w:type="dxa" w:w="1111"/>
          </w:tcPr>
          <w:p>
            <w:pPr>
              <w:pStyle w:val="tablecopy"/>
              <w:spacing w:before="20" w:after="20"/>
              <w:jc w:val="center"/>
            </w:pPr>
            <w:r>
              <w:t>339</w:t>
            </w:r>
          </w:p>
        </w:tc>
        <w:tc>
          <w:tcPr>
            <w:tcW w:type="dxa" w:w="1111"/>
          </w:tcPr>
          <w:p>
            <w:pPr>
              <w:pStyle w:val="tablecopy"/>
              <w:spacing w:before="20" w:after="20"/>
              <w:jc w:val="center"/>
            </w:pPr>
            <w:r>
              <w:t>178–210</w:t>
            </w:r>
          </w:p>
        </w:tc>
        <w:tc>
          <w:tcPr>
            <w:tcW w:type="dxa" w:w="1111"/>
          </w:tcPr>
          <w:p>
            <w:pPr>
              <w:pStyle w:val="tablecopy"/>
              <w:spacing w:before="20" w:after="20"/>
              <w:jc w:val="center"/>
            </w:pPr>
            <w:r>
              <w:t>160–204</w:t>
            </w:r>
          </w:p>
        </w:tc>
      </w:tr>
      <w:tr>
        <w:tc>
          <w:tcPr>
            <w:tcW w:type="dxa" w:w="1429"/>
          </w:tcPr>
          <w:p>
            <w:pPr>
              <w:pStyle w:val="tablecopy"/>
              <w:spacing w:before="20" w:after="20"/>
            </w:pPr>
            <w:r>
              <w:t>B-32 maxout</w:t>
            </w:r>
          </w:p>
        </w:tc>
        <w:tc>
          <w:tcPr>
            <w:tcW w:type="dxa" w:w="1111"/>
          </w:tcPr>
          <w:p>
            <w:pPr>
              <w:pStyle w:val="tablecopy"/>
              <w:spacing w:before="20" w:after="20"/>
              <w:jc w:val="center"/>
            </w:pPr>
            <w:r>
              <w:t>481–606</w:t>
            </w:r>
          </w:p>
        </w:tc>
        <w:tc>
          <w:tcPr>
            <w:tcW w:type="dxa" w:w="1111"/>
          </w:tcPr>
          <w:p>
            <w:pPr>
              <w:pStyle w:val="tablecopy"/>
              <w:spacing w:before="20" w:after="20"/>
              <w:jc w:val="center"/>
            </w:pPr>
            <w:r>
              <w:t>461–586</w:t>
            </w:r>
          </w:p>
        </w:tc>
        <w:tc>
          <w:tcPr>
            <w:tcW w:type="dxa" w:w="1111"/>
          </w:tcPr>
          <w:p>
            <w:pPr>
              <w:pStyle w:val="tablecopy"/>
              <w:spacing w:before="20" w:after="20"/>
              <w:jc w:val="center"/>
            </w:pPr>
            <w:r>
              <w:t>456–586</w:t>
            </w:r>
          </w:p>
        </w:tc>
      </w:tr>
      <w:tr>
        <w:tc>
          <w:tcPr>
            <w:tcW w:type="dxa" w:w="1429"/>
          </w:tcPr>
          <w:p>
            <w:pPr>
              <w:pStyle w:val="tablecopy"/>
              <w:spacing w:before="20" w:after="20"/>
            </w:pPr>
            <w:r>
              <w:t>B ÷ A</w:t>
            </w:r>
          </w:p>
        </w:tc>
        <w:tc>
          <w:tcPr>
            <w:tcW w:type="dxa" w:w="1111"/>
          </w:tcPr>
          <w:p>
            <w:pPr>
              <w:pStyle w:val="tablecopy"/>
              <w:spacing w:before="20" w:after="20"/>
              <w:jc w:val="center"/>
            </w:pPr>
            <w:r>
              <w:t>0.75–0.86</w:t>
            </w:r>
          </w:p>
        </w:tc>
        <w:tc>
          <w:tcPr>
            <w:tcW w:type="dxa" w:w="1111"/>
          </w:tcPr>
          <w:p>
            <w:pPr>
              <w:pStyle w:val="tablecopy"/>
              <w:spacing w:before="20" w:after="20"/>
              <w:jc w:val="center"/>
            </w:pPr>
            <w:r>
              <w:t>1.17–1.21</w:t>
            </w:r>
          </w:p>
        </w:tc>
        <w:tc>
          <w:tcPr>
            <w:tcW w:type="dxa" w:w="1111"/>
          </w:tcPr>
          <w:p>
            <w:pPr>
              <w:pStyle w:val="tablecopy"/>
              <w:spacing w:before="20" w:after="20"/>
              <w:jc w:val="center"/>
            </w:pPr>
            <w:r>
              <w:t>1.22–1.23</w:t>
            </w:r>
          </w:p>
        </w:tc>
      </w:tr>
      <w:tr>
        <w:tc>
          <w:tcPr>
            <w:tcW w:type="dxa" w:w="1429"/>
          </w:tcPr>
          <w:p>
            <w:pPr>
              <w:pStyle w:val="tablecopy"/>
              <w:spacing w:before="20" w:after="20"/>
            </w:pPr>
            <w:r>
              <w:t>maxout ÷ ReLU</w:t>
            </w:r>
          </w:p>
        </w:tc>
        <w:tc>
          <w:tcPr>
            <w:tcW w:type="dxa" w:w="1111"/>
          </w:tcPr>
          <w:p>
            <w:pPr>
              <w:pStyle w:val="tablecopy"/>
              <w:spacing w:before="20" w:after="20"/>
              <w:jc w:val="center"/>
            </w:pPr>
            <w:r>
              <w:t>1.42–1.79</w:t>
            </w:r>
          </w:p>
        </w:tc>
        <w:tc>
          <w:tcPr>
            <w:tcW w:type="dxa" w:w="1111"/>
          </w:tcPr>
          <w:p>
            <w:pPr>
              <w:pStyle w:val="tablecopy"/>
              <w:spacing w:before="20" w:after="20"/>
              <w:jc w:val="center"/>
            </w:pPr>
            <w:r>
              <w:t>2.59–2.79</w:t>
            </w:r>
          </w:p>
        </w:tc>
        <w:tc>
          <w:tcPr>
            <w:tcW w:type="dxa" w:w="1111"/>
          </w:tcPr>
          <w:p>
            <w:pPr>
              <w:pStyle w:val="tablecopy"/>
              <w:spacing w:before="20" w:after="20"/>
              <w:jc w:val="center"/>
            </w:pPr>
            <w:r>
              <w:t>2.85–2.88</w:t>
            </w:r>
          </w:p>
        </w:tc>
      </w:tr>
    </w:tbl>
    <w:p>
      <w:pPr>
        <w:pStyle w:val="a3"/>
      </w:pPr>
      <w:r>
        <w:t>dense 상한으로는 2값/사이클만 돼도 두 선택의 사이클 이점이 모두 사라진다. sparse 모드로 추정하면 합치기는 2값부터 공짜가 아니고(maxout 망은 입력에 0이 적어 건너뛸 곱셈이 적다), B는 4값/사이클과 라인 버퍼에서 A보다 느려진다. 4값/사이클과 라인 버퍼는 둘 다 은닉층을 연산에 묶이게 만들어 거의 같은 값이 된다. 다만 B-32 maxout(615)은 어느 구조에서도 A보다 빠르다. 입력 포트(코어의 적재 경로와 래퍼)를 넓히는 하드웨어 개선과 망 선택은 어느 하나를 고르는 관계가 아니다. 포트를 넓히면 모든 망이 빨라지고(A 1,775 → 907), 그때 이기는 망이 달라진다는 것이 이 표의 요점이다. 이 표의 2·4값과 라인 버퍼 열을 보드에서 재는 것이 다음 작업이다.</w:t>
      </w:r>
    </w:p>
    <w:p>
      <w:pPr>
        <w:pStyle w:val="a3"/>
      </w:pPr>
      <w:r>
        <w:rPr>
          <w:b/>
        </w:rPr>
        <w:t>같은 사이클의 다른 설계: 2단계 U-Net.</w:t>
      </w:r>
      <w:r>
        <w:t xml:space="preserve"> 리샘플링이 공짜라는 성질로 깊이를 1/16 해상도 층에 두는 2단계 U-Net(보정 모델 1,303 사이클/px, 667k 파라미터)도 구현해 30 epoch 스크린했다. 검증 PSNR 27.89 dB로 같은 epoch의 B(28.14)에 0.25 dB 뒤졌으나, 갱신 횟수(100 대 160)와 배치·패치 크기가 달랐고 두 곡선 모두 상승 중이어서 결론은 아니며 보류했다. 공짜 집합 안의 선택도 결국 표에서 가려야 한다.</w:t>
      </w:r>
    </w:p>
    <w:p>
      <w:pPr>
        <w:spacing w:after="0" w:before="0"/>
        <w:sectPr>
          <w:type w:val="continuous"/>
          <w:pgSz w:w="11909" w:h="16834"/>
          <w:pgMar w:top="1080" w:right="734" w:bottom="2434" w:left="734"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400000" cy="2227500"/>
            <wp:docPr id="3" name="Picture 3"/>
            <wp:cNvGraphicFramePr>
              <a:graphicFrameLocks noChangeAspect="1"/>
            </wp:cNvGraphicFramePr>
            <a:graphic>
              <a:graphicData uri="http://schemas.openxmlformats.org/drawingml/2006/picture">
                <pic:pic>
                  <pic:nvPicPr>
                    <pic:cNvPr id="0" name="05_dn_d10_c64_us_es_qat_board.png"/>
                    <pic:cNvPicPr/>
                  </pic:nvPicPr>
                  <pic:blipFill>
                    <a:blip r:embed="rId10"/>
                    <a:stretch>
                      <a:fillRect/>
                    </a:stretch>
                  </pic:blipFill>
                  <pic:spPr>
                    <a:xfrm>
                      <a:off x="0" y="0"/>
                      <a:ext cx="5400000" cy="2227500"/>
                    </a:xfrm>
                    <a:prstGeom prst="rect"/>
                  </pic:spPr>
                </pic:pic>
              </a:graphicData>
            </a:graphic>
          </wp:inline>
        </w:drawing>
      </w:r>
    </w:p>
    <w:p>
      <w:pPr>
        <w:pStyle w:val="figurecaption"/>
        <w:numPr>
          <w:ilvl w:val="0"/>
          <w:numId w:val="0"/>
        </w:numPr>
      </w:pPr>
      <w:r>
        <w:t>그림 3. Set12 05.png. 왼쪽부터 원본, 잡음(20.23 dB), 가우시안 필터(26.23 dB), BM3D(29.40 dB), FPGA 보드 출력(B+QAT, 30.06 dB). 아래 줄은 확대 영역이다.</w:t>
      </w:r>
    </w:p>
    <w:p>
      <w:pPr>
        <w:spacing w:after="0" w:before="0"/>
        <w:sectPr>
          <w:type w:val="continuous"/>
          <w:pgSz w:w="11909" w:h="16834"/>
          <w:pgMar w:top="1080" w:right="734" w:bottom="2434" w:left="734" w:header="720" w:footer="720" w:gutter="0"/>
          <w:cols w:space="720"/>
          <w:docGrid w:linePitch="360"/>
        </w:sectPr>
      </w:pPr>
    </w:p>
    <w:p>
      <w:pPr>
        <w:pStyle w:val="1"/>
      </w:pPr>
      <w:r>
        <w:t>결론</w:t>
      </w:r>
    </w:p>
    <w:p>
      <w:pPr>
        <w:pStyle w:val="a3"/>
      </w:pPr>
      <w:r>
        <w:t>곱셈기 64개의 소형 정수 가속기에서, 실측과 맞는 사이클 모델이 병목이 곱셈기가 아니라 입력 포트임을 보였다. 그 포트 폭에서는 연산량으로 손해인 두 설계의 비용이 작았다. space-to-depth는 6.4배 큰 망을 25% 적은 사이클에 넣어 화질도 올렸고, 같은 32채널 망은 시드 평균으로 기준 망과 같은 화질을 2.66배 적은 사이클에 냈다. 은닉층 출력을 2배로 늘려 두 개씩 합치는 설계는 은닉층의 사이클을 바꾸지 않고 파라미터를 2배로 늘렸지만, 같은 폭의 ReLU 망보다 높은 화질(시드 평균 +0.15 / +0.10 dB)은 시드 세 개 중 하나에서 뒤집혀 확인되지 않았다. 양자화 인지 학습까지 더해, 같은 입력의 BM3D를 두 테스트셋에서 PSNR과 SSIM 모두 넘는 정수 모델(30.12 / 29.02 dB, SSIM 0.8545 / 0.8206)과 기준보다 2.63배 적은 사이클로 BM3D 수준인 모델(30.00 / 28.94 dB)을 얻었고, 두 모델 모두 보드에서 한 장을 끝까지 실행해 전 층 비트 일치를 확인했다. 코드, 정수 모델, 사진별 PSNR, 보드 기록은 저장소에 있다.</w:t>
      </w:r>
    </w:p>
    <w:p>
      <w:pPr>
        <w:pStyle w:val="a3"/>
      </w:pPr>
      <w:r>
        <w:rPr>
          <w:b/>
        </w:rPr>
        <w:t>어디까지 일반적인가.</w:t>
      </w:r>
      <w:r>
        <w:t xml:space="preserve"> 구체적인 규칙(출력 채널 2배가 공짜, 64채널 망 B가 A보다 빠름)은 PC가 만든 창을 사이클당 값 하나로 받는 이 입력 구조에서만 성립하며, 표 III처럼 입력이 2값/사이클이면 합치기가, 4값/사이클이나 라인 버퍼면 B의 이점도 사라진다(sparse 추정 기준; dense 상한으로는 2값에서 둘 다). 일반화되는 것은 두 가지다. 첫째는 판정 기준이다. 추가 사이클 없이 늘릴 수 있는 출력 채널은 대략 곱셈기 수를 사이클당 입력 값 수로 나눈 값(P·T/w)이다. 곱셈기 256개에 4값/사이클인 가속기라면 256/4 = 64이므로 32채널 망의 출력 2배는 다시 공짜가 되고, 이 코어를 2값/사이클로 넓히면 공짜가 아니다. 둘째는 방법이다. 병목을 재고, 그것을 맞히는 사이클 모델을 세우고, 공짜인 자원을 쓰는 망을 고른다. 병목에 맞춰 설계를 고르는 일은 다른 플랫폼에서도 나타난다. TPU·GPU에서는 space-to-depth와, 일부 단계에서는 연산량이 더 많은 일반 합성곱(fused MBConv)이 활용률을 올려 오히려 빨랐고 [13], [22], 메모리 대역에 묶인 LLM 추론에서는 노는 연산으로 토큰 여러 개를 한 번에 검증하는 추측 디코딩 [23]이 쓰이며, GPU에서는 잰 지연의 계단에 맞춰 채널 수를 고르고 [25], 시스톨릭 배열에서는 지연이 가장 짧은 망(그룹당 채널 수)이 배열 크기에 따라 달라진다 [26]. MCU에서는 노는 자원이 아니라 메모리 용량이라는 다른 병목에 맞춰 망과 실행 순서를 함께 설계한다 [24]. P·T/w 기준이 다른 입력 구조에서 실제로 맞는지는 아직 예측이며, 2·4값 포트와 라인 버퍼를 보드에서 재는 것이 다음 작업이다.</w:t>
      </w:r>
    </w:p>
    <w:p>
      <w:pPr>
        <w:pStyle w:val="a3"/>
      </w:pPr>
      <w:r>
        <w:rPr>
          <w:b/>
        </w:rPr>
        <w:t>한계.</w:t>
      </w:r>
      <w:r>
        <w:t xml:space="preserve"> 사이클은 공짜지만 에너지는 아니다. maxout 망은 dense 곱셈이 ReLU 망의 2배이고, sparse 모드에서 실제로 수행한 0이 아닌 곱셈은 3.0배였다(보드 기록, 05.png; 은닉층 입력의 0이 아닌 비율 0.64–0.84 대 0.37–0.55). 동적 전력이 늘 수 있지만 측정하지 않았다. 처리 시간은 코어 사이클만 세었고 end-to-end 시간은 JTAG 하네스 기준이다. 잡음은 σ=25 하나이고, 시드 세 개는 B-32 ReLU·maxout에만 있고(평균 결합은 두 개, 그중 시드 1은 float 값만; 나머지 망은 하나), 흑백 영상만 다뤘다. 규칙은 현재 입력 구조(포트 폭, host im2col)에 조건부이며, 다른 입력 구조와 dense 모드의 COUT &gt; 64는 보드에서 재지 않았다. 모든 PSNR은 클리핑한 7비트 입력 조건이다.</w:t>
      </w:r>
    </w:p>
    <w:p>
      <w:pPr>
        <w:pStyle w:val="5"/>
      </w:pPr>
      <w:r>
        <w:t>사사</w:t>
      </w:r>
    </w:p>
    <w:p>
      <w:pPr>
        <w:pStyle w:val="a3"/>
      </w:pPr>
      <w:r>
        <w:t>본 연구는 과학기술정보통신부 및 정보통신기획평가원의 "SW중심대학사업" 지원을 받아 수행되었습니다.</w:t>
      </w:r>
    </w:p>
    <w:p>
      <w:pPr>
        <w:pStyle w:val="5"/>
      </w:pPr>
      <w:r>
        <w:t>참고문헌</w:t>
      </w:r>
    </w:p>
    <w:p>
      <w:pPr>
        <w:pStyle w:val="references"/>
      </w:pPr>
      <w:r>
        <w:t xml:space="preserve">K. Dabov, A. Foi, V. Katkovnik, and K. Egiazarian, "Image denoising by sparse 3-D transform-domain collaborative filtering," </w:t>
      </w:r>
      <w:r>
        <w:rPr>
          <w:i/>
        </w:rPr>
        <w:t>IEEE Trans. Image Process.</w:t>
      </w:r>
      <w:r>
        <w:t>, vol. 16, no. 8, pp. 2080–2095, 2007.</w:t>
      </w:r>
    </w:p>
    <w:p>
      <w:pPr>
        <w:pStyle w:val="references"/>
      </w:pPr>
      <w:r>
        <w:t xml:space="preserve">K. Zhang, W. Zuo, Y. Chen, D. Meng, and L. Zhang, "Beyond a Gaussian denoiser: Residual learning of deep CNN for image denoising," </w:t>
      </w:r>
      <w:r>
        <w:rPr>
          <w:i/>
        </w:rPr>
        <w:t>IEEE Trans. Image Process.</w:t>
      </w:r>
      <w:r>
        <w:t>, vol. 26, no. 7, pp. 3142–3155, 2017.</w:t>
      </w:r>
    </w:p>
    <w:p>
      <w:pPr>
        <w:pStyle w:val="references"/>
      </w:pPr>
      <w:r>
        <w:t xml:space="preserve">K. Zhang, W. Zuo, and L. Zhang, "FFDNet: Toward a fast and flexible solution for CNN-based image denoising," </w:t>
      </w:r>
      <w:r>
        <w:rPr>
          <w:i/>
        </w:rPr>
        <w:t>IEEE Trans. Image Process.</w:t>
      </w:r>
      <w:r>
        <w:t>, vol. 27, no. 9, pp. 4608–4622, 2018.</w:t>
      </w:r>
    </w:p>
    <w:p>
      <w:pPr>
        <w:pStyle w:val="references"/>
      </w:pPr>
      <w:r>
        <w:t xml:space="preserve">I. J. Goodfellow, D. Warde-Farley, M. Mirza, A. Courville, and Y. Bengio, "Maxout networks," in </w:t>
      </w:r>
      <w:r>
        <w:rPr>
          <w:i/>
        </w:rPr>
        <w:t>Proc. ICML</w:t>
      </w:r>
      <w:r>
        <w:t>, 2013.</w:t>
      </w:r>
    </w:p>
    <w:p>
      <w:pPr>
        <w:pStyle w:val="references"/>
      </w:pPr>
      <w:r>
        <w:t xml:space="preserve">B. Jacob et al., "Quantization and training of neural networks for efficient integer-arithmetic-only inference," in </w:t>
      </w:r>
      <w:r>
        <w:rPr>
          <w:i/>
        </w:rPr>
        <w:t>Proc. CVPR</w:t>
      </w:r>
      <w:r>
        <w:t>, 2018.</w:t>
      </w:r>
    </w:p>
    <w:p>
      <w:pPr>
        <w:pStyle w:val="references"/>
      </w:pPr>
      <w:r>
        <w:t xml:space="preserve">S. K. Esser, J. L. McKinstry, D. Bablani, R. Appuswamy, and D. S. Modha, "Learned step size quantization," in </w:t>
      </w:r>
      <w:r>
        <w:rPr>
          <w:i/>
        </w:rPr>
        <w:t>Proc. ICLR</w:t>
      </w:r>
      <w:r>
        <w:t>, 2020.</w:t>
      </w:r>
    </w:p>
    <w:p>
      <w:pPr>
        <w:pStyle w:val="references"/>
      </w:pPr>
      <w:r>
        <w:t xml:space="preserve">D. Martin, C. Fowlkes, D. Tal, and J. Malik, "A database of human segmented natural images and its application to evaluating segmentation algorithms and measuring ecological statistics," in </w:t>
      </w:r>
      <w:r>
        <w:rPr>
          <w:i/>
        </w:rPr>
        <w:t>Proc. ICCV</w:t>
      </w:r>
      <w:r>
        <w:t>, 2001.</w:t>
      </w:r>
    </w:p>
    <w:p>
      <w:pPr>
        <w:pStyle w:val="references"/>
      </w:pPr>
      <w:r>
        <w:t xml:space="preserve">Y. Ma, Y. Cao, S. Vrudhula, and J.-s. Seo, "Optimizing loop operation and dataflow in FPGA acceleration of deep convolutional neural networks," in </w:t>
      </w:r>
      <w:r>
        <w:rPr>
          <w:i/>
        </w:rPr>
        <w:t>Proc. FPGA</w:t>
      </w:r>
      <w:r>
        <w:t>, 2017.</w:t>
      </w:r>
    </w:p>
    <w:p>
      <w:pPr>
        <w:pStyle w:val="references"/>
      </w:pPr>
      <w:r>
        <w:t xml:space="preserve">N. Ma, X. Zhang, H.-T. Zheng, and J. Sun, "ShuffleNet V2: Practical guidelines for efficient CNN architecture design," in </w:t>
      </w:r>
      <w:r>
        <w:rPr>
          <w:i/>
        </w:rPr>
        <w:t>Proc. ECCV</w:t>
      </w:r>
      <w:r>
        <w:t>, 2018.</w:t>
      </w:r>
    </w:p>
    <w:p>
      <w:pPr>
        <w:pStyle w:val="references"/>
      </w:pPr>
      <w:r>
        <w:t xml:space="preserve">X. Wu, R. He, Z. Sun, and T. Tan, "A light CNN for deep face representation with noisy labels," </w:t>
      </w:r>
      <w:r>
        <w:rPr>
          <w:i/>
        </w:rPr>
        <w:t>IEEE Trans. Inf. Forensics Security</w:t>
      </w:r>
      <w:r>
        <w:t>, vol. 13, no. 11, pp. 2884–2896, 2018.</w:t>
      </w:r>
    </w:p>
    <w:p>
      <w:pPr>
        <w:pStyle w:val="references"/>
      </w:pPr>
      <w:r>
        <w:rPr>
          <w:i/>
        </w:rPr>
        <w:t>IEEE Standard for Universal Verification Methodology Language Reference Manual</w:t>
      </w:r>
      <w:r>
        <w:t>, IEEE Std 1800.2-2020.</w:t>
      </w:r>
    </w:p>
    <w:p>
      <w:pPr>
        <w:pStyle w:val="references"/>
      </w:pPr>
      <w:r>
        <w:t xml:space="preserve">S. Williams, A. Waterman, and D. Patterson, "Roofline: An insightful visual performance model for multicore architectures," </w:t>
      </w:r>
      <w:r>
        <w:rPr>
          <w:i/>
        </w:rPr>
        <w:t>Commun. ACM</w:t>
      </w:r>
      <w:r>
        <w:t>, vol. 52, no. 4, pp. 65–76, 2009.</w:t>
      </w:r>
    </w:p>
    <w:p>
      <w:pPr>
        <w:pStyle w:val="references"/>
      </w:pPr>
      <w:r>
        <w:t xml:space="preserve">S. Li, M. Tan, R. Pang, A. Li, L. Cheng, Q. V. Le, and N. P. Jouppi, "Searching for fast model families on datacenter accelerators," in </w:t>
      </w:r>
      <w:r>
        <w:rPr>
          <w:i/>
        </w:rPr>
        <w:t>Proc. CVPR</w:t>
      </w:r>
      <w:r>
        <w:t>, 2021, pp. 8085–8095.</w:t>
      </w:r>
    </w:p>
    <w:p>
      <w:pPr>
        <w:pStyle w:val="references"/>
      </w:pPr>
      <w:r>
        <w:t xml:space="preserve">Z. Du, J. Liu, J. Tang, and G. Wu, "Anchor-based plain net for mobile image super-resolution," in </w:t>
      </w:r>
      <w:r>
        <w:rPr>
          <w:i/>
        </w:rPr>
        <w:t>Proc. CVPR Workshops</w:t>
      </w:r>
      <w:r>
        <w:t>, 2021, pp. 2494–2502.</w:t>
      </w:r>
    </w:p>
    <w:p>
      <w:pPr>
        <w:pStyle w:val="references"/>
      </w:pPr>
      <w:r>
        <w:t xml:space="preserve">C.-T. Huang, Y.-C. Ding, H.-C. Wang, C.-W. Weng, K.-P. Lin, L.-W. Wang, and L.-D. Chen, "eCNN: A block-based and highly-parallel CNN accelerator for edge inference," in </w:t>
      </w:r>
      <w:r>
        <w:rPr>
          <w:i/>
        </w:rPr>
        <w:t>Proc. MICRO</w:t>
      </w:r>
      <w:r>
        <w:t>, 2019, pp. 182–195.</w:t>
      </w:r>
    </w:p>
    <w:p>
      <w:pPr>
        <w:pStyle w:val="references"/>
      </w:pPr>
      <w:r>
        <w:t xml:space="preserve">J.-S. Choi and M. Kim, "Single image super-resolution using lightweight CNN with maxout units," in </w:t>
      </w:r>
      <w:r>
        <w:rPr>
          <w:i/>
        </w:rPr>
        <w:t>Proc. ACCV</w:t>
      </w:r>
      <w:r>
        <w:t>, 2018 (LNCS, Springer, 2019), pp. 471–487.</w:t>
      </w:r>
    </w:p>
    <w:p>
      <w:pPr>
        <w:pStyle w:val="references"/>
      </w:pPr>
      <w:r>
        <w:t xml:space="preserve">S. Gu, W. Li, L. Van Gool, and R. Timofte, "Fast image restoration with multi-bin trainable linear units," in </w:t>
      </w:r>
      <w:r>
        <w:rPr>
          <w:i/>
        </w:rPr>
        <w:t>Proc. ICCV</w:t>
      </w:r>
      <w:r>
        <w:t>, 2019, pp. 4190–4199.</w:t>
      </w:r>
    </w:p>
    <w:p>
      <w:pPr>
        <w:pStyle w:val="references"/>
      </w:pPr>
      <w:r>
        <w:t xml:space="preserve">W. Kang et al., "Improvement and hardware design of image denoising algorithm based on deep learning," in </w:t>
      </w:r>
      <w:r>
        <w:rPr>
          <w:i/>
        </w:rPr>
        <w:t>Proc. Int. Conf. Integrated Circuits and Microsystems (ICICM)</w:t>
      </w:r>
      <w:r>
        <w:t>, 2024, pp. 671–676.</w:t>
      </w:r>
    </w:p>
    <w:p>
      <w:pPr>
        <w:pStyle w:val="references"/>
      </w:pPr>
      <w:r>
        <w:t xml:space="preserve">L. Tu, Y. Gu, X. Huang, and X. Wu, "Lightweight design of image denoising based on TNet mini," in </w:t>
      </w:r>
      <w:r>
        <w:rPr>
          <w:i/>
        </w:rPr>
        <w:t>Proc. Int. Symp. Artificial Intelligence and Intelligent Manufacturing (AIIM)</w:t>
      </w:r>
      <w:r>
        <w:t>, 2024, pp. 646–649.</w:t>
      </w:r>
    </w:p>
    <w:p>
      <w:pPr>
        <w:pStyle w:val="references"/>
      </w:pPr>
      <w:r>
        <w:t xml:space="preserve">C. Li, C. Bled, R. Fernandez, and S. Shanker, "ReTiDe: Real-time denoising for energy-efficient motion picture processing with FPGAs," in </w:t>
      </w:r>
      <w:r>
        <w:rPr>
          <w:i/>
        </w:rPr>
        <w:t>Proc. ACM SIGGRAPH European Conf. Visual Media Production (CVMP)</w:t>
      </w:r>
      <w:r>
        <w:t>, 2025.</w:t>
      </w:r>
    </w:p>
    <w:p>
      <w:pPr>
        <w:pStyle w:val="references"/>
      </w:pPr>
      <w:r>
        <w:t xml:space="preserve">D. Wang, K. Xu, and D. Jiang, "PipeCNN: An OpenCL-based open-source FPGA accelerator for convolution neural networks," in </w:t>
      </w:r>
      <w:r>
        <w:rPr>
          <w:i/>
        </w:rPr>
        <w:t>Proc. Int. Conf. Field-Programmable Technology (FPT)</w:t>
      </w:r>
      <w:r>
        <w:t>, 2017.</w:t>
      </w:r>
    </w:p>
    <w:p>
      <w:pPr>
        <w:pStyle w:val="references"/>
      </w:pPr>
      <w:r>
        <w:t xml:space="preserve">M. Tan and Q. V. Le, "EfficientNetV2: Smaller models and faster training," in </w:t>
      </w:r>
      <w:r>
        <w:rPr>
          <w:i/>
        </w:rPr>
        <w:t>Proc. ICML</w:t>
      </w:r>
      <w:r>
        <w:t>, 2021, pp. 10096–10106.</w:t>
      </w:r>
    </w:p>
    <w:p>
      <w:pPr>
        <w:pStyle w:val="references"/>
      </w:pPr>
      <w:r>
        <w:t xml:space="preserve">Y. Leviathan, M. Kalman, and Y. Matias, "Fast inference from transformers via speculative decoding," in </w:t>
      </w:r>
      <w:r>
        <w:rPr>
          <w:i/>
        </w:rPr>
        <w:t>Proc. ICML</w:t>
      </w:r>
      <w:r>
        <w:t>, 2023, pp. 19274–19286.</w:t>
      </w:r>
    </w:p>
    <w:p>
      <w:pPr>
        <w:pStyle w:val="references"/>
      </w:pPr>
      <w:r>
        <w:t xml:space="preserve">J. Lin, W.-M. Chen, Y. Lin, J. Cohn, C. Gan, and S. Han, "MCUNet: Tiny deep learning on IoT devices," in </w:t>
      </w:r>
      <w:r>
        <w:rPr>
          <w:i/>
        </w:rPr>
        <w:t>Proc. NeurIPS</w:t>
      </w:r>
      <w:r>
        <w:t>, 2020, pp. 11711–11722.</w:t>
      </w:r>
    </w:p>
    <w:p>
      <w:pPr>
        <w:pStyle w:val="references"/>
      </w:pPr>
      <w:r>
        <w:t xml:space="preserve">M. Shen, H. Yin, P. Molchanov, L. Mao, J. Liu, and J. M. Alvarez, "Structural pruning via latency-saliency knapsack," in </w:t>
      </w:r>
      <w:r>
        <w:rPr>
          <w:i/>
        </w:rPr>
        <w:t>Proc. NeurIPS</w:t>
      </w:r>
      <w:r>
        <w:t>, 2022 (HALP).</w:t>
      </w:r>
    </w:p>
    <w:p>
      <w:pPr>
        <w:pStyle w:val="references"/>
      </w:pPr>
      <w:r>
        <w:t xml:space="preserve">N. K. Jha, S. Ravishankar, S. Mittal, A. Kaushik, D. Mandal, and M. Chandra, "DRACO: Co-optimizing hardware utilization, and performance of DNNs on systolic accelerator," in </w:t>
      </w:r>
      <w:r>
        <w:rPr>
          <w:i/>
        </w:rPr>
        <w:t>Proc. ISVLSI</w:t>
      </w:r>
      <w:r>
        <w:t>, 2020.</w:t>
      </w:r>
    </w:p>
    <w:p>
      <w:pPr>
        <w:pStyle w:val="references"/>
      </w:pPr>
      <w:r>
        <w:t xml:space="preserve">Z. Wang, A. C. Bovik, H. R. Sheikh, and E. P. Simoncelli, "Image quality assessment: From error visibility to structural similarity," </w:t>
      </w:r>
      <w:r>
        <w:rPr>
          <w:i/>
        </w:rPr>
        <w:t>IEEE Trans. Image Process.</w:t>
      </w:r>
      <w:r>
        <w:t>, vol. 13, no. 4, pp. 600–612, 2004.</w:t>
      </w:r>
    </w:p>
    <w:p>
      <w:pPr>
        <w:pStyle w:val="references"/>
        <w:sectPr>
          <w:type w:val="continuous"/>
          <w:pgSz w:w="11909" w:h="16834"/>
          <w:pgMar w:top="1080" w:right="734" w:bottom="2434" w:left="734" w:header="720" w:footer="720" w:gutter="0"/>
          <w:cols w:space="360" w:num="2"/>
          <w:docGrid w:linePitch="360"/>
          <w:rtlGutter/>
        </w:sectPr>
      </w:pPr>
    </w:p>
    <w:p/>
    <w:sectPr>
      <w:type w:val="continuous"/>
      <w:pgSz w:w="11909" w:h="16834"/>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MS Mincho">
    <w:panose1 w:val="02020609040205080304"/>
    <w:family w:val="MS Mincho"/>
    <w:charset w:val="00"/>
    <w:notTrueType w:val="false"/>
    <w:sig w:usb0="7FFFFFFF" w:usb1="6AC7FDFB" w:usb2="08000012" w:usb3="00000001" w:csb0="4002009F" w:csb1="7FFFFFFF"/>
  </w:font>
  <w:font w:name="Times New Roman">
    <w:panose1 w:val="02020603050405020304"/>
    <w:family w:val="Times New Roman"/>
    <w:charset w:val="00"/>
    <w:notTrueType w:val="false"/>
    <w:sig w:usb0="7FFFFFFF" w:usb1="7FFFFFFF" w:usb2="00000009" w:usb3="00000001" w:csb0="400001FF" w:csb1="7FFFFFFF"/>
  </w:font>
  <w:font w:name="SimSun">
    <w:panose1 w:val="02010600030101010101"/>
    <w:family w:val="SimSun"/>
    <w:charset w:val="00"/>
    <w:notTrueType w:val="false"/>
    <w:sig w:usb0="00000203" w:usb1="288F0000" w:usb2="00000006" w:usb3="00000001" w:csb0="00040001" w:csb1="00000001"/>
  </w:font>
  <w:font w:name="맑은 고딕">
    <w:panose1 w:val="020B0503020000020004"/>
    <w:family w:val="Malgun Gothic"/>
    <w:charset w:val="00"/>
    <w:notTrueType w:val="false"/>
    <w:sig w:usb0="7FFFFFFF" w:usb1="29D77CFB" w:usb2="00000012" w:usb3="00000001" w:csb0="00080001" w:csb1="00000001"/>
  </w:font>
  <w:font w:name="MS UI Gothic">
    <w:panose1 w:val="020B0600070205080204"/>
    <w:family w:val="MS UI Gothic"/>
    <w:charset w:val="00"/>
    <w:notTrueType w:val="false"/>
    <w:sig w:usb0="7FFFFFFF" w:usb1="6AC7FDFB" w:usb2="08000012" w:usb3="00000001" w:csb0="4002009F" w:csb1="7FFFFFFF"/>
  </w:font>
  <w:font w:name="Symbol">
    <w:panose1 w:val="05050102010706020507"/>
    <w:family w:val="Symbol"/>
    <w:charset w:val="00"/>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family w:val="Wingdings"/>
    <w:charset w:val="00"/>
    <w:notTrueType w:val="false"/>
    <w:sig w:usb0="00000001" w:usb1="00000001" w:usb2="00000001" w:usb3="00000001" w:csb0="7FFFFFFF" w:csb1="00000001"/>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7"/>
      <w:rPr>
        <w:lang w:eastAsia="ja-JP"/>
        <w:rFonts w:eastAsia="MS Mincho"/>
      </w:rPr>
    </w:pPr>
    <w:r>
      <w:rPr>
        <w:rFonts w:hint="eastAsia"/>
        <w:bCs/>
        <w:sz w:val="16"/>
      </w:rPr>
      <w:t>20</w:t>
    </w:r>
    <w:r>
      <w:rPr>
        <w:bCs/>
        <w:sz w:val="16"/>
      </w:rPr>
      <w:t>2</w:t>
    </w:r>
    <w:r>
      <w:rPr>
        <w:lang w:eastAsia="ko-KR"/>
        <w:bCs/>
        <w:sz w:val="16"/>
        <w:rtl w:val="off"/>
      </w:rPr>
      <w:t>6</w:t>
    </w:r>
    <w:r>
      <w:rPr>
        <w:rFonts w:hint="eastAsia"/>
        <w:bCs/>
        <w:sz w:val="16"/>
      </w:rPr>
      <w:t xml:space="preserve"> </w:t>
    </w:r>
    <w:r>
      <w:rPr>
        <w:bCs/>
        <w:sz w:val="16"/>
      </w:rPr>
      <w:t>International Workshop on Emerging ICT</w:t>
    </w:r>
  </w:p>
  <w:p>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189603e"/>
    <w:multiLevelType w:val="multilevel"/>
    <w:tmpl w:val="4189603e"/>
    <w:lvl w:ilvl="0">
      <w:start w:val="1"/>
      <w:numFmt w:val="upperRoman"/>
      <w:lvlText w:val="%1."/>
      <w:lvlJc w:val="center"/>
      <w:pStyle w:val="1"/>
      <w:pPr>
        <w:ind w:firstLine="216"/>
        <w:tabs>
          <w:tab w:val="left" w:pos="576"/>
        </w:tabs>
      </w:pPr>
      <w:rPr>
        <w:caps w:val="off"/>
        <w:rFonts w:ascii="Times New Roman" w:hAnsi="Times New Roman" w:cs="Times New Roman" w:hint="default"/>
        <w:strike w:val="off"/>
        <w:color w:val="auto"/>
        <w:sz w:val="20"/>
        <w:szCs w:val="20"/>
        <w:dstrike w:val="off"/>
        <w:vanish w:val="0"/>
        <w:vertAlign w:val="baseline"/>
        <w14:shadow w14:blurRad="0" w14:dist="0" w14:dir="0" w14:algn="none" w14:kx="0" w14:ky="0" w14:sx="0" w14:sy="0">
          <w14:srgbClr w14:val="000000"/>
        </w14:shadow>
      </w:rPr>
    </w:lvl>
    <w:lvl w:ilvl="1">
      <w:start w:val="1"/>
      <w:numFmt w:val="upperLetter"/>
      <w:lvlText w:val="%2."/>
      <w:lvlJc w:val="left"/>
      <w:pStyle w:val="2"/>
      <w:pPr>
        <w:ind w:left="288" w:hanging="288"/>
        <w:tabs>
          <w:tab w:val="left" w:pos="36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2">
      <w:start w:val="1"/>
      <w:lvlText w:val="%3)"/>
      <w:lvlJc w:val="left"/>
      <w:pStyle w:val="3"/>
      <w:pPr>
        <w:ind w:firstLine="180"/>
        <w:tabs>
          <w:tab w:val="left" w:pos="54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3">
      <w:start w:val="1"/>
      <w:numFmt w:val="lowerLetter"/>
      <w:lvlText w:val="%4)"/>
      <w:lvlJc w:val="left"/>
      <w:pStyle w:val="4"/>
      <w:pPr>
        <w:ind w:firstLine="360"/>
        <w:tabs>
          <w:tab w:val="left" w:pos="720"/>
        </w:tabs>
      </w:pPr>
      <w:rPr>
        <w:rFonts w:ascii="Times New Roman" w:hAnsi="Times New Roman" w:cs="Times New Roman" w:hint="default"/>
        <w:b w:val="0"/>
        <w:bCs w:val="0"/>
        <w:i/>
        <w:iCs/>
        <w:sz w:val="20"/>
        <w:szCs w:val="20"/>
      </w:rPr>
    </w:lvl>
    <w:lvl w:ilvl="4">
      <w:start w:val="1"/>
      <w:numFmt w:val="none"/>
      <w:lvlJc w:val="left"/>
      <w:lvlRestart w:val="0"/>
      <w:pPr>
        <w:ind w:left="2880"/>
        <w:tabs>
          <w:tab w:val="left" w:pos="3240"/>
        </w:tabs>
      </w:pPr>
      <w:rPr>
        <w:rFonts w:cs="Times New Roman" w:hint="default"/>
      </w:rPr>
    </w:lvl>
    <w:lvl w:ilvl="5">
      <w:start w:val="1"/>
      <w:numFmt w:val="lowerLetter"/>
      <w:lvlText w:val="(%6)"/>
      <w:lvlJc w:val="left"/>
      <w:pPr>
        <w:ind w:left="3600"/>
        <w:tabs>
          <w:tab w:val="left" w:pos="3960"/>
        </w:tabs>
      </w:pPr>
      <w:rPr>
        <w:rFonts w:cs="Times New Roman" w:hint="default"/>
      </w:rPr>
    </w:lvl>
    <w:lvl w:ilvl="6">
      <w:start w:val="1"/>
      <w:numFmt w:val="lowerRoman"/>
      <w:lvlText w:val="(%7)"/>
      <w:lvlJc w:val="left"/>
      <w:pPr>
        <w:ind w:left="4320"/>
        <w:tabs>
          <w:tab w:val="left" w:pos="4680"/>
        </w:tabs>
      </w:pPr>
      <w:rPr>
        <w:rFonts w:cs="Times New Roman" w:hint="default"/>
      </w:rPr>
    </w:lvl>
    <w:lvl w:ilvl="7">
      <w:start w:val="1"/>
      <w:numFmt w:val="lowerLetter"/>
      <w:lvlText w:val="(%8)"/>
      <w:lvlJc w:val="left"/>
      <w:pPr>
        <w:ind w:left="5040"/>
        <w:tabs>
          <w:tab w:val="left" w:pos="5400"/>
        </w:tabs>
      </w:pPr>
      <w:rPr>
        <w:rFonts w:cs="Times New Roman" w:hint="default"/>
      </w:rPr>
    </w:lvl>
    <w:lvl w:ilvl="8">
      <w:start w:val="1"/>
      <w:numFmt w:val="lowerRoman"/>
      <w:lvlText w:val="(%9)"/>
      <w:lvlJc w:val="left"/>
      <w:pPr>
        <w:ind w:left="5760"/>
        <w:tabs>
          <w:tab w:val="left" w:pos="6120"/>
        </w:tabs>
      </w:pPr>
      <w:rPr>
        <w:rFonts w:cs="Times New Roman" w:hint="default"/>
      </w:rPr>
    </w:lvl>
  </w:abstractNum>
  <w:abstractNum w:abstractNumId="1">
    <w:nsid w:val="37660336"/>
    <w:multiLevelType w:val="multilevel"/>
    <w:tmpl w:val="37660336"/>
    <w:lvl w:ilvl="0">
      <w:start w:val="1"/>
      <w:numFmt w:val="bullet"/>
      <w:lvlText w:val=""/>
      <w:lvlJc w:val="left"/>
      <w:pStyle w:val="bulletlist"/>
      <w:pPr>
        <w:ind w:left="648" w:hanging="360"/>
        <w:tabs>
          <w:tab w:val="left" w:pos="648"/>
        </w:tabs>
      </w:pPr>
      <w:rPr>
        <w:rFonts w:ascii="Symbol" w:hAnsi="Symbol" w:hint="default"/>
      </w:rPr>
    </w:lvl>
    <w:lvl w:ilvl="1">
      <w:start w:val="1"/>
      <w:numFmt w:val="bullet"/>
      <w:lvlText w:val="o"/>
      <w:lvlJc w:val="left"/>
      <w:pPr>
        <w:ind w:left="1440" w:hanging="360"/>
        <w:tabs>
          <w:tab w:val="left" w:pos="1440"/>
        </w:tabs>
      </w:pPr>
      <w:rPr>
        <w:rFonts w:ascii="Courier New" w:hAnsi="Courier New" w:hint="default"/>
      </w:rPr>
    </w:lvl>
    <w:lvl w:ilvl="2">
      <w:start w:val="1"/>
      <w:numFmt w:val="bullet"/>
      <w:lvlText w:val=""/>
      <w:lvlJc w:val="left"/>
      <w:pPr>
        <w:ind w:left="2160" w:hanging="360"/>
        <w:tabs>
          <w:tab w:val="left" w:pos="2160"/>
        </w:tabs>
      </w:pPr>
      <w:rPr>
        <w:rFonts w:ascii="Wingdings" w:hAnsi="Wingdings" w:hint="default"/>
      </w:rPr>
    </w:lvl>
    <w:lvl w:ilvl="3">
      <w:start w:val="1"/>
      <w:numFmt w:val="bullet"/>
      <w:lvlText w:val=""/>
      <w:lvlJc w:val="left"/>
      <w:pPr>
        <w:ind w:left="2880" w:hanging="360"/>
        <w:tabs>
          <w:tab w:val="left" w:pos="2880"/>
        </w:tabs>
      </w:pPr>
      <w:rPr>
        <w:rFonts w:ascii="Symbol" w:hAnsi="Symbol" w:hint="default"/>
      </w:rPr>
    </w:lvl>
    <w:lvl w:ilvl="4">
      <w:start w:val="1"/>
      <w:numFmt w:val="bullet"/>
      <w:lvlText w:val="o"/>
      <w:lvlJc w:val="left"/>
      <w:pPr>
        <w:ind w:left="3600" w:hanging="360"/>
        <w:tabs>
          <w:tab w:val="left" w:pos="3600"/>
        </w:tabs>
      </w:pPr>
      <w:rPr>
        <w:rFonts w:ascii="Courier New" w:hAnsi="Courier New" w:hint="default"/>
      </w:rPr>
    </w:lvl>
    <w:lvl w:ilvl="5">
      <w:start w:val="1"/>
      <w:numFmt w:val="bullet"/>
      <w:lvlText w:val=""/>
      <w:lvlJc w:val="left"/>
      <w:pPr>
        <w:ind w:left="4320" w:hanging="360"/>
        <w:tabs>
          <w:tab w:val="left" w:pos="4320"/>
        </w:tabs>
      </w:pPr>
      <w:rPr>
        <w:rFonts w:ascii="Wingdings" w:hAnsi="Wingdings" w:hint="default"/>
      </w:rPr>
    </w:lvl>
    <w:lvl w:ilvl="6">
      <w:start w:val="1"/>
      <w:numFmt w:val="bullet"/>
      <w:lvlText w:val=""/>
      <w:lvlJc w:val="left"/>
      <w:pPr>
        <w:ind w:left="5040" w:hanging="360"/>
        <w:tabs>
          <w:tab w:val="left" w:pos="5040"/>
        </w:tabs>
      </w:pPr>
      <w:rPr>
        <w:rFonts w:ascii="Symbol" w:hAnsi="Symbol" w:hint="default"/>
      </w:rPr>
    </w:lvl>
    <w:lvl w:ilvl="7">
      <w:start w:val="1"/>
      <w:numFmt w:val="bullet"/>
      <w:lvlText w:val="o"/>
      <w:lvlJc w:val="left"/>
      <w:pPr>
        <w:ind w:left="5760" w:hanging="360"/>
        <w:tabs>
          <w:tab w:val="left" w:pos="5760"/>
        </w:tabs>
      </w:pPr>
      <w:rPr>
        <w:rFonts w:ascii="Courier New" w:hAnsi="Courier New" w:hint="default"/>
      </w:rPr>
    </w:lvl>
    <w:lvl w:ilvl="8">
      <w:start w:val="1"/>
      <w:numFmt w:val="bullet"/>
      <w:lvlText w:val=""/>
      <w:lvlJc w:val="left"/>
      <w:pPr>
        <w:ind w:left="6480" w:hanging="360"/>
        <w:tabs>
          <w:tab w:val="left" w:pos="6480"/>
        </w:tabs>
      </w:pPr>
      <w:rPr>
        <w:rFonts w:ascii="Wingdings" w:hAnsi="Wingdings" w:hint="default"/>
      </w:rPr>
    </w:lvl>
  </w:abstractNum>
  <w:abstractNum w:abstractNumId="2">
    <w:nsid w:val="6cd32da8"/>
    <w:multiLevelType w:val="singleLevel"/>
    <w:tmpl w:val="6cd32da8"/>
    <w:lvl w:ilvl="0">
      <w:start w:val="1"/>
      <w:numFmt w:val="upperRoman"/>
      <w:lvlText w:val="TABLE %1. "/>
      <w:lvlJc w:val="left"/>
      <w:pStyle w:val="tablehead"/>
      <w:pPr>
        <w:tabs>
          <w:tab w:val="left" w:pos="1080"/>
        </w:tabs>
      </w:pPr>
      <w:rPr>
        <w:rFonts w:ascii="Times New Roman" w:hAnsi="Times New Roman" w:cs="Times New Roman" w:hint="default"/>
        <w:b w:val="0"/>
        <w:bCs w:val="0"/>
        <w:i w:val="0"/>
        <w:iCs w:val="0"/>
        <w:sz w:val="16"/>
        <w:szCs w:val="16"/>
      </w:rPr>
    </w:lvl>
  </w:abstractNum>
  <w:abstractNum w:abstractNumId="3">
    <w:nsid w:val="6c402c58"/>
    <w:multiLevelType w:val="multilevel"/>
    <w:tmpl w:val="6c402c58"/>
    <w:lvl w:ilvl="0">
      <w:start w:val="1"/>
      <w:lvlText w:val="Figure %1. "/>
      <w:lvlJc w:val="left"/>
      <w:pStyle w:val="figurecaption"/>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abstractNum w:abstractNumId="4">
    <w:nsid w:val="52ca544a"/>
    <w:multiLevelType w:val="singleLevel"/>
    <w:tmpl w:val="52ca544a"/>
    <w:lvl w:ilvl="0">
      <w:start w:val="1"/>
      <w:lvlText w:val="[%1]"/>
      <w:lvlJc w:val="left"/>
      <w:pStyle w:val="references"/>
      <w:pPr>
        <w:ind w:left="360" w:hanging="360"/>
        <w:tabs>
          <w:tab w:val="left" w:pos="360"/>
        </w:tabs>
      </w:pPr>
      <w:rPr>
        <w:rFonts w:ascii="Times New Roman" w:hAnsi="Times New Roman" w:cs="Times New Roman" w:hint="default"/>
        <w:b w:val="0"/>
        <w:bCs w:val="0"/>
        <w:i w:val="0"/>
        <w:iCs w:val="0"/>
        <w:sz w:val="16"/>
        <w:szCs w:val="16"/>
      </w:rPr>
    </w:lvl>
  </w:abstractNum>
  <w:abstractNum w:abstractNumId="5">
    <w:nsid w:val="26fe1fcf"/>
    <w:multiLevelType w:val="multilevel"/>
    <w:tmpl w:val="26fe1fcf"/>
    <w:lvl w:ilvl="0">
      <w:start w:val="1"/>
      <w:lvlText w:val="%1 "/>
      <w:lvlJc w:val="left"/>
      <w:pStyle w:val="footnote"/>
      <w:pPr>
        <w:ind w:firstLine="288"/>
        <w:tabs>
          <w:tab w:val="left" w:pos="648"/>
        </w:tabs>
      </w:pPr>
      <w:rPr>
        <w:caps w:val="off"/>
        <w:rFonts w:ascii="Times New Roman" w:hAnsi="Times New Roman" w:cs="Times New Roman" w:hint="default"/>
        <w:b w:val="0"/>
        <w:bCs w:val="0"/>
        <w:i w:val="0"/>
        <w:iCs w:val="0"/>
        <w:strike w:val="off"/>
        <w:color w:val="000000"/>
        <w:sz w:val="16"/>
        <w:szCs w:val="16"/>
        <w:dstrike w:val="off"/>
        <w:vanish w:val="0"/>
        <w:vertAlign w:val="superscript"/>
        <w14:shadow w14:blurRad="0" w14:dist="0" w14:dir="0" w14:algn="none" w14:kx="0" w14:ky="0" w14:sx="0" w14:sy="0">
          <w14:srgbClr w14:val="000000"/>
        </w14:shadow>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doNotHyphenateCap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1"/>
  <w:characterSpacingControl w:val="doNotCompress"/>
  <w:doNotValidateAgainstSchema/>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Malgun Gothic" w:hAnsi="Times New Roman" w:cs="Times New Roman"/>
      </w:rPr>
    </w:rPrDefault>
    <w:pPrDefault>
      <w:pPr>
        <w:jc w:val="both"/>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2085"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2085" w:unhideWhenUsed="1"/>
    <w:lsdException w:name="HTML Bottom of Form" w:semiHidden="1" w:uiPriority="2085"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2085" w:unhideWhenUsed="1"/>
    <w:lsdException w:name="Outline List 1" w:semiHidden="1" w:uiPriority="2085" w:unhideWhenUsed="1"/>
    <w:lsdException w:name="Outline List 2" w:semiHidden="1" w:uiPriority="2085" w:unhideWhenUsed="1"/>
    <w:lsdException w:name="Outline List 3" w:semiHidden="1" w:uiPriority="2085"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2085" w:unhideWhenUsed="1"/>
    <w:lsdException w:name="No Spacing" w:semiHidden="1" w:uiPriority="2085" w:unhideWhenUsed="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uiPriority="2085" w:unhideWhenUsed="1"/>
    <w:lsdException w:name="List Paragraph" w:semiHidden="1" w:uiPriority="2085" w:unhideWhenUsed="1"/>
    <w:lsdException w:name="Quote" w:semiHidden="1" w:uiPriority="2085" w:unhideWhenUsed="1"/>
    <w:lsdException w:name="Intense Quote" w:semiHidden="1" w:uiPriority="2085" w:unhideWhenUsed="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a">
    <w:name w:val="Normal"/>
    <w:qFormat/>
    <w:pPr>
      <w:jc w:val="center"/>
    </w:pPr>
    <w:rPr>
      <w:lang w:eastAsia="en-US"/>
    </w:rPr>
  </w:style>
  <w:style w:type="paragraph" w:styleId="1">
    <w:name w:val="heading 1"/>
    <w:basedOn w:val="a"/>
    <w:next w:val="a"/>
    <w:qFormat/>
    <w:pPr>
      <w:keepNext/>
      <w:keepLines/>
      <w:outlineLvl w:val="0"/>
      <w:numPr>
        <w:numId w:val="1"/>
      </w:numPr>
      <w:tabs>
        <w:tab w:val="left" w:pos="216"/>
      </w:tabs>
      <w:spacing w:after="80" w:before="160"/>
    </w:pPr>
    <w:rPr>
      <w:smallCaps/>
    </w:rPr>
  </w:style>
  <w:style w:type="paragraph" w:styleId="2">
    <w:name w:val="heading 2"/>
    <w:basedOn w:val="a"/>
    <w:next w:val="a"/>
    <w:qFormat/>
    <w:pPr>
      <w:keepNext/>
      <w:keepLines/>
      <w:outlineLvl w:val="1"/>
      <w:jc w:val="left"/>
      <w:numPr>
        <w:ilvl w:val="1"/>
        <w:numId w:val="1"/>
      </w:numPr>
      <w:spacing w:after="60" w:before="120"/>
    </w:pPr>
    <w:rPr>
      <w:i/>
      <w:iCs/>
    </w:rPr>
  </w:style>
  <w:style w:type="paragraph" w:styleId="3">
    <w:name w:val="heading 3"/>
    <w:basedOn w:val="a"/>
    <w:next w:val="a"/>
    <w:qFormat/>
    <w:pPr>
      <w:outlineLvl w:val="2"/>
      <w:jc w:val="both"/>
      <w:numPr>
        <w:ilvl w:val="2"/>
        <w:numId w:val="1"/>
      </w:numPr>
      <w:spacing w:line="240" w:lineRule="exact"/>
    </w:pPr>
    <w:rPr>
      <w:i/>
      <w:iCs/>
    </w:rPr>
  </w:style>
  <w:style w:type="paragraph" w:styleId="4">
    <w:name w:val="heading 4"/>
    <w:basedOn w:val="a"/>
    <w:next w:val="a"/>
    <w:qFormat/>
    <w:pPr>
      <w:outlineLvl w:val="3"/>
      <w:jc w:val="both"/>
      <w:numPr>
        <w:ilvl w:val="3"/>
        <w:numId w:val="1"/>
      </w:numPr>
      <w:spacing w:after="40" w:before="40"/>
    </w:pPr>
    <w:rPr>
      <w:i/>
      <w:iCs/>
    </w:rPr>
  </w:style>
  <w:style w:type="paragraph" w:styleId="5">
    <w:name w:val="heading 5"/>
    <w:basedOn w:val="a"/>
    <w:next w:val="a"/>
    <w:qFormat/>
    <w:pPr>
      <w:outlineLvl w:val="4"/>
      <w:tabs>
        <w:tab w:val="left" w:pos="360"/>
      </w:tabs>
      <w:spacing w:after="80" w:before="160"/>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ind w:firstLine="288"/>
      <w:jc w:val="both"/>
      <w:spacing w:after="120" w:line="228" w:lineRule="auto"/>
    </w:pPr>
    <w:rPr>
      <w:spacing w:val="-1"/>
    </w:rPr>
  </w:style>
  <w:style w:type="paragraph" w:styleId="a4">
    <w:name w:val="footer"/>
    <w:basedOn w:val="a"/>
    <w:link w:val="Char"/>
    <w:pPr>
      <w:snapToGrid w:val="0"/>
      <w:tabs>
        <w:tab w:val="center" w:pos="4513"/>
        <w:tab w:val="right" w:pos="9026"/>
      </w:tabs>
    </w:pPr>
  </w:style>
  <w:style w:type="paragraph" w:styleId="a5">
    <w:name w:val="Balloon Text"/>
    <w:basedOn w:val="a"/>
    <w:link w:val="Char0"/>
    <w:rPr>
      <w:rFonts w:ascii="맑은 고딕" w:eastAsia="맑은 고딕" w:hAnsi="맑은 고딕"/>
      <w:sz w:val="18"/>
      <w:szCs w:val="18"/>
    </w:rPr>
  </w:style>
  <w:style w:type="paragraph" w:styleId="a6">
    <w:name w:val="Document Map"/>
    <w:basedOn w:val="a"/>
    <w:link w:val="Char1"/>
    <w:rPr>
      <w:rFonts w:ascii="MS UI Gothic" w:eastAsia="MS UI Gothic"/>
      <w:sz w:val="18"/>
      <w:szCs w:val="18"/>
    </w:rPr>
  </w:style>
  <w:style w:type="paragraph" w:styleId="a7">
    <w:name w:val="header"/>
    <w:uiPriority w:val="99"/>
    <w:basedOn w:val="a"/>
    <w:link w:val="Char2"/>
    <w:pPr>
      <w:snapToGrid w:val="0"/>
      <w:tabs>
        <w:tab w:val="center" w:pos="4513"/>
        <w:tab w:val="right" w:pos="9026"/>
      </w:tabs>
    </w:pPr>
  </w:style>
  <w:style w:type="paragraph" w:customStyle="1" w:styleId="Abstract">
    <w:name w:val="Abstract"/>
    <w:link w:val="AbstractChar"/>
    <w:rPr>
      <w:lang w:eastAsia="en-US"/>
      <w:b/>
      <w:bCs/>
      <w:sz w:val="18"/>
      <w:szCs w:val="18"/>
    </w:rPr>
  </w:style>
  <w:style w:type="paragraph" w:customStyle="1" w:styleId="Affiliation">
    <w:name w:val="Affiliation"/>
    <w:pPr>
      <w:jc w:val="center"/>
    </w:pPr>
    <w:rPr>
      <w:lang w:eastAsia="en-US"/>
    </w:rPr>
  </w:style>
  <w:style w:type="paragraph" w:customStyle="1" w:styleId="Author">
    <w:name w:val="Author"/>
    <w:pPr>
      <w:jc w:val="center"/>
      <w:spacing w:after="40" w:before="360"/>
    </w:pPr>
    <w:rPr>
      <w:lang w:eastAsia="en-US"/>
      <w:sz w:val="22"/>
      <w:szCs w:val="22"/>
    </w:rPr>
  </w:style>
  <w:style w:type="paragraph" w:customStyle="1" w:styleId="bulletlist">
    <w:name w:val="bullet list"/>
    <w:basedOn w:val="a3"/>
    <w:pPr>
      <w:numPr>
        <w:numId w:val="2"/>
      </w:numPr>
    </w:pPr>
  </w:style>
  <w:style w:type="paragraph" w:customStyle="1" w:styleId="equation">
    <w:name w:val="equation"/>
    <w:basedOn w:val="a"/>
    <w:pPr>
      <w:tabs>
        <w:tab w:val="center" w:pos="2520"/>
        <w:tab w:val="right" w:pos="5040"/>
      </w:tabs>
      <w:spacing w:after="240" w:before="240" w:line="216" w:lineRule="auto"/>
    </w:pPr>
    <w:rPr>
      <w:rFonts w:ascii="Symbol" w:hAnsi="Symbol" w:cs="Symbol"/>
    </w:rPr>
  </w:style>
  <w:style w:type="paragraph" w:customStyle="1" w:styleId="figurecaption">
    <w:name w:val="figure caption"/>
    <w:pPr>
      <w:jc w:val="center"/>
      <w:numPr>
        <w:numId w:val="4"/>
      </w:numPr>
      <w:spacing w:before="80"/>
    </w:pPr>
    <w:rPr>
      <w:lang w:eastAsia="en-US"/>
      <w:sz w:val="16"/>
      <w:szCs w:val="16"/>
    </w:rPr>
  </w:style>
  <w:style w:type="paragraph" w:customStyle="1" w:styleId="footnote">
    <w:name w:val="footnote"/>
    <w:pPr>
      <w:framePr w:vSpace="187" w:hSpace="187" w:wrap="notBeside" w:hAnchor="page" w:vAnchor="text" w:x="6121" w:y="577"/>
      <w:numPr>
        <w:numId w:val="6"/>
      </w:numPr>
      <w:spacing w:after="40"/>
    </w:pPr>
    <w:rPr>
      <w:lang w:eastAsia="en-US"/>
      <w:sz w:val="16"/>
      <w:szCs w:val="16"/>
    </w:rPr>
  </w:style>
  <w:style w:type="paragraph" w:customStyle="1" w:styleId="keywords">
    <w:name w:val="key words"/>
    <w:pPr>
      <w:ind w:firstLine="288"/>
      <w:spacing w:after="120"/>
    </w:pPr>
    <w:rPr>
      <w:lang w:eastAsia="en-US"/>
      <w:b/>
      <w:bCs/>
      <w:i/>
      <w:iCs/>
      <w:sz w:val="18"/>
      <w:szCs w:val="18"/>
    </w:rPr>
  </w:style>
  <w:style w:type="paragraph" w:customStyle="1" w:styleId="papersubtitle">
    <w:name w:val="paper subtitle"/>
    <w:pPr>
      <w:jc w:val="center"/>
      <w:spacing w:after="120"/>
    </w:pPr>
    <w:rPr>
      <w:lang w:eastAsia="en-US"/>
      <w:rFonts w:eastAsia="Malgun Gothic"/>
      <w:sz w:val="28"/>
      <w:szCs w:val="28"/>
    </w:rPr>
  </w:style>
  <w:style w:type="paragraph" w:customStyle="1" w:styleId="papertitle">
    <w:name w:val="paper title"/>
    <w:pPr>
      <w:jc w:val="center"/>
      <w:spacing w:after="120"/>
    </w:pPr>
    <w:rPr>
      <w:lang w:eastAsia="en-US"/>
      <w:rFonts w:eastAsia="Malgun Gothic"/>
      <w:sz w:val="48"/>
      <w:szCs w:val="48"/>
    </w:rPr>
  </w:style>
  <w:style w:type="paragraph" w:customStyle="1" w:styleId="references">
    <w:name w:val="references"/>
    <w:pPr>
      <w:numPr>
        <w:numId w:val="5"/>
      </w:numPr>
      <w:spacing w:after="50" w:line="180" w:lineRule="exact"/>
    </w:pPr>
    <w:rPr>
      <w:lang w:eastAsia="en-US"/>
      <w:rFonts w:eastAsia="Malgun Gothic"/>
      <w:sz w:val="16"/>
      <w:szCs w:val="16"/>
    </w:rPr>
  </w:style>
  <w:style w:type="paragraph" w:customStyle="1" w:styleId="sponsors">
    <w:name w:val="sponsors"/>
    <w:pPr>
      <w:ind w:firstLine="288"/>
      <w:pBdr>
        <w:top w:val="single" w:sz="4" w:space="2" w:color="auto"/>
      </w:pBdr>
      <w:framePr w:wrap="around" w:hAnchor="text" w:x="615" w:y="2239"/>
    </w:pPr>
    <w:rPr>
      <w:lang w:eastAsia="en-US"/>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lang w:eastAsia="en-US"/>
      <w:sz w:val="16"/>
      <w:szCs w:val="16"/>
    </w:rPr>
  </w:style>
  <w:style w:type="paragraph" w:customStyle="1" w:styleId="tablefootnote">
    <w:name w:val="table footnote"/>
    <w:pPr>
      <w:jc w:val="right"/>
      <w:spacing w:after="30" w:before="60"/>
    </w:pPr>
    <w:rPr>
      <w:lang w:eastAsia="en-US"/>
      <w:sz w:val="12"/>
      <w:szCs w:val="12"/>
    </w:rPr>
  </w:style>
  <w:style w:type="paragraph" w:customStyle="1" w:styleId="tablehead">
    <w:name w:val="table head"/>
    <w:pPr>
      <w:jc w:val="center"/>
      <w:numPr>
        <w:numId w:val="3"/>
      </w:numPr>
      <w:spacing w:after="120" w:before="240" w:line="216" w:lineRule="auto"/>
    </w:pPr>
    <w:rPr>
      <w:lang w:eastAsia="en-US"/>
      <w:smallCaps/>
      <w:sz w:val="16"/>
      <w:szCs w:val="16"/>
    </w:rPr>
  </w:style>
  <w:style w:type="paragraph" w:customStyle="1" w:styleId="StyleAbstractItalic">
    <w:name w:val="Style Abstract + Italic"/>
    <w:basedOn w:val="Abstract"/>
    <w:link w:val="StyleAbstractItalicChar"/>
    <w:rPr>
      <w:rFonts w:eastAsia="Malgun Gothic"/>
      <w:i/>
      <w:iCs/>
    </w:rPr>
  </w:style>
  <w:style w:type="character" w:customStyle="1" w:styleId="AbstractChar">
    <w:name w:val="Abstract Char"/>
    <w:link w:val="Abstract"/>
    <w:rPr>
      <w:lang w:val="en-US" w:eastAsia="en-US" w:bidi="ar-SA"/>
      <w:b/>
      <w:bCs/>
      <w:sz w:val="18"/>
      <w:szCs w:val="18"/>
    </w:rPr>
  </w:style>
  <w:style w:type="character" w:customStyle="1" w:styleId="StyleAbstractItalicChar">
    <w:name w:val="Style Abstract + Italic Char"/>
    <w:link w:val="StyleAbstractItalic"/>
    <w:rPr>
      <w:lang w:val="en-US" w:eastAsia="en-US" w:bidi="ar-SA"/>
      <w:rFonts w:eastAsia="Malgun Gothic"/>
      <w:b/>
      <w:bCs/>
      <w:i/>
      <w:iCs/>
      <w:sz w:val="18"/>
      <w:szCs w:val="18"/>
    </w:rPr>
  </w:style>
  <w:style w:type="character" w:customStyle="1" w:styleId="Char2">
    <w:name w:val="머리글 Char"/>
    <w:uiPriority w:val="99"/>
    <w:link w:val="a7"/>
    <w:rPr>
      <w:lang w:eastAsia="en-US"/>
    </w:rPr>
  </w:style>
  <w:style w:type="character" w:customStyle="1" w:styleId="Char">
    <w:name w:val="바닥글 Char"/>
    <w:link w:val="a4"/>
    <w:rPr>
      <w:lang w:eastAsia="en-US"/>
    </w:rPr>
  </w:style>
  <w:style w:type="paragraph" w:customStyle="1" w:styleId="E0768D090ABB4831A8A820B640BB2A5C">
    <w:name w:val="E0768D090ABB4831A8A820B640BB2A5C"/>
    <w:rPr>
      <w:lang w:eastAsia="en-US"/>
      <w:rFonts w:ascii="맑은 고딕" w:eastAsia="맑은 고딕" w:hAnsi="맑은 고딕"/>
      <w:sz w:val="22"/>
      <w:szCs w:val="22"/>
    </w:rPr>
  </w:style>
  <w:style w:type="character" w:customStyle="1" w:styleId="Char0">
    <w:name w:val="풍선 도움말 텍스트 Char"/>
    <w:link w:val="a5"/>
    <w:rPr>
      <w:lang w:eastAsia="en-US"/>
      <w:rFonts w:ascii="맑은 고딕" w:eastAsia="맑은 고딕" w:hAnsi="맑은 고딕" w:cs="Times New Roman"/>
      <w:sz w:val="18"/>
      <w:szCs w:val="18"/>
    </w:rPr>
  </w:style>
  <w:style w:type="character" w:customStyle="1" w:styleId="Char1">
    <w:name w:val="문서 구조 Char"/>
    <w:link w:val="a6"/>
    <w:rPr>
      <w:lang w:eastAsia="en-US"/>
      <w:rFonts w:ascii="MS UI Gothic" w:eastAsia="MS UI Gothic"/>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Yu Gothic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Yu Mincho"/>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IEEE</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jinghoo</cp:lastModifiedBy>
  <cp:revision>1</cp:revision>
  <dcterms:created xsi:type="dcterms:W3CDTF">2022-09-15T06:29:00Z</dcterms:created>
  <dcterms:modified xsi:type="dcterms:W3CDTF">2026-10-12T06:52:06Z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