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which receives host-built windows one value per cycle, is bound by its input port: a window of K input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Maxout, which doubles a layer's multiplications, becomes extra output channels: on the board a 64-output maxout layer took 289 cycles per window, as a 32-output ReLU layer did, and for 1% more cycles the maxout network denoises better than the ReLU network of the same width [MAXOUT]. With quantization-aware training that reproduces the board's arithmetic, the quality-first integer model reaches 30.12 / 29.02 dB (Set12 / BSD68), above BM3D on the same clipped input (29.95 / 28.37 dB; 29.98 / 28.62 dB unclipped), and the speed-first model matches BM3D in 2.63× fewer cycles. Seven models were verified bit for bit on the board. With on-chip line buffers, the same model predicts that maxout stops being free and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latency on GPUs, TPUs, NPUs or DPUs,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maxout in the free output channels, whose hidden layers keep their cycle count on the board;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and 51% of the BRAM; synthesis was not restricted, but Vivado built every 8-bit multiplier from LUTs, so no DSP slice is used. Timing closes at 100 MHz (WNS +0.221 ns); the board runs use the 50 MHz default clock, and a run at 100 MHz gave the same cycle count as at 50 MHz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three networks designed afterwards within 0.003% (Table II), against 0.4–1.4% without them. Equation (1) is the dense-mode bound. All board runs used the sparse mode, which skips multiplications by zero activations and so shortens only the compute term; input-bound layers take the same cycles in both modes.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Host-built windows have the same effect. With on-chip line buffers [7], a window brings only its new column of C_in values; by the dense model a hidden layer with K = 288 then costs 145 cycles at COUT = 32 and 289 at COUT = 64, maxout doubles the cost, and the baseline (833 cycles/pixel) becomes faster than network B (1,208). These are predictions, not measurements. The rules below therefore hold for this input structure; what carries over is choosing networks by the measured bottleneck. The host's share is small but not zero: im2col, requantization and maxout take 0.07–0.13 s per 256×256 image on a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Maxout in free output channels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In restoration the benefit of maxout depends on width: it halved the filters at equal quality in super-resolution [14] and was about 0.04 dB below ReLU in a 64-channel space-to-depth denoiser [15]. Requantization is monotonic per channel, so (2) on codes is the requantized maximum.</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(AXI4-Lite and AXI4-Stream agents, a scoreboard that predicts from a reference model, coverage and handshake assertions) on Verilator: 39 runs under UVM 1.2 and 26 under IEEE 1800.2-2020 passed, and all ten injected bugs were caught. On the board, every layer's output is compared value by value with the integer model, and the final PSNR must equal the integer model's; every board figure below passed this check.</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[MAXOUT]</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ReLU, and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(better on 10/12 and 68/68 images),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Maxout against ReLU and averaging.</w:t>
      </w:r>
      <w:r>
        <w:t xml:space="preserve"> [MAXOUT] A first comparison overstated the gain (+0.54 / +0.35 dB): its ReLU network had stopped early after 4k updates against 18k for maxout, and retrained for a fixed 120 epochs it rises from 29.18 to 29.55 dB (Set12, float). The last three rows of Table I therefore share one budget and QAT, and the averaging control keeps the same 64 outputs per hidden layer but combines each pair by its mean after requantization, so it has the same parameters and cycles and lacks only the max.</w:t>
      </w:r>
    </w:p>
    <w:p>
      <w:pPr>
        <w:pStyle w:val="a3"/>
      </w:pPr>
      <w:r>
        <w:rPr>
          <w:b/>
        </w:rPr>
        <w:t>Quantization and the same-input reference.</w:t>
      </w:r>
      <w:r>
        <w:t xml:space="preserve"> QAT brought every integer model within 0.04 dB of its float model; the maxout network had lost 0.16 / 0.14 dB before it. DnCNN-S on the same input scores 30.35 / 28.89 dB in float with 556k parameters, 0.2 dB above our 300k integer model on Set12 (its BSD68 deficit reflects training on unclipped noise). On this core DnCNN-S would cost about 9.3k cycles per pixel, 7.0× the quality model.</w:t>
      </w:r>
    </w:p>
    <w:p>
      <w:pPr>
        <w:pStyle w:val="tablehead"/>
        <w:numPr>
          <w:ilvl w:val="0"/>
          <w:numId w:val="0"/>
        </w:numPr>
      </w:pPr>
      <w:r>
        <w:t>Table II. Board runs (Set12 05.png, 256×256, 50 MHz, no mismatch in any layer). Core time: 2.33, 1.73, 0.89 and 0.88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Model</w:t>
            </w:r>
          </w:p>
        </w:tc>
        <w:tc>
          <w:tcPr>
            <w:tcW w:type="dxa" w:w="833"/>
          </w:tcPr>
          <w:p>
            <w:pPr>
              <w:pStyle w:val="tablecolhead"/>
              <w:spacing w:before="20" w:after="20"/>
              <w:jc w:val="center"/>
            </w:pPr>
            <w:r>
              <w:t>Hidden K / COUT</w:t>
            </w:r>
          </w:p>
        </w:tc>
        <w:tc>
          <w:tcPr>
            <w:tcW w:type="dxa" w:w="833"/>
          </w:tcPr>
          <w:p>
            <w:pPr>
              <w:pStyle w:val="tablecolhead"/>
              <w:spacing w:before="20" w:after="20"/>
              <w:jc w:val="center"/>
            </w:pPr>
            <w:r>
              <w:t>Cycles/window, model → board</w:t>
            </w:r>
          </w:p>
        </w:tc>
        <w:tc>
          <w:tcPr>
            <w:tcW w:type="dxa" w:w="833"/>
          </w:tcPr>
          <w:p>
            <w:pPr>
              <w:pStyle w:val="tablecolhead"/>
              <w:spacing w:before="20" w:after="20"/>
              <w:jc w:val="center"/>
            </w:pPr>
            <w:r>
              <w:t>Cycles/px</w:t>
            </w:r>
          </w:p>
        </w:tc>
        <w:tc>
          <w:tcPr>
            <w:tcW w:type="dxa" w:w="833"/>
          </w:tcPr>
          <w:p>
            <w:pPr>
              <w:pStyle w:val="tablecolhead"/>
              <w:spacing w:before="20" w:after="20"/>
              <w:jc w:val="center"/>
            </w:pPr>
            <w:r>
              <w:t>PSNR</w:t>
            </w:r>
          </w:p>
        </w:tc>
      </w:tr>
      <w:tr>
        <w:tc>
          <w:tcPr>
            <w:tcW w:type="dxa" w:w="1429"/>
          </w:tcPr>
          <w:p>
            <w:pPr>
              <w:pStyle w:val="tablecopy"/>
              <w:spacing w:before="20" w:after="20"/>
            </w:pPr>
            <w:r>
              <w:t>A</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1,775</w:t>
            </w:r>
          </w:p>
        </w:tc>
        <w:tc>
          <w:tcPr>
            <w:tcW w:type="dxa" w:w="833"/>
          </w:tcPr>
          <w:p>
            <w:pPr>
              <w:pStyle w:val="tablecopy"/>
              <w:spacing w:before="20" w:after="20"/>
              <w:jc w:val="center"/>
            </w:pPr>
            <w:r>
              <w:t>29.83</w:t>
            </w:r>
          </w:p>
        </w:tc>
      </w:tr>
      <w:tr>
        <w:tc>
          <w:tcPr>
            <w:tcW w:type="dxa" w:w="1429"/>
          </w:tcPr>
          <w:p>
            <w:pPr>
              <w:pStyle w:val="tablecopy"/>
              <w:spacing w:before="20" w:after="20"/>
            </w:pPr>
            <w:r>
              <w:t>B + QAT</w:t>
            </w:r>
          </w:p>
        </w:tc>
        <w:tc>
          <w:tcPr>
            <w:tcW w:type="dxa" w:w="833"/>
          </w:tcPr>
          <w:p>
            <w:pPr>
              <w:pStyle w:val="tablecopy"/>
              <w:spacing w:before="20" w:after="20"/>
              <w:jc w:val="center"/>
            </w:pPr>
            <w:r>
              <w:t>576 / 64</w:t>
            </w:r>
          </w:p>
        </w:tc>
        <w:tc>
          <w:tcPr>
            <w:tcW w:type="dxa" w:w="833"/>
          </w:tcPr>
          <w:p>
            <w:pPr>
              <w:pStyle w:val="tablecopy"/>
              <w:spacing w:before="20" w:after="20"/>
              <w:jc w:val="center"/>
            </w:pPr>
            <w:r>
              <w:t>576 → 577</w:t>
            </w:r>
          </w:p>
        </w:tc>
        <w:tc>
          <w:tcPr>
            <w:tcW w:type="dxa" w:w="833"/>
          </w:tcPr>
          <w:p>
            <w:pPr>
              <w:pStyle w:val="tablecopy"/>
              <w:spacing w:before="20" w:after="20"/>
              <w:jc w:val="center"/>
            </w:pPr>
            <w:r>
              <w:t>1,323</w:t>
            </w:r>
          </w:p>
        </w:tc>
        <w:tc>
          <w:tcPr>
            <w:tcW w:type="dxa" w:w="833"/>
          </w:tcPr>
          <w:p>
            <w:pPr>
              <w:pStyle w:val="tablecopy"/>
              <w:spacing w:before="20" w:after="20"/>
              <w:jc w:val="center"/>
            </w:pPr>
            <w:r>
              <w:t>30.06</w:t>
            </w:r>
          </w:p>
        </w:tc>
      </w:tr>
      <w:tr>
        <w:tc>
          <w:tcPr>
            <w:tcW w:type="dxa" w:w="1429"/>
          </w:tcPr>
          <w:p>
            <w:pPr>
              <w:pStyle w:val="tablecopy"/>
              <w:spacing w:before="20" w:after="20"/>
            </w:pPr>
            <w:r>
              <w:t>B-32 + maxout + QAT</w:t>
            </w:r>
          </w:p>
        </w:tc>
        <w:tc>
          <w:tcPr>
            <w:tcW w:type="dxa" w:w="833"/>
          </w:tcPr>
          <w:p>
            <w:pPr>
              <w:pStyle w:val="tablecopy"/>
              <w:spacing w:before="20" w:after="20"/>
              <w:jc w:val="center"/>
            </w:pPr>
            <w:r>
              <w:t xml:space="preserve">288 / </w:t>
            </w:r>
            <w:r>
              <w:rPr>
                <w:b/>
              </w:rPr>
              <w:t>64</w:t>
            </w:r>
          </w:p>
        </w:tc>
        <w:tc>
          <w:tcPr>
            <w:tcW w:type="dxa" w:w="833"/>
          </w:tcPr>
          <w:p>
            <w:pPr>
              <w:pStyle w:val="tablecopy"/>
              <w:spacing w:before="20" w:after="20"/>
              <w:jc w:val="center"/>
            </w:pPr>
            <w:r>
              <w:t xml:space="preserve">288 → </w:t>
            </w:r>
            <w:r>
              <w:rPr>
                <w:b/>
              </w:rPr>
              <w:t>289</w:t>
            </w:r>
          </w:p>
        </w:tc>
        <w:tc>
          <w:tcPr>
            <w:tcW w:type="dxa" w:w="833"/>
          </w:tcPr>
          <w:p>
            <w:pPr>
              <w:pStyle w:val="tablecopy"/>
              <w:spacing w:before="20" w:after="20"/>
              <w:jc w:val="center"/>
            </w:pPr>
            <w:r>
              <w:t>675</w:t>
            </w:r>
          </w:p>
        </w:tc>
        <w:tc>
          <w:tcPr>
            <w:tcW w:type="dxa" w:w="833"/>
          </w:tcPr>
          <w:p>
            <w:pPr>
              <w:pStyle w:val="tablecopy"/>
              <w:spacing w:before="20" w:after="20"/>
              <w:jc w:val="center"/>
            </w:pPr>
            <w:r>
              <w:t>29.94</w:t>
            </w:r>
          </w:p>
        </w:tc>
      </w:tr>
      <w:tr>
        <w:tc>
          <w:tcPr>
            <w:tcW w:type="dxa" w:w="1429"/>
          </w:tcPr>
          <w:p>
            <w:pPr>
              <w:pStyle w:val="tablecopy"/>
              <w:spacing w:before="20" w:after="20"/>
            </w:pPr>
            <w:r>
              <w:t>B-32 ReLU + QAT</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669</w:t>
            </w:r>
          </w:p>
        </w:tc>
        <w:tc>
          <w:tcPr>
            <w:tcW w:type="dxa" w:w="833"/>
          </w:tcPr>
          <w:p>
            <w:pPr>
              <w:pStyle w:val="tablecopy"/>
              <w:spacing w:before="20" w:after="20"/>
              <w:jc w:val="center"/>
            </w:pPr>
            <w:r>
              <w:t>29.54</w:t>
            </w:r>
          </w:p>
        </w:tc>
      </w:tr>
    </w:tbl>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 not throughput.</w:t>
      </w:r>
    </w:p>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maxout used free output channels at no hidden-layer cost [MAXOUT]. The quality model beats BM3D on the same input on both test sets, the speed model matches it in 2.63× fewer cycles, and seven models were verified bit for bit on the board. The result belongs to an input structure fed by host-built windows; with line buffers the cycle model predicts that maxout stops being free and B becomes slower than A, which we will measure next. Energy, end-to-end time without the test harness, other noise levels, more seeds, color images and SSIM are not reported. Code, integer models, per-image PSNR and board logs are in the project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