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We denoise Gaussian noise (σ=25) on our integer CNN accelerator for a Zynq XC7Z020 FPGA (64 multipliers, one bitstream, 7-bit inputs) and show how the measured bottleneck changes the network design. A cycle model, within 0.003% of the board after two corrections, shows that this build, fed host-built windows one value per cycle, is bound by its input port: a window of K values costs K cycles for up to 64 output channels. A 7-layer DnCNN-style baseline therefore uses 41% of the multipliers, and two choices that look wasteful by FLOP count pay off. A 2×2 space-to-depth input fits a 10-layer, 64-channel network (6.4× the parameters, 1.6× the multiplications) in 25% fewer cycles, 0.3 dB higher on Set12. Doubling a hidden layer's outputs and pooling them in pairs (maxout) puts the idle multipliers to work: on the board a 64-output layer took 289 cycles per window, as a 32-output layer did, so the network doubles its parameters for 1% more cycles. At the same training budget it denoises better than the ReLU network of the same width, and in one seed averaging the pairs instead did as well, pointing to the free capacity rather than the max [SEEDS] [AVG]. With quantization-aware training that reproduces the board's arithmetic, the quality-first integer model reaches 30.12 / 29.02 dB (Set12 / BSD68), above BM3D on the same clipped input (29.95 / 28.37 dB; 29.98 / 28.62 dB unclipped), and the speed-first model matches BM3D in 2.63× fewer cycles. Seven models were verified bit for bit on the board. With two input values per cycle the same model predicts that pooling stops being free, and with four or with on-chip line buffers also that network B becomes slower than the baseline: the best network follows the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w:t>
      </w:r>
    </w:p>
    <w:p>
      <w:pPr>
        <w:pStyle w:val="a3"/>
      </w:pPr>
      <w:r>
        <w:t>We study the same principle at a smaller scale and at cycle level, on an integer CNN core of our own design for a Zynq XC7Z020: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and whose gain over ReLU a mean-pooling control matched in one seed, pointing to the free capacity rather than the max [SEEDS] [AVG]; 3. integer models, trained with quantization-aware training that reproduces the board's arithmetic, that beat BM3D on the same input, verified bit for bit on the board.</w:t>
      </w:r>
    </w:p>
    <w:p>
      <w:pPr>
        <w:pStyle w:val="a3"/>
      </w:pPr>
      <w:r>
        <w:t>Space-to-depth [12], [5], maxout [13]–[15] and quantization-aware training [16]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(1) predicted the total cycles of three networks designed afterwards within 0.003% (Table II), against 0.4–1.4% without them. All board runs used the sparse mode, which skips multiplications by zero activations; it shortens only the compute term of (1), so input-bound layers take the same cycles.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Equation (1) is the dense-mode bound: by it, maxout costs 1.9× the ReLU network already at w = 2; sparse mode, estimated with the measured activation densities, leaves 1.4–1.8× and keeps B ahead of A until w = 4.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256×256 image (4-core PC), 5–9% of the 50 MHz core time.</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w:t>
      </w:r>
    </w:p>
    <w:p>
      <w:pPr>
        <w:pStyle w:val="a3"/>
      </w:pPr>
      <w:r>
        <w:rPr>
          <w:b/>
        </w:rPr>
        <w:t>Space-to-depth (B).</w:t>
      </w:r>
      <w:r>
        <w:t xml:space="preserve"> As in FFDNet [12],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[13] in its Max-Feature-Map form [17].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would cost, by the cycle model, 934 cycles per pixel, 38% more (it was not trained). As a control, an averaging network pools each pair by its mean, with the same parameters and cycles. In restoration the benefit of maxout depends on width: it halved the filters at equal quality in super-resolution [14] and was about 0.04 dB below ReLU in a 64-channel space-to-depth denoiser [15].</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[16], chosen from percentiles on training images. A module that reproduces the board's integer arithmetic in float (rounding, bias units, skip-scale folding, maxout after requantization, 8-bit output) is then fine-tuned for 15 epochs with straight-through gradients and learned scales [18]; its PSNR matches the integer model within 0.001 dB. No checkpoint, learning-rate step or quantization range was chosen on Set12 or BSD68.</w:t>
      </w:r>
    </w:p>
    <w:p>
      <w:pPr>
        <w:pStyle w:val="1"/>
      </w:pPr>
      <w:r>
        <w:t>Verification</w:t>
      </w:r>
    </w:p>
    <w:p>
      <w:pPr>
        <w:pStyle w:val="a3"/>
      </w:pPr>
      <w:r>
        <w:t>The RTL was verified in a UVM [19] environment (protocol agents, a predicting scoreboard, coverage and assertions) on Verilator: 39 runs under UVM 1.2 and 26 under IEEE 1800.2-2020 passed, and all ten injected bugs were caught. On the board every layer's output is compared value by value with the integer model; every board figure below passed.</w:t>
      </w:r>
    </w:p>
    <w:p>
      <w:pPr>
        <w:pStyle w:val="1"/>
      </w:pPr>
      <w:r>
        <w:t>Results</w:t>
      </w:r>
    </w:p>
    <w:p>
      <w:pPr>
        <w:pStyle w:val="a3"/>
      </w:pPr>
      <w:r>
        <w:rPr>
          <w:b/>
        </w:rPr>
        <w:t>Setup.</w:t>
      </w:r>
      <w:r>
        <w:t xml:space="preserve"> Set12 and BSD68 [20]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29.58 / 29.62</w:t>
            </w:r>
          </w:p>
        </w:tc>
        <w:tc>
          <w:tcPr>
            <w:tcW w:type="dxa" w:w="1272"/>
          </w:tcPr>
          <w:p>
            <w:pPr>
              <w:pStyle w:val="tablecopy"/>
              <w:spacing w:before="20" w:after="20"/>
              <w:jc w:val="center"/>
            </w:pPr>
            <w:r>
              <w:t>28.66 / 28.68</w:t>
            </w:r>
          </w:p>
        </w:tc>
      </w:tr>
      <w:tr>
        <w:tc>
          <w:tcPr>
            <w:tcW w:type="dxa" w:w="3277"/>
          </w:tcPr>
          <w:p>
            <w:pPr>
              <w:pStyle w:val="tablecopy"/>
              <w:spacing w:before="20" w:after="20"/>
            </w:pPr>
            <w:r>
              <w:t>B-32 averaging + QAT [AVG]</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 At about 670 cycles maxout lies above ReLU, and with QAT above A, while ReLU lies below A;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Free channels against ReLU, and max against mean.</w:t>
      </w:r>
      <w:r>
        <w:t xml:space="preserve"> At the same budget, the maxout network scores +0.37 / +0.26 dB above the ReLU network on all 80 images for 1.01× the board cycles (seed 1; image-paired standard error 0.04 / 0.02 dB, so the training run is the uncertainty). The averaging control matched maxout (validation +0.02 dB in float [AVG]), so in this seed the max adds nothing beyond the extra outputs. The ReLU run collapsed once, at epoch 26, and its validation-driven schedule halved the rate four times while it recovered; before that the three networks were level, so seeds 2 and 3 decide whether the gap holds and how large it is [SEEDS].</w:t>
      </w:r>
    </w:p>
    <w:p>
      <w:pPr>
        <w:pStyle w:val="a3"/>
      </w:pPr>
      <w:r>
        <w:rPr>
          <w:b/>
        </w:rPr>
        <w:t>Quantization and the same-input reference.</w:t>
      </w:r>
      <w:r>
        <w:t xml:space="preserve"> QAT brought every integer model within 0.04 dB of its float model; the maxout network had lost 0.16 / 0.14 dB before it. On the same input DnCNN-S (556k, float) is 0.2 dB above our 300k integer model on Set12; its BSD68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w:t>
      </w:r>
    </w:p>
    <w:p>
      <w:pPr>
        <w:pStyle w:val="tablehead"/>
        <w:numPr>
          <w:ilvl w:val="0"/>
          <w:numId w:val="0"/>
        </w:numPr>
      </w:pPr>
      <w:r>
        <w:t>Table II. Board runs (Set12 05.png, 256×256, 50 MHz, no mismatch in any layer). Cycles per window: model → board; B-32 networks with QAT. Core time: 2.33, 1.73, 0.89 and 0.88 s; cycles per pixel are in Table I.</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Model</w:t>
            </w:r>
          </w:p>
        </w:tc>
        <w:tc>
          <w:tcPr>
            <w:tcW w:type="dxa" w:w="1111"/>
          </w:tcPr>
          <w:p>
            <w:pPr>
              <w:pStyle w:val="tablecolhead"/>
              <w:spacing w:before="20" w:after="20"/>
              <w:jc w:val="center"/>
            </w:pPr>
            <w:r>
              <w:t>Hidden K / COUT</w:t>
            </w:r>
          </w:p>
        </w:tc>
        <w:tc>
          <w:tcPr>
            <w:tcW w:type="dxa" w:w="1111"/>
          </w:tcPr>
          <w:p>
            <w:pPr>
              <w:pStyle w:val="tablecolhead"/>
              <w:spacing w:before="20" w:after="20"/>
              <w:jc w:val="center"/>
            </w:pPr>
            <w:r>
              <w:t>Cycles/window</w:t>
            </w:r>
          </w:p>
        </w:tc>
        <w:tc>
          <w:tcPr>
            <w:tcW w:type="dxa" w:w="1111"/>
          </w:tcPr>
          <w:p>
            <w:pPr>
              <w:pStyle w:val="tablecolhead"/>
              <w:spacing w:before="20" w:after="20"/>
              <w:jc w:val="center"/>
            </w:pPr>
            <w:r>
              <w:t>PSNR</w:t>
            </w:r>
          </w:p>
        </w:tc>
      </w:tr>
      <w:tr>
        <w:tc>
          <w:tcPr>
            <w:tcW w:type="dxa" w:w="1429"/>
          </w:tcPr>
          <w:p>
            <w:pPr>
              <w:pStyle w:val="tablecopy"/>
              <w:spacing w:before="20" w:after="20"/>
            </w:pPr>
            <w:r>
              <w:t>A</w:t>
            </w:r>
          </w:p>
        </w:tc>
        <w:tc>
          <w:tcPr>
            <w:tcW w:type="dxa" w:w="1111"/>
          </w:tcPr>
          <w:p>
            <w:pPr>
              <w:pStyle w:val="tablecopy"/>
              <w:spacing w:before="20" w:after="20"/>
              <w:jc w:val="center"/>
            </w:pPr>
            <w:r>
              <w:t>288 / 32</w:t>
            </w:r>
          </w:p>
        </w:tc>
        <w:tc>
          <w:tcPr>
            <w:tcW w:type="dxa" w:w="1111"/>
          </w:tcPr>
          <w:p>
            <w:pPr>
              <w:pStyle w:val="tablecopy"/>
              <w:spacing w:before="20" w:after="20"/>
              <w:jc w:val="center"/>
            </w:pPr>
            <w:r>
              <w:t>288 → 289</w:t>
            </w:r>
          </w:p>
        </w:tc>
        <w:tc>
          <w:tcPr>
            <w:tcW w:type="dxa" w:w="1111"/>
          </w:tcPr>
          <w:p>
            <w:pPr>
              <w:pStyle w:val="tablecopy"/>
              <w:spacing w:before="20" w:after="20"/>
              <w:jc w:val="center"/>
            </w:pPr>
            <w:r>
              <w:t>29.83</w:t>
            </w:r>
          </w:p>
        </w:tc>
      </w:tr>
      <w:tr>
        <w:tc>
          <w:tcPr>
            <w:tcW w:type="dxa" w:w="1429"/>
          </w:tcPr>
          <w:p>
            <w:pPr>
              <w:pStyle w:val="tablecopy"/>
              <w:spacing w:before="20" w:after="20"/>
            </w:pPr>
            <w:r>
              <w:t>B + QAT</w:t>
            </w:r>
          </w:p>
        </w:tc>
        <w:tc>
          <w:tcPr>
            <w:tcW w:type="dxa" w:w="1111"/>
          </w:tcPr>
          <w:p>
            <w:pPr>
              <w:pStyle w:val="tablecopy"/>
              <w:spacing w:before="20" w:after="20"/>
              <w:jc w:val="center"/>
            </w:pPr>
            <w:r>
              <w:t>576 / 64</w:t>
            </w:r>
          </w:p>
        </w:tc>
        <w:tc>
          <w:tcPr>
            <w:tcW w:type="dxa" w:w="1111"/>
          </w:tcPr>
          <w:p>
            <w:pPr>
              <w:pStyle w:val="tablecopy"/>
              <w:spacing w:before="20" w:after="20"/>
              <w:jc w:val="center"/>
            </w:pPr>
            <w:r>
              <w:t>576 → 577</w:t>
            </w:r>
          </w:p>
        </w:tc>
        <w:tc>
          <w:tcPr>
            <w:tcW w:type="dxa" w:w="1111"/>
          </w:tcPr>
          <w:p>
            <w:pPr>
              <w:pStyle w:val="tablecopy"/>
              <w:spacing w:before="20" w:after="20"/>
              <w:jc w:val="center"/>
            </w:pPr>
            <w:r>
              <w:t>30.06</w:t>
            </w:r>
          </w:p>
        </w:tc>
      </w:tr>
      <w:tr>
        <w:tc>
          <w:tcPr>
            <w:tcW w:type="dxa" w:w="1429"/>
          </w:tcPr>
          <w:p>
            <w:pPr>
              <w:pStyle w:val="tablecopy"/>
              <w:spacing w:before="20" w:after="20"/>
            </w:pPr>
            <w:r>
              <w:t>B-32 maxout</w:t>
            </w:r>
          </w:p>
        </w:tc>
        <w:tc>
          <w:tcPr>
            <w:tcW w:type="dxa" w:w="1111"/>
          </w:tcPr>
          <w:p>
            <w:pPr>
              <w:pStyle w:val="tablecopy"/>
              <w:spacing w:before="20" w:after="20"/>
              <w:jc w:val="center"/>
            </w:pPr>
            <w:r>
              <w:t xml:space="preserve">288 / </w:t>
            </w:r>
            <w:r>
              <w:rPr>
                <w:b/>
              </w:rPr>
              <w:t>64</w:t>
            </w:r>
          </w:p>
        </w:tc>
        <w:tc>
          <w:tcPr>
            <w:tcW w:type="dxa" w:w="1111"/>
          </w:tcPr>
          <w:p>
            <w:pPr>
              <w:pStyle w:val="tablecopy"/>
              <w:spacing w:before="20" w:after="20"/>
              <w:jc w:val="center"/>
            </w:pPr>
            <w:r>
              <w:t xml:space="preserve">288 → </w:t>
            </w:r>
            <w:r>
              <w:rPr>
                <w:b/>
              </w:rPr>
              <w:t>289</w:t>
            </w:r>
          </w:p>
        </w:tc>
        <w:tc>
          <w:tcPr>
            <w:tcW w:type="dxa" w:w="1111"/>
          </w:tcPr>
          <w:p>
            <w:pPr>
              <w:pStyle w:val="tablecopy"/>
              <w:spacing w:before="20" w:after="20"/>
              <w:jc w:val="center"/>
            </w:pPr>
            <w:r>
              <w:t>29.94</w:t>
            </w:r>
          </w:p>
        </w:tc>
      </w:tr>
      <w:tr>
        <w:tc>
          <w:tcPr>
            <w:tcW w:type="dxa" w:w="1429"/>
          </w:tcPr>
          <w:p>
            <w:pPr>
              <w:pStyle w:val="tablecopy"/>
              <w:spacing w:before="20" w:after="20"/>
            </w:pPr>
            <w:r>
              <w:t>B-32 ReLU</w:t>
            </w:r>
          </w:p>
        </w:tc>
        <w:tc>
          <w:tcPr>
            <w:tcW w:type="dxa" w:w="1111"/>
          </w:tcPr>
          <w:p>
            <w:pPr>
              <w:pStyle w:val="tablecopy"/>
              <w:spacing w:before="20" w:after="20"/>
              <w:jc w:val="center"/>
            </w:pPr>
            <w:r>
              <w:t>288 / 32</w:t>
            </w:r>
          </w:p>
        </w:tc>
        <w:tc>
          <w:tcPr>
            <w:tcW w:type="dxa" w:w="1111"/>
          </w:tcPr>
          <w:p>
            <w:pPr>
              <w:pStyle w:val="tablecopy"/>
              <w:spacing w:before="20" w:after="20"/>
              <w:jc w:val="center"/>
            </w:pPr>
            <w:r>
              <w:t>288 → 289</w:t>
            </w:r>
          </w:p>
        </w:tc>
        <w:tc>
          <w:tcPr>
            <w:tcW w:type="dxa" w:w="1111"/>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doubling the hidden outputs and pooling them in pairs doubled the parameters for 1% more cycles and denoised better, by max and, in one seed, by mean alike [SEEDS] [AVG]. The quality model beats BM3D on the same input, and the speed model matches it in 2.63× fewer cycles.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Spending what the bottleneck leaves idle also underlies space-to-depth on TPUs [5], speculative decoding in memory-bound LLM inference [21] and memory-driven network design for microcontrollers [22]. Whether P·T/w holds for other input structures is still a prediction; we will measure wider ports and line buffers on the board next. Pooling is free in cycles only: in sparse mode it issued 3.0× the ReLU network's nonzero multiplications. Energy, end-to-end time without the test harness, other noise levels, color images and SSIM are not reported. Code, models, per-image PSNR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