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therefore pay off. A 2×2 space-to-depth input fits a 6.4× larger network in 25% fewer cycles. Doubling the hidden outputs and pooling them in pairs (maxout) doubles the parameters for 1% more cycles; at the same training budget it denoises better than the ReLU network of the same width, and in one seed averaging the pairs did as well, pointing to the free capacity rather than the max [SEEDS] [AVG].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with a mean-pooling control [SEEDS] [AVG];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 (0.44 s of core time).</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(1) matches all four networks within 0.003% (Table II), against 0.4–1.6% without them; the ReLU network, run after they were fixed, was predicted within 0.0014%. All board runs used the sparse mode, which skips multiplications by zero activations; it shortens only the compute term of (1), so input-bound layers take the same cycles.</w:t>
      </w:r>
    </w:p>
    <w:p>
      <w:pPr>
        <w:pStyle w:val="a3"/>
      </w:pPr>
      <w:r>
        <w:rPr>
          <w:b/>
        </w:rPr>
        <w:t>Where the bottleneck comes from.</w:t>
      </w:r>
      <w:r>
        <w:t xml:space="preserve"> One value per cycle is a choice of the AXI-Stream wrapper, which unpacks four 7-bit values per 32-bit beat, made to reuse the CIFAR-10 bitstream unchanged. With w values per cycle, about P·T/w output channels come free (64, 32 and 16 for w = 1, 2, 4). Equation (1) is the dense-mode bound: by it, maxout costs 1.9× the ReLU network already at w = 2; sparse mode, estimated with the measured activation densities, leaves 1.4–1.8× and keeps B ahead of A until w = 4. With on-chip line buffers [7], a window brings only one new pixel, C_in values; by the dense model a hidden layer with K = 288 then costs 145 cycles at COUT = 32 and 289 at COUT = 64, maxout doubles the cost, and the baseline (833 cycles/pixel) becomes faster than network B (1,209), in the sparse estimate too. These are predictions, not measurements, and the rules below hold for this input structure. Host im2col, requantization and pooling take 0.07–0.13 s per image on a 4-core PC; on hidden layers requantization and pooling need fewer operations per window than K and could hide in hardware, while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and more multipliers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would cost, by the cycle model, 934 cycles per pixel, 38% more (it was not trained).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Weights are per-channel symmetric INT8 and activations 7-bit with one scale per map [18], chosen from percentiles on training images. A module that reproduces the board's integer arithmetic in float (rounding, bias units, skip scaling, pooling,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39 runs under UVM 1.2 and 26 under IEEE 1800.2-2020 passed, and all ten injected bugs were caught. Shape coverage was 89–100% on a reduced build and 17–29% on the board build; the denoisers' hidden shapes are among its directed CIFAR-10 shapes, and their first and last layers were verified on the board only. On the board every layer's output is compared value by value with the integer model; every board figure below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Integer PSNR is that of the integer model, which the board reproduces bit for bit; with one training seed,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B-32 rows train for a fixed 120 epochs (seed 1).</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 maxout + QAT</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ReLU + QAT</w:t>
            </w:r>
          </w:p>
        </w:tc>
        <w:tc>
          <w:tcPr>
            <w:tcW w:type="dxa" w:w="1077"/>
          </w:tcPr>
          <w:p>
            <w:pPr>
              <w:pStyle w:val="tablecopy"/>
              <w:spacing w:before="20" w:after="20"/>
              <w:jc w:val="center"/>
            </w:pPr>
            <w:r>
              <w:t>669 board</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29.58 / 29.62</w:t>
            </w:r>
          </w:p>
        </w:tc>
        <w:tc>
          <w:tcPr>
            <w:tcW w:type="dxa" w:w="1417"/>
          </w:tcPr>
          <w:p>
            <w:pPr>
              <w:pStyle w:val="tablecopy"/>
              <w:spacing w:before="20" w:after="20"/>
              <w:jc w:val="center"/>
            </w:pPr>
            <w:r>
              <w:t>28.66 / 28.68</w:t>
            </w:r>
          </w:p>
        </w:tc>
        <w:tc>
          <w:tcPr>
            <w:tcW w:type="dxa" w:w="1644"/>
          </w:tcPr>
          <w:p>
            <w:pPr>
              <w:pStyle w:val="tablecopy"/>
              <w:spacing w:before="20" w:after="20"/>
              <w:jc w:val="center"/>
            </w:pPr>
            <w:r>
              <w:t>0.840 / 0.807</w:t>
            </w:r>
          </w:p>
        </w:tc>
      </w:tr>
      <w:tr>
        <w:tc>
          <w:tcPr>
            <w:tcW w:type="dxa" w:w="2551"/>
          </w:tcPr>
          <w:p>
            <w:pPr>
              <w:pStyle w:val="tablecopy"/>
              <w:spacing w:before="20" w:after="20"/>
            </w:pPr>
            <w:r>
              <w:t>B-32 averaging + QAT [AVG]</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w:t>
            </w:r>
          </w:p>
        </w:tc>
        <w:tc>
          <w:tcPr>
            <w:tcW w:type="dxa" w:w="1417"/>
          </w:tcPr>
          <w:p>
            <w:pPr>
              <w:pStyle w:val="tablecopy"/>
              <w:spacing w:before="20" w:after="20"/>
              <w:jc w:val="center"/>
            </w:pPr>
            <w:r>
              <w:t>—</w:t>
            </w:r>
          </w:p>
        </w:tc>
        <w:tc>
          <w:tcPr>
            <w:tcW w:type="dxa" w:w="1644"/>
          </w:tcPr>
          <w:p>
            <w:pPr>
              <w:pStyle w:val="tablecopy"/>
              <w:spacing w:before="20" w:after="20"/>
              <w:jc w:val="center"/>
            </w:pPr>
            <w:r>
              <w:t>—</w:t>
            </w:r>
          </w:p>
        </w:tc>
      </w:tr>
    </w:tbl>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Fig. 2. Integer PSNR against core cycles per pixel (left Set12, right BSD68). Filled markers are board-measured cycles; B-32 points are seed 1.</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on the same input, +0.14 / +0.40 dB over unclipped BM3D, and +0.29 / +0.22 dB over A on all 80 images, in 1.34× fewer cycles.</w:t>
      </w:r>
    </w:p>
    <w:p>
      <w:pPr>
        <w:pStyle w:val="a3"/>
      </w:pPr>
      <w:r>
        <w:rPr>
          <w:b/>
        </w:rPr>
        <w:t>Speed model.</w:t>
      </w:r>
      <w:r>
        <w:t xml:space="preserve"> B-32 + maxout + QAT needs 2.63× fewer cycles than A and scores 30.00 / 28.94 dB, +0.17 / +0.14 dB above A: level with BM3D on Set12 in PSNR (9/12 images) and SSIM, and +0.57 dB on BSD68 (+0.32 dB unclipped).</w:t>
      </w:r>
    </w:p>
    <w:p>
      <w:pPr>
        <w:pStyle w:val="a3"/>
      </w:pPr>
      <w:r>
        <w:rPr>
          <w:b/>
        </w:rPr>
        <w:t>Free channels against ReLU, and max against mean.</w:t>
      </w:r>
      <w:r>
        <w:t xml:space="preserve"> At the same budget, the maxout network scores +0.37 / +0.26 dB (SSIM +0.011 / +0.011) above the ReLU network on all 80 images for 1.01× the board cycles (seed 1; image-paired standard error 0.04 / 0.02 dB, so the training run is the uncertainty). The averaging control matched maxout (validation +0.02 dB in float [AVG]), so in this seed the max adds nothing beyond the extra outputs. The ReLU run collapsed once, at epoch 26, and its validation-driven schedule halved the rate four times while it recovered; before that the three networks were level, so seeds 2 and 3 decide whether the gap holds and how large it is [SEEDS].</w:t>
      </w:r>
    </w:p>
    <w:p>
      <w:pPr>
        <w:pStyle w:val="a3"/>
      </w:pPr>
      <w:r>
        <w:rPr>
          <w:b/>
        </w:rPr>
        <w:t>Quantization and the same-input reference.</w:t>
      </w:r>
      <w:r>
        <w:t xml:space="preserve"> QAT brought every integer model within 0.04 dB of its float model (maxout had lost 0.16 / 0.14 dB). On the same input DnCNN-S (556k, float) beats our 300k integer model by 0.2 dB on Set12 and in SSIM on both sets (by 0.001 on BSD68); its BSD68 PSNR deficit reflects training on unclipped noise.</w:t>
      </w:r>
    </w:p>
    <w:p>
      <w:pPr>
        <w:pStyle w:val="a3"/>
      </w:pPr>
      <w:r>
        <w:rPr>
          <w:b/>
        </w:rPr>
        <w:t>Board.</w:t>
      </w:r>
      <w:r>
        <w:t xml:space="preserve"> The maxout layers (K = 288, 64 outputs) took 289 cycles per window, exactly as the 32-output layers of A and of the ReLU network: doubling the outputs cost nothing on the board (Table II). Absolute throughput is low: 6.4 GOPS at most at 50 MHz and 0.9–2.3 s of core time per 256×256 image, against 30–38 ms for float PyTorch on a 4-core PC CPU. The JTAG test harness dominates wall-clock time, and the on-chip ARM was not compared; this paper concerns choosing networks for a given core.</w:t>
      </w:r>
    </w:p>
    <w:p>
      <w:pPr>
        <w:pStyle w:val="tablehead"/>
        <w:numPr>
          <w:ilvl w:val="0"/>
          <w:numId w:val="0"/>
        </w:numPr>
      </w:pPr>
      <w:r>
        <w:t>Table II. Board runs (Set12 05.png, 256×256, 50 MHz, no mismatch in any layer). Cycles per window: model → board; B-32 networks with QAT; three earlier versions also matched.</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PSNR</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29.83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30.06</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29.94</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29.54</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paid off: space-to-depth fitted a 6.4× larger network into 25% fewer cycles, and doubling the hidden outputs and pooling them in pairs doubled the parameters for 1% more cycles and denoised better, by max and, in one seed, by mean alike [SEEDS] [AVG].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HALP [12] and DRACO [13], whose fastest network depends on the array size, apply the same logic on TPUs, GPUs and systolic arrays. Whether P·T/w holds for other input structures is a prediction, to be measured next on wider ports and line buffers. Pooling is free in cycles only: in sparse mode it issued 3.0× the ReLU network's nonzero multiplications. Energy, end-to-end time without the test harness, other noise levels and color images are not reported. Code, models, per-image PSNR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