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On our integer CNN core for a Zynq XC7Z020 FPGA (64 multipliers, 7-bit inputs), we show how the measured bottleneck changes the design of a Gaussian denoiser. A cycle model, corrected on earlier board runs and within 0.003% of the board on four networks, shows that this build, fed host-built windows one value per cycle, is bound by its input port: a window of K values costs K cycles for up to 64 output channels, so a DnCNN-style baseline leaves most multipliers idle. Two choices that look wasteful by FLOP count are therefore cheap. A 2×2 space-to-depth input fits a 6.4× larger network in 25% fewer cycles. Doubling the hidden outputs and pooling them in pairs (maxout) doubles the parameters for 1% more cycles. With quantization-aware training that reproduces the board's arithmetic, the quality model reaches 30.12 dB on Set12 (σ = 25), above BM3D on the same input, and the speed model matches BM3D in 2.63× fewer cycles than the baseline; four networks were verified bit for bit on the board, a full image each. The cycle model predicts that with two input values per cycle pooling stops being free, and with four or with line buffers the 6.4× larger network becomes slower than the baseline: the network to choose follows the measured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 Closest to ours, HALP [12] prunes channels to a GPU's measured latency steps, and DRACO [13] reshapes memory-bound networks to fill a fixed systolic array.</w:t>
      </w:r>
    </w:p>
    <w:p>
      <w:pPr>
        <w:pStyle w:val="a3"/>
      </w:pPr>
      <w:r>
        <w:t>We study the same principle at a smaller scale and at cycle level, measured on the board rather than simulated, on an integer CNN core of our own design for a Zynq XC7Z020, a test vehicle, slower than a PC CPU (Section V):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doubled hidden outputs pooled in pairs (maxout), whose hidden layers keep their cycle count on the board, compared with a same-width ReLU network over three seeds and a mean-pooling control over two; 3. integer models, trained with quantization-aware training that reproduces the board's arithmetic, that beat BM3D on the same input, verified bit for bit on the board.</w:t>
      </w:r>
    </w:p>
    <w:p>
      <w:pPr>
        <w:pStyle w:val="a3"/>
      </w:pPr>
      <w:r>
        <w:t>Space-to-depth [14], [5], maxout [15]–[17] and quantization-aware training [18] are known techniques; our claim concerns the reason for choosing them. It holds for an input structure that receives host-built windows; with on-chip line buffers the same model predicts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2736000" cy="1891059"/>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2736000" cy="1891059"/>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51% of the BRAM and, by Vivado's choice in an unrestricted synthesis, no DSP slice. Timing closes at 100 MHz (WNS +0.221 ns); the board runs use the 50 MHz default clock, and a 100 MHz run gave the same cycle count.</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The board showed one cycle more per window (on the CIFAR-10 run and the baseline) and at least COUT cycles per window, as outputs leave one per cycle (settled by B's first layer, K = 36, COUT = 64: 64 cycles). With these two parameter-free corrections, (1) matches all four networks within 0.003% (Table II), against 0.4–1.6% without them; the ReLU network, run after they were fixed, was predicted within 0.0014%. All board runs used the sparse mode, which skips multiplications by zero activations; it shortens only the compute term of (1).</w:t>
      </w:r>
    </w:p>
    <w:p>
      <w:pPr>
        <w:pStyle w:val="a3"/>
      </w:pPr>
      <w:r>
        <w:rPr>
          <w:b/>
        </w:rPr>
        <w:t>Where the bottleneck comes from.</w:t>
      </w:r>
      <w:r>
        <w:t xml:space="preserve"> One value per cycle is a choice of the AXI-Stream wrapper, which unpacks four 7-bit values per 32-bit beat, made to reuse the CIFAR-10 bitstream unchanged. With w values per cycle, about P·T/w output channels come free (64, 32 and 16 for w = 1, 2, 4). Equation (1) is the dense-mode bound: by it, maxout costs 1.9× the ReLU network already at w = 2; sparse mode, estimated with the measured activation densities, leaves 1.4–1.8× and keeps B ahead of A until w = 4. With on-chip line buffers [7], a window brings only one new pixel, C_in values; by the dense model a hidden layer with K = 288 then costs 145 cycles at COUT = 32 and 289 at COUT = 64, maxout doubles the cost, and the baseline (833 cycles/pixel) becomes faster than network B (1,209), in the sparse estimate too. These are predictions, not measurements, and the rules below hold for this input structure. Host im2col, requantization and pooling take 0.07–0.13 s per image on a 4-core PC; on hidden layers requantization and pooling need fewer operations per window than K and could hide in hardware, while im2col would need line buffers.</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more would not make it faster.</w:t>
      </w:r>
    </w:p>
    <w:p>
      <w:pPr>
        <w:pStyle w:val="a3"/>
      </w:pPr>
      <w:r>
        <w:rPr>
          <w:b/>
        </w:rPr>
        <w:t>Space-to-depth (B).</w:t>
      </w:r>
      <w:r>
        <w:t xml:space="preserve"> As in FFDNet [14],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[15] in its Max-Feature-Map form [19].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costs, by the cycle model, 934 cycles per pixel, 38% more. As a control, an averaging network pools each pair by its mean, with the same parameters and cycles. In restoration the benefit of maxout depends on width: it halved the filters at equal quality in super-resolution [16] and was about 0.04 dB below ReLU in a 64-channel space-to-depth denoiser [17].</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B-32 and 45-channel networks train for a fixed 120 epochs, seed 1 on a CPU, seeds 2–3 and the 45-channel network on a GPU. Weights are per-channel symmetric INT8 and activations 7-bit with one scale per map [18], chosen from percentiles on training images. A module that reproduces the board's integer arithmetic in float (rounding, bias units, skip scaling, pooling, 8-bit output) is then fine-tuned for 15 epochs with straight-through gradients and learned scales [20]; its PSNR matches the integer model within 0.001 dB. No checkpoint, learning-rate step or quantization range was chosen on Set12 or BSD68.</w:t>
      </w:r>
    </w:p>
    <w:p>
      <w:pPr>
        <w:pStyle w:val="1"/>
      </w:pPr>
      <w:r>
        <w:t>Verification</w:t>
      </w:r>
    </w:p>
    <w:p>
      <w:pPr>
        <w:pStyle w:val="a3"/>
      </w:pPr>
      <w:r>
        <w:t>The RTL was verified in a UVM [21] environment (protocol agents, a predicting scoreboard, coverage and assertions) on Verilator: 39 runs under UVM 1.2 and 26 under IEEE 1800.2-2020 passed, and all ten injected bugs were caught. Shape coverage was 89–100% on a reduced build and 17–29% on the board build; the denoisers' hidden shapes are among its directed CIFAR-10 shapes, and their first and last layers were verified on the board only. On the board every layer's output is compared value by value with the integer model; every board figure below passed.</w:t>
      </w:r>
    </w:p>
    <w:p>
      <w:pPr>
        <w:pStyle w:val="1"/>
      </w:pPr>
      <w:r>
        <w:t>Results</w:t>
      </w:r>
    </w:p>
    <w:p>
      <w:pPr>
        <w:pStyle w:val="a3"/>
      </w:pPr>
      <w:r>
        <w:rPr>
          <w:b/>
        </w:rPr>
        <w:t>Setup.</w:t>
      </w:r>
      <w:r>
        <w:t xml:space="preserve"> Set12 and BSD68 [22]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SSIM [23] ranks our integer models as PSNR does, except for models under 0.03 dB apart. Integer PSNR is that of the integer model, which the board reproduces bit for bit. Between single-seed networks,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SSIM of the 8-bit output and core cost. Cycles are the corrected model; "board" marks networks whose cycles were measured. "3 seeds" rows are means over seeds 1–3.</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551"/>
        <w:gridCol w:w="1077"/>
        <w:gridCol w:w="680"/>
        <w:gridCol w:w="850"/>
        <w:gridCol w:w="1417"/>
        <w:gridCol w:w="1417"/>
        <w:gridCol w:w="1644"/>
      </w:tblGrid>
      <w:tr>
        <w:tc>
          <w:tcPr>
            <w:tcW w:type="dxa" w:w="2551"/>
          </w:tcPr>
          <w:p>
            <w:pPr>
              <w:pStyle w:val="tablecolhead"/>
              <w:spacing w:before="20" w:after="20"/>
            </w:pPr>
            <w:r>
              <w:t>Model</w:t>
            </w:r>
          </w:p>
        </w:tc>
        <w:tc>
          <w:tcPr>
            <w:tcW w:type="dxa" w:w="1077"/>
          </w:tcPr>
          <w:p>
            <w:pPr>
              <w:pStyle w:val="tablecolhead"/>
              <w:spacing w:before="20" w:after="20"/>
              <w:jc w:val="center"/>
            </w:pPr>
            <w:r>
              <w:t>Cycles/px</w:t>
            </w:r>
          </w:p>
        </w:tc>
        <w:tc>
          <w:tcPr>
            <w:tcW w:type="dxa" w:w="680"/>
          </w:tcPr>
          <w:p>
            <w:pPr>
              <w:pStyle w:val="tablecolhead"/>
              <w:spacing w:before="20" w:after="20"/>
              <w:jc w:val="center"/>
            </w:pPr>
            <w:r>
              <w:t>Util.</w:t>
            </w:r>
          </w:p>
        </w:tc>
        <w:tc>
          <w:tcPr>
            <w:tcW w:type="dxa" w:w="850"/>
          </w:tcPr>
          <w:p>
            <w:pPr>
              <w:pStyle w:val="tablecolhead"/>
              <w:spacing w:before="20" w:after="20"/>
              <w:jc w:val="center"/>
            </w:pPr>
            <w:r>
              <w:t>Params</w:t>
            </w:r>
          </w:p>
        </w:tc>
        <w:tc>
          <w:tcPr>
            <w:tcW w:type="dxa" w:w="1417"/>
          </w:tcPr>
          <w:p>
            <w:pPr>
              <w:pStyle w:val="tablecolhead"/>
              <w:spacing w:before="20" w:after="20"/>
              <w:jc w:val="center"/>
            </w:pPr>
            <w:r>
              <w:t>Set12 float / int</w:t>
            </w:r>
          </w:p>
        </w:tc>
        <w:tc>
          <w:tcPr>
            <w:tcW w:type="dxa" w:w="1417"/>
          </w:tcPr>
          <w:p>
            <w:pPr>
              <w:pStyle w:val="tablecolhead"/>
              <w:spacing w:before="20" w:after="20"/>
              <w:jc w:val="center"/>
            </w:pPr>
            <w:r>
              <w:t>BSD68 float / int</w:t>
            </w:r>
          </w:p>
        </w:tc>
        <w:tc>
          <w:tcPr>
            <w:tcW w:type="dxa" w:w="1644"/>
          </w:tcPr>
          <w:p>
            <w:pPr>
              <w:pStyle w:val="tablecolhead"/>
              <w:spacing w:before="20" w:after="20"/>
              <w:jc w:val="center"/>
            </w:pPr>
            <w:r>
              <w:t>SSIM Set12 / BSD68</w:t>
            </w:r>
          </w:p>
        </w:tc>
      </w:tr>
      <w:tr>
        <w:tc>
          <w:tcPr>
            <w:tcW w:type="dxa" w:w="2551"/>
          </w:tcPr>
          <w:p>
            <w:pPr>
              <w:pStyle w:val="tablecopy"/>
              <w:spacing w:before="20" w:after="20"/>
            </w:pPr>
            <w:r>
              <w:t>BM3D [2], clipped input</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29.95</w:t>
            </w:r>
          </w:p>
        </w:tc>
        <w:tc>
          <w:tcPr>
            <w:tcW w:type="dxa" w:w="1417"/>
          </w:tcPr>
          <w:p>
            <w:pPr>
              <w:pStyle w:val="tablecopy"/>
              <w:spacing w:before="20" w:after="20"/>
              <w:jc w:val="center"/>
            </w:pPr>
            <w:r>
              <w:t>28.37</w:t>
            </w:r>
          </w:p>
        </w:tc>
        <w:tc>
          <w:tcPr>
            <w:tcW w:type="dxa" w:w="1644"/>
          </w:tcPr>
          <w:p>
            <w:pPr>
              <w:pStyle w:val="tablecopy"/>
              <w:spacing w:before="20" w:after="20"/>
              <w:jc w:val="center"/>
            </w:pPr>
            <w:r>
              <w:t>0.850 / 0.799</w:t>
            </w:r>
          </w:p>
        </w:tc>
      </w:tr>
      <w:tr>
        <w:tc>
          <w:tcPr>
            <w:tcW w:type="dxa" w:w="2551"/>
          </w:tcPr>
          <w:p>
            <w:pPr>
              <w:pStyle w:val="tablecopy"/>
              <w:spacing w:before="20" w:after="20"/>
            </w:pPr>
            <w:r>
              <w:t>BM3D, unclipped</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29.98</w:t>
            </w:r>
          </w:p>
        </w:tc>
        <w:tc>
          <w:tcPr>
            <w:tcW w:type="dxa" w:w="1417"/>
          </w:tcPr>
          <w:p>
            <w:pPr>
              <w:pStyle w:val="tablecopy"/>
              <w:spacing w:before="20" w:after="20"/>
              <w:jc w:val="center"/>
            </w:pPr>
            <w:r>
              <w:t>28.62</w:t>
            </w:r>
          </w:p>
        </w:tc>
        <w:tc>
          <w:tcPr>
            <w:tcW w:type="dxa" w:w="1644"/>
          </w:tcPr>
          <w:p>
            <w:pPr>
              <w:pStyle w:val="tablecopy"/>
              <w:spacing w:before="20" w:after="20"/>
              <w:jc w:val="center"/>
            </w:pPr>
            <w:r>
              <w:t>0.851 / 0.804</w:t>
            </w:r>
          </w:p>
        </w:tc>
      </w:tr>
      <w:tr>
        <w:tc>
          <w:tcPr>
            <w:tcW w:type="dxa" w:w="2551"/>
          </w:tcPr>
          <w:p>
            <w:pPr>
              <w:pStyle w:val="tablecopy"/>
              <w:spacing w:before="20" w:after="20"/>
            </w:pPr>
            <w:r>
              <w:t>DnCNN-S [1], same input</w:t>
            </w:r>
          </w:p>
        </w:tc>
        <w:tc>
          <w:tcPr>
            <w:tcW w:type="dxa" w:w="1077"/>
          </w:tcPr>
          <w:p>
            <w:pPr>
              <w:pStyle w:val="tablecopy"/>
              <w:spacing w:before="20" w:after="20"/>
              <w:jc w:val="center"/>
            </w:pPr>
            <w:r>
              <w:t>9.3k</w:t>
            </w:r>
          </w:p>
        </w:tc>
        <w:tc>
          <w:tcPr>
            <w:tcW w:type="dxa" w:w="680"/>
          </w:tcPr>
          <w:p>
            <w:pPr>
              <w:pStyle w:val="tablecopy"/>
              <w:spacing w:before="20" w:after="20"/>
              <w:jc w:val="center"/>
            </w:pPr>
            <w:r>
              <w:t>—</w:t>
            </w:r>
          </w:p>
        </w:tc>
        <w:tc>
          <w:tcPr>
            <w:tcW w:type="dxa" w:w="850"/>
          </w:tcPr>
          <w:p>
            <w:pPr>
              <w:pStyle w:val="tablecopy"/>
              <w:spacing w:before="20" w:after="20"/>
              <w:jc w:val="center"/>
            </w:pPr>
            <w:r>
              <w:t>556k</w:t>
            </w:r>
          </w:p>
        </w:tc>
        <w:tc>
          <w:tcPr>
            <w:tcW w:type="dxa" w:w="1417"/>
          </w:tcPr>
          <w:p>
            <w:pPr>
              <w:pStyle w:val="tablecopy"/>
              <w:spacing w:before="20" w:after="20"/>
              <w:jc w:val="center"/>
            </w:pPr>
            <w:r>
              <w:t>30.35</w:t>
            </w:r>
          </w:p>
        </w:tc>
        <w:tc>
          <w:tcPr>
            <w:tcW w:type="dxa" w:w="1417"/>
          </w:tcPr>
          <w:p>
            <w:pPr>
              <w:pStyle w:val="tablecopy"/>
              <w:spacing w:before="20" w:after="20"/>
              <w:jc w:val="center"/>
            </w:pPr>
            <w:r>
              <w:t>28.89</w:t>
            </w:r>
          </w:p>
        </w:tc>
        <w:tc>
          <w:tcPr>
            <w:tcW w:type="dxa" w:w="1644"/>
          </w:tcPr>
          <w:p>
            <w:pPr>
              <w:pStyle w:val="tablecopy"/>
              <w:spacing w:before="20" w:after="20"/>
              <w:jc w:val="center"/>
            </w:pPr>
            <w:r>
              <w:t>0.859 / 0.822</w:t>
            </w:r>
          </w:p>
        </w:tc>
      </w:tr>
      <w:tr>
        <w:tc>
          <w:tcPr>
            <w:tcW w:type="dxa" w:w="2551"/>
          </w:tcPr>
          <w:p>
            <w:pPr>
              <w:pStyle w:val="tablecopy"/>
              <w:spacing w:before="20" w:after="20"/>
            </w:pPr>
            <w:r>
              <w:t>A: 7 × 32</w:t>
            </w:r>
          </w:p>
        </w:tc>
        <w:tc>
          <w:tcPr>
            <w:tcW w:type="dxa" w:w="1077"/>
          </w:tcPr>
          <w:p>
            <w:pPr>
              <w:pStyle w:val="tablecopy"/>
              <w:spacing w:before="20" w:after="20"/>
              <w:jc w:val="center"/>
            </w:pPr>
            <w:r>
              <w:t>1,775 board</w:t>
            </w:r>
          </w:p>
        </w:tc>
        <w:tc>
          <w:tcPr>
            <w:tcW w:type="dxa" w:w="680"/>
          </w:tcPr>
          <w:p>
            <w:pPr>
              <w:pStyle w:val="tablecopy"/>
              <w:spacing w:before="20" w:after="20"/>
              <w:jc w:val="center"/>
            </w:pPr>
            <w:r>
              <w:t>41%</w:t>
            </w:r>
          </w:p>
        </w:tc>
        <w:tc>
          <w:tcPr>
            <w:tcW w:type="dxa" w:w="850"/>
          </w:tcPr>
          <w:p>
            <w:pPr>
              <w:pStyle w:val="tablecopy"/>
              <w:spacing w:before="20" w:after="20"/>
              <w:jc w:val="center"/>
            </w:pPr>
            <w:r>
              <w:t>47k</w:t>
            </w:r>
          </w:p>
        </w:tc>
        <w:tc>
          <w:tcPr>
            <w:tcW w:type="dxa" w:w="1417"/>
          </w:tcPr>
          <w:p>
            <w:pPr>
              <w:pStyle w:val="tablecopy"/>
              <w:spacing w:before="20" w:after="20"/>
              <w:jc w:val="center"/>
            </w:pPr>
            <w:r>
              <w:t>29.87 / 29.83</w:t>
            </w:r>
          </w:p>
        </w:tc>
        <w:tc>
          <w:tcPr>
            <w:tcW w:type="dxa" w:w="1417"/>
          </w:tcPr>
          <w:p>
            <w:pPr>
              <w:pStyle w:val="tablecopy"/>
              <w:spacing w:before="20" w:after="20"/>
              <w:jc w:val="center"/>
            </w:pPr>
            <w:r>
              <w:t>28.83 / 28.80</w:t>
            </w:r>
          </w:p>
        </w:tc>
        <w:tc>
          <w:tcPr>
            <w:tcW w:type="dxa" w:w="1644"/>
          </w:tcPr>
          <w:p>
            <w:pPr>
              <w:pStyle w:val="tablecopy"/>
              <w:spacing w:before="20" w:after="20"/>
              <w:jc w:val="center"/>
            </w:pPr>
            <w:r>
              <w:t>0.842 / 0.809</w:t>
            </w:r>
          </w:p>
        </w:tc>
      </w:tr>
      <w:tr>
        <w:tc>
          <w:tcPr>
            <w:tcW w:type="dxa" w:w="2551"/>
          </w:tcPr>
          <w:p>
            <w:pPr>
              <w:pStyle w:val="tablecopy"/>
              <w:spacing w:before="20" w:after="20"/>
            </w:pPr>
            <w:r>
              <w:rPr>
                <w:b/>
              </w:rPr>
              <w:t>B + QAT: s2d, 10 × 64</w:t>
            </w:r>
          </w:p>
        </w:tc>
        <w:tc>
          <w:tcPr>
            <w:tcW w:type="dxa" w:w="1077"/>
          </w:tcPr>
          <w:p>
            <w:pPr>
              <w:pStyle w:val="tablecopy"/>
              <w:spacing w:before="20" w:after="20"/>
              <w:jc w:val="center"/>
            </w:pPr>
            <w:r>
              <w:t>1,323 board</w:t>
            </w:r>
          </w:p>
        </w:tc>
        <w:tc>
          <w:tcPr>
            <w:tcW w:type="dxa" w:w="680"/>
          </w:tcPr>
          <w:p>
            <w:pPr>
              <w:pStyle w:val="tablecopy"/>
              <w:spacing w:before="20" w:after="20"/>
              <w:jc w:val="center"/>
            </w:pPr>
            <w:r>
              <w:t>88%</w:t>
            </w:r>
          </w:p>
        </w:tc>
        <w:tc>
          <w:tcPr>
            <w:tcW w:type="dxa" w:w="850"/>
          </w:tcPr>
          <w:p>
            <w:pPr>
              <w:pStyle w:val="tablecopy"/>
              <w:spacing w:before="20" w:after="20"/>
              <w:jc w:val="center"/>
            </w:pPr>
            <w:r>
              <w:t>300k</w:t>
            </w:r>
          </w:p>
        </w:tc>
        <w:tc>
          <w:tcPr>
            <w:tcW w:type="dxa" w:w="1417"/>
          </w:tcPr>
          <w:p>
            <w:pPr>
              <w:pStyle w:val="tablecopy"/>
              <w:spacing w:before="20" w:after="20"/>
              <w:jc w:val="center"/>
            </w:pPr>
            <w:r>
              <w:t xml:space="preserve">30.13 / </w:t>
            </w:r>
            <w:r>
              <w:rPr>
                <w:b/>
              </w:rPr>
              <w:t>30.12</w:t>
            </w:r>
          </w:p>
        </w:tc>
        <w:tc>
          <w:tcPr>
            <w:tcW w:type="dxa" w:w="1417"/>
          </w:tcPr>
          <w:p>
            <w:pPr>
              <w:pStyle w:val="tablecopy"/>
              <w:spacing w:before="20" w:after="20"/>
              <w:jc w:val="center"/>
            </w:pPr>
            <w:r>
              <w:t xml:space="preserve">29.01 / </w:t>
            </w:r>
            <w:r>
              <w:rPr>
                <w:b/>
              </w:rPr>
              <w:t>29.02</w:t>
            </w:r>
          </w:p>
        </w:tc>
        <w:tc>
          <w:tcPr>
            <w:tcW w:type="dxa" w:w="1644"/>
          </w:tcPr>
          <w:p>
            <w:pPr>
              <w:pStyle w:val="tablecopy"/>
              <w:spacing w:before="20" w:after="20"/>
              <w:jc w:val="center"/>
            </w:pPr>
            <w:r>
              <w:rPr>
                <w:b/>
              </w:rPr>
              <w:t>0.855</w:t>
            </w:r>
            <w:r>
              <w:t xml:space="preserve"> / </w:t>
            </w:r>
            <w:r>
              <w:rPr>
                <w:b/>
              </w:rPr>
              <w:t>0.821</w:t>
            </w:r>
          </w:p>
        </w:tc>
      </w:tr>
      <w:tr>
        <w:tc>
          <w:tcPr>
            <w:tcW w:type="dxa" w:w="2551"/>
          </w:tcPr>
          <w:p>
            <w:pPr>
              <w:pStyle w:val="tablecopy"/>
              <w:spacing w:before="20" w:after="20"/>
            </w:pPr>
            <w:r>
              <w:rPr>
                <w:b/>
              </w:rPr>
              <w:t>B-32 maxout + QAT</w:t>
            </w:r>
            <w:r>
              <w:t>, seed 1</w:t>
            </w:r>
          </w:p>
        </w:tc>
        <w:tc>
          <w:tcPr>
            <w:tcW w:type="dxa" w:w="1077"/>
          </w:tcPr>
          <w:p>
            <w:pPr>
              <w:pStyle w:val="tablecopy"/>
              <w:spacing w:before="20" w:after="20"/>
              <w:jc w:val="center"/>
            </w:pPr>
            <w:r>
              <w:t>675 board</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 xml:space="preserve">30.00 / </w:t>
            </w:r>
            <w:r>
              <w:rPr>
                <w:b/>
              </w:rPr>
              <w:t>30.00</w:t>
            </w:r>
          </w:p>
        </w:tc>
        <w:tc>
          <w:tcPr>
            <w:tcW w:type="dxa" w:w="1417"/>
          </w:tcPr>
          <w:p>
            <w:pPr>
              <w:pStyle w:val="tablecopy"/>
              <w:spacing w:before="20" w:after="20"/>
              <w:jc w:val="center"/>
            </w:pPr>
            <w:r>
              <w:t xml:space="preserve">28.95 / </w:t>
            </w:r>
            <w:r>
              <w:rPr>
                <w:b/>
              </w:rPr>
              <w:t>28.94</w:t>
            </w:r>
          </w:p>
        </w:tc>
        <w:tc>
          <w:tcPr>
            <w:tcW w:type="dxa" w:w="1644"/>
          </w:tcPr>
          <w:p>
            <w:pPr>
              <w:pStyle w:val="tablecopy"/>
              <w:spacing w:before="20" w:after="20"/>
              <w:jc w:val="center"/>
            </w:pPr>
            <w:r>
              <w:rPr>
                <w:b/>
              </w:rPr>
              <w:t>0.851</w:t>
            </w:r>
            <w:r>
              <w:t xml:space="preserve"> / </w:t>
            </w:r>
            <w:r>
              <w:rPr>
                <w:b/>
              </w:rPr>
              <w:t>0.817</w:t>
            </w:r>
          </w:p>
        </w:tc>
      </w:tr>
      <w:tr>
        <w:tc>
          <w:tcPr>
            <w:tcW w:type="dxa" w:w="2551"/>
          </w:tcPr>
          <w:p>
            <w:pPr>
              <w:pStyle w:val="tablecopy"/>
              <w:spacing w:before="20" w:after="20"/>
            </w:pPr>
            <w:r>
              <w:t>B-32 maxout + QAT, 3 seeds</w:t>
            </w:r>
          </w:p>
        </w:tc>
        <w:tc>
          <w:tcPr>
            <w:tcW w:type="dxa" w:w="1077"/>
          </w:tcPr>
          <w:p>
            <w:pPr>
              <w:pStyle w:val="tablecopy"/>
              <w:spacing w:before="20" w:after="20"/>
              <w:jc w:val="center"/>
            </w:pPr>
            <w:r>
              <w:t>675</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29.98 / 29.97</w:t>
            </w:r>
          </w:p>
        </w:tc>
        <w:tc>
          <w:tcPr>
            <w:tcW w:type="dxa" w:w="1417"/>
          </w:tcPr>
          <w:p>
            <w:pPr>
              <w:pStyle w:val="tablecopy"/>
              <w:spacing w:before="20" w:after="20"/>
              <w:jc w:val="center"/>
            </w:pPr>
            <w:r>
              <w:t>28.93 / 28.92</w:t>
            </w:r>
          </w:p>
        </w:tc>
        <w:tc>
          <w:tcPr>
            <w:tcW w:type="dxa" w:w="1644"/>
          </w:tcPr>
          <w:p>
            <w:pPr>
              <w:pStyle w:val="tablecopy"/>
              <w:spacing w:before="20" w:after="20"/>
              <w:jc w:val="center"/>
            </w:pPr>
            <w:r>
              <w:t>0.850 / 0.816</w:t>
            </w:r>
          </w:p>
        </w:tc>
      </w:tr>
      <w:tr>
        <w:tc>
          <w:tcPr>
            <w:tcW w:type="dxa" w:w="2551"/>
          </w:tcPr>
          <w:p>
            <w:pPr>
              <w:pStyle w:val="tablecopy"/>
              <w:spacing w:before="20" w:after="20"/>
            </w:pPr>
            <w:r>
              <w:t>B-32 ReLU + QAT, 3 seeds</w:t>
            </w:r>
          </w:p>
        </w:tc>
        <w:tc>
          <w:tcPr>
            <w:tcW w:type="dxa" w:w="1077"/>
          </w:tcPr>
          <w:p>
            <w:pPr>
              <w:pStyle w:val="tablecopy"/>
              <w:spacing w:before="20" w:after="20"/>
              <w:jc w:val="center"/>
            </w:pPr>
            <w:r>
              <w:t>669</w:t>
            </w:r>
          </w:p>
        </w:tc>
        <w:tc>
          <w:tcPr>
            <w:tcW w:type="dxa" w:w="680"/>
          </w:tcPr>
          <w:p>
            <w:pPr>
              <w:pStyle w:val="tablecopy"/>
              <w:spacing w:before="20" w:after="20"/>
              <w:jc w:val="center"/>
            </w:pPr>
            <w:r>
              <w:t>45%</w:t>
            </w:r>
          </w:p>
        </w:tc>
        <w:tc>
          <w:tcPr>
            <w:tcW w:type="dxa" w:w="850"/>
          </w:tcPr>
          <w:p>
            <w:pPr>
              <w:pStyle w:val="tablecopy"/>
              <w:spacing w:before="20" w:after="20"/>
              <w:jc w:val="center"/>
            </w:pPr>
            <w:r>
              <w:t>76k</w:t>
            </w:r>
          </w:p>
        </w:tc>
        <w:tc>
          <w:tcPr>
            <w:tcW w:type="dxa" w:w="1417"/>
          </w:tcPr>
          <w:p>
            <w:pPr>
              <w:pStyle w:val="tablecopy"/>
              <w:spacing w:before="20" w:after="20"/>
              <w:jc w:val="center"/>
            </w:pPr>
            <w:r>
              <w:t>29.79 / 29.82</w:t>
            </w:r>
          </w:p>
        </w:tc>
        <w:tc>
          <w:tcPr>
            <w:tcW w:type="dxa" w:w="1417"/>
          </w:tcPr>
          <w:p>
            <w:pPr>
              <w:pStyle w:val="tablecopy"/>
              <w:spacing w:before="20" w:after="20"/>
              <w:jc w:val="center"/>
            </w:pPr>
            <w:r>
              <w:t>28.81 / 28.82</w:t>
            </w:r>
          </w:p>
        </w:tc>
        <w:tc>
          <w:tcPr>
            <w:tcW w:type="dxa" w:w="1644"/>
          </w:tcPr>
          <w:p>
            <w:pPr>
              <w:pStyle w:val="tablecopy"/>
              <w:spacing w:before="20" w:after="20"/>
              <w:jc w:val="center"/>
            </w:pPr>
            <w:r>
              <w:t>0.846 / 0.812</w:t>
            </w:r>
          </w:p>
        </w:tc>
      </w:tr>
      <w:tr>
        <w:tc>
          <w:tcPr>
            <w:tcW w:type="dxa" w:w="2551"/>
          </w:tcPr>
          <w:p>
            <w:pPr>
              <w:pStyle w:val="tablecopy"/>
              <w:spacing w:before="20" w:after="20"/>
            </w:pPr>
            <w:r>
              <w:t>10 × 45 ReLU + QAT (s2d)</w:t>
            </w:r>
          </w:p>
        </w:tc>
        <w:tc>
          <w:tcPr>
            <w:tcW w:type="dxa" w:w="1077"/>
          </w:tcPr>
          <w:p>
            <w:pPr>
              <w:pStyle w:val="tablecopy"/>
              <w:spacing w:before="20" w:after="20"/>
              <w:jc w:val="center"/>
            </w:pPr>
            <w:r>
              <w:t>934</w:t>
            </w:r>
          </w:p>
        </w:tc>
        <w:tc>
          <w:tcPr>
            <w:tcW w:type="dxa" w:w="680"/>
          </w:tcPr>
          <w:p>
            <w:pPr>
              <w:pStyle w:val="tablecopy"/>
              <w:spacing w:before="20" w:after="20"/>
              <w:jc w:val="center"/>
            </w:pPr>
            <w:r>
              <w:t>62%</w:t>
            </w:r>
          </w:p>
        </w:tc>
        <w:tc>
          <w:tcPr>
            <w:tcW w:type="dxa" w:w="850"/>
          </w:tcPr>
          <w:p>
            <w:pPr>
              <w:pStyle w:val="tablecopy"/>
              <w:spacing w:before="20" w:after="20"/>
              <w:jc w:val="center"/>
            </w:pPr>
            <w:r>
              <w:t>150k</w:t>
            </w:r>
          </w:p>
        </w:tc>
        <w:tc>
          <w:tcPr>
            <w:tcW w:type="dxa" w:w="1417"/>
          </w:tcPr>
          <w:p>
            <w:pPr>
              <w:pStyle w:val="tablecopy"/>
              <w:spacing w:before="20" w:after="20"/>
              <w:jc w:val="center"/>
            </w:pPr>
            <w:r>
              <w:t>30.07 / 30.05</w:t>
            </w:r>
          </w:p>
        </w:tc>
        <w:tc>
          <w:tcPr>
            <w:tcW w:type="dxa" w:w="1417"/>
          </w:tcPr>
          <w:p>
            <w:pPr>
              <w:pStyle w:val="tablecopy"/>
              <w:spacing w:before="20" w:after="20"/>
              <w:jc w:val="center"/>
            </w:pPr>
            <w:r>
              <w:t>28.98 / 28.97</w:t>
            </w:r>
          </w:p>
        </w:tc>
        <w:tc>
          <w:tcPr>
            <w:tcW w:type="dxa" w:w="1644"/>
          </w:tcPr>
          <w:p>
            <w:pPr>
              <w:pStyle w:val="tablecopy"/>
              <w:spacing w:before="20" w:after="20"/>
              <w:jc w:val="center"/>
            </w:pPr>
            <w:r>
              <w:t>0.852 / 0.817</w:t>
            </w:r>
          </w:p>
        </w:tc>
      </w:tr>
    </w:tbl>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Fig. 2. Integer PSNR against core cycles per pixel (left Set12, right BSD68). Filled: board-measured cycles. B-32: three seeds each, drawn apart in x.</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on the same input, +0.14 / +0.40 dB over unclipped BM3D, and +0.29 / +0.22 dB over A on all 80 images, in 1.34× fewer cycles.</w:t>
      </w:r>
    </w:p>
    <w:p>
      <w:pPr>
        <w:pStyle w:val="a3"/>
      </w:pPr>
      <w:r>
        <w:rPr>
          <w:b/>
        </w:rPr>
        <w:t>Speed model.</w:t>
      </w:r>
      <w:r>
        <w:t xml:space="preserve"> B-32 + maxout + QAT (seed 1) needs 2.63× fewer cycles than A and scores 30.00 / 28.94 dB, +0.17 / +0.14 dB above A: level with BM3D on Set12 in PSNR (9/12 images) and SSIM, and +0.57 dB on BSD68 (+0.32 dB unclipped). Without pooling, B-32 matches A on average (29.82 / 28.82 dB) in 2.66× fewer cycles.</w:t>
      </w:r>
    </w:p>
    <w:p>
      <w:pPr>
        <w:pStyle w:val="a3"/>
      </w:pPr>
      <w:r>
        <w:rPr>
          <w:b/>
        </w:rPr>
        <w:t>Free channels against ReLU, and max against mean.</w:t>
      </w:r>
      <w:r>
        <w:t xml:space="preserve"> Over three seeds maxout averages +0.15 / +0.10 dB above the same-width ReLU network for 1.01× the board cycles, but the seeds disagree (+0.37 / +0.26, −0.03 / −0.02 and +0.10 / +0.07 dB; image-paired standard errors ≤ 0.04 dB), so by the rule fixed before seeds 2 and 3 (every maxout seed above every ReLU seed) we do not claim that pooling denoises better. Seed 1's gap was inflated by a collapse of its ReLU run; such collapses hit four of the nine 120-epoch runs, of every kind. The 45-channel ReLU network, with maxout's parameter count, scored 30.05 / 28.97 dB (one seed), above all six 32-channel runs, for 1.38× the cycles. Averaging the pairs was within 0.1 dB of maxout in seed 2 (integer) and in seed 1's float validation and Set12 PSNR.</w:t>
      </w:r>
    </w:p>
    <w:p>
      <w:pPr>
        <w:pStyle w:val="a3"/>
      </w:pPr>
      <w:r>
        <w:rPr>
          <w:b/>
        </w:rPr>
        <w:t>Quantization and the same-input reference.</w:t>
      </w:r>
      <w:r>
        <w:t xml:space="preserve"> QAT brought every ReLU and maxout model within 0.04 dB of its float version; before it they had lost up to 0.25 dB. On the same input DnCNN-S (556k, float) beats our 300k integer model by 0.2 dB on Set12 and in SSIM on both sets (by 0.001 on BSD68); its BSD68 PSNR deficit reflects training on unclipped noise.</w:t>
      </w:r>
    </w:p>
    <w:p>
      <w:pPr>
        <w:pStyle w:val="a3"/>
      </w:pPr>
      <w:r>
        <w:rPr>
          <w:b/>
        </w:rPr>
        <w:t>Board.</w:t>
      </w:r>
      <w:r>
        <w:t xml:space="preserve"> The maxout layers (K = 288, 64 outputs) took 289 cycles per window, exactly as the 32-output layers of A and of the ReLU network: doubling the outputs cost nothing on the board (Table II). Absolute throughput is low: 6.4 GOPS at most at 50 MHz and 0.9–2.3 s of core time per 256×256 image, against 30–38 ms for float PyTorch on a 4-core PC CPU. The JTAG test harness dominates wall-clock time, and the on-chip ARM was not compared.</w:t>
      </w:r>
    </w:p>
    <w:p>
      <w:pPr>
        <w:pStyle w:val="tablehead"/>
        <w:numPr>
          <w:ilvl w:val="0"/>
          <w:numId w:val="0"/>
        </w:numPr>
      </w:pPr>
      <w:r>
        <w:t>Table II. Board runs (Set12 05.png, 256×256, 50 MHz, no mismatch in any layer). Cycles per window: model → board; B-32 networks with QAT; three earlier versions also matched.</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91"/>
        <w:gridCol w:w="1587"/>
        <w:gridCol w:w="1247"/>
        <w:gridCol w:w="737"/>
      </w:tblGrid>
      <w:tr>
        <w:tc>
          <w:tcPr>
            <w:tcW w:type="dxa" w:w="1191"/>
          </w:tcPr>
          <w:p>
            <w:pPr>
              <w:pStyle w:val="tablecolhead"/>
              <w:spacing w:before="20" w:after="20"/>
            </w:pPr>
            <w:r>
              <w:t>Model</w:t>
            </w:r>
          </w:p>
        </w:tc>
        <w:tc>
          <w:tcPr>
            <w:tcW w:type="dxa" w:w="1587"/>
          </w:tcPr>
          <w:p>
            <w:pPr>
              <w:pStyle w:val="tablecolhead"/>
              <w:spacing w:before="20" w:after="20"/>
              <w:jc w:val="center"/>
            </w:pPr>
            <w:r>
              <w:t>Hidden K / COUT</w:t>
            </w:r>
          </w:p>
        </w:tc>
        <w:tc>
          <w:tcPr>
            <w:tcW w:type="dxa" w:w="1247"/>
          </w:tcPr>
          <w:p>
            <w:pPr>
              <w:pStyle w:val="tablecolhead"/>
              <w:spacing w:before="20" w:after="20"/>
              <w:jc w:val="center"/>
            </w:pPr>
            <w:r>
              <w:t>Cycles/window</w:t>
            </w:r>
          </w:p>
        </w:tc>
        <w:tc>
          <w:tcPr>
            <w:tcW w:type="dxa" w:w="737"/>
          </w:tcPr>
          <w:p>
            <w:pPr>
              <w:pStyle w:val="tablecolhead"/>
              <w:spacing w:before="20" w:after="20"/>
              <w:jc w:val="center"/>
            </w:pPr>
            <w:r>
              <w:t>PSNR</w:t>
            </w:r>
          </w:p>
        </w:tc>
      </w:tr>
      <w:tr>
        <w:tc>
          <w:tcPr>
            <w:tcW w:type="dxa" w:w="1191"/>
          </w:tcPr>
          <w:p>
            <w:pPr>
              <w:pStyle w:val="tablecopy"/>
              <w:spacing w:before="20" w:after="20"/>
            </w:pPr>
            <w:r>
              <w:t>A</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29.83</w:t>
            </w:r>
          </w:p>
        </w:tc>
      </w:tr>
      <w:tr>
        <w:tc>
          <w:tcPr>
            <w:tcW w:type="dxa" w:w="1191"/>
          </w:tcPr>
          <w:p>
            <w:pPr>
              <w:pStyle w:val="tablecopy"/>
              <w:spacing w:before="20" w:after="20"/>
            </w:pPr>
            <w:r>
              <w:t>B + QAT</w:t>
            </w:r>
          </w:p>
        </w:tc>
        <w:tc>
          <w:tcPr>
            <w:tcW w:type="dxa" w:w="1587"/>
          </w:tcPr>
          <w:p>
            <w:pPr>
              <w:pStyle w:val="tablecopy"/>
              <w:spacing w:before="20" w:after="20"/>
              <w:jc w:val="center"/>
            </w:pPr>
            <w:r>
              <w:t>576 / 64</w:t>
            </w:r>
          </w:p>
        </w:tc>
        <w:tc>
          <w:tcPr>
            <w:tcW w:type="dxa" w:w="1247"/>
          </w:tcPr>
          <w:p>
            <w:pPr>
              <w:pStyle w:val="tablecopy"/>
              <w:spacing w:before="20" w:after="20"/>
              <w:jc w:val="center"/>
            </w:pPr>
            <w:r>
              <w:t>576 → 577</w:t>
            </w:r>
          </w:p>
        </w:tc>
        <w:tc>
          <w:tcPr>
            <w:tcW w:type="dxa" w:w="737"/>
          </w:tcPr>
          <w:p>
            <w:pPr>
              <w:pStyle w:val="tablecopy"/>
              <w:spacing w:before="20" w:after="20"/>
              <w:jc w:val="center"/>
            </w:pPr>
            <w:r>
              <w:t>30.06</w:t>
            </w:r>
          </w:p>
        </w:tc>
      </w:tr>
      <w:tr>
        <w:tc>
          <w:tcPr>
            <w:tcW w:type="dxa" w:w="1191"/>
          </w:tcPr>
          <w:p>
            <w:pPr>
              <w:pStyle w:val="tablecopy"/>
              <w:spacing w:before="20" w:after="20"/>
            </w:pPr>
            <w:r>
              <w:t>B-32 maxout</w:t>
            </w:r>
          </w:p>
        </w:tc>
        <w:tc>
          <w:tcPr>
            <w:tcW w:type="dxa" w:w="1587"/>
          </w:tcPr>
          <w:p>
            <w:pPr>
              <w:pStyle w:val="tablecopy"/>
              <w:spacing w:before="20" w:after="20"/>
              <w:jc w:val="center"/>
            </w:pPr>
            <w:r>
              <w:t xml:space="preserve">288 / </w:t>
            </w:r>
            <w:r>
              <w:rPr>
                <w:b/>
              </w:rPr>
              <w:t>64</w:t>
            </w:r>
          </w:p>
        </w:tc>
        <w:tc>
          <w:tcPr>
            <w:tcW w:type="dxa" w:w="1247"/>
          </w:tcPr>
          <w:p>
            <w:pPr>
              <w:pStyle w:val="tablecopy"/>
              <w:spacing w:before="20" w:after="20"/>
              <w:jc w:val="center"/>
            </w:pPr>
            <w:r>
              <w:t xml:space="preserve">288 → </w:t>
            </w:r>
            <w:r>
              <w:rPr>
                <w:b/>
              </w:rPr>
              <w:t>289</w:t>
            </w:r>
          </w:p>
        </w:tc>
        <w:tc>
          <w:tcPr>
            <w:tcW w:type="dxa" w:w="737"/>
          </w:tcPr>
          <w:p>
            <w:pPr>
              <w:pStyle w:val="tablecopy"/>
              <w:spacing w:before="20" w:after="20"/>
              <w:jc w:val="center"/>
            </w:pPr>
            <w:r>
              <w:t>29.94</w:t>
            </w:r>
          </w:p>
        </w:tc>
      </w:tr>
      <w:tr>
        <w:tc>
          <w:tcPr>
            <w:tcW w:type="dxa" w:w="1191"/>
          </w:tcPr>
          <w:p>
            <w:pPr>
              <w:pStyle w:val="tablecopy"/>
              <w:spacing w:before="20" w:after="20"/>
            </w:pPr>
            <w:r>
              <w:t>B-32 ReLU</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29.54</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became cheap: space-to-depth fitted a 6.4× larger network into 25% fewer cycles, and doubling the hidden outputs and pooling them in pairs doubled the parameters for 1% more cycles, though its gain over the same-width ReLU network did not hold in every seed. These rules belong to an input structure fed by host-built windows, but the test behind them should carry over: by the cycle model about P·T/w output channels are free, so pooling 64 outputs would again be free on a core of this organization with 256 multipliers fed four values per cycle, and would not be on this core at two. EfficientNet-X [5], HALP [12] and DRACO [13], whose fastest network depends on the array size, apply the same logic on TPUs, GPUs and systolic arrays. Whether P·T/w holds for other input structures is a prediction, to be measured next on wider ports and line buffers. Pooling is free in cycles only: in sparse mode it issued 3.0× the ReLU network's nonzero multiplications. Energy, end-to-end time without the test harness, other noise levels and color images are not reported. Code, models and board logs are in the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CVPRW</w:t>
      </w:r>
      <w:r>
        <w:t>, 2021, pp. 2494–2502.</w:t>
      </w:r>
    </w:p>
    <w:p>
      <w:pPr>
        <w:pStyle w:val="references"/>
      </w:pPr>
      <w:r>
        <w:t xml:space="preserve">D. Wang, K. Xu, and D. Jiang, "PipeCNN: An OpenCL-based open-source FPGA accelerator for convolution neural networks," in </w:t>
      </w:r>
      <w:r>
        <w:rPr>
          <w:i/>
        </w:rPr>
        <w:t>Proc.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ICICM</w:t>
      </w:r>
      <w:r>
        <w:t>, 2024, pp. 671–676.</w:t>
      </w:r>
    </w:p>
    <w:p>
      <w:pPr>
        <w:pStyle w:val="references"/>
      </w:pPr>
      <w:r>
        <w:t xml:space="preserve">L. Tu, Y. Gu, X. Huang, and X. Wu, "Lightweight design of image denoising based on TNet mini," in </w:t>
      </w:r>
      <w:r>
        <w:rPr>
          <w:i/>
        </w:rPr>
        <w:t>Proc. AIIM</w:t>
      </w:r>
      <w:r>
        <w:t>, 2024, pp. 646–649.</w:t>
      </w:r>
    </w:p>
    <w:p>
      <w:pPr>
        <w:pStyle w:val="references"/>
      </w:pPr>
      <w:r>
        <w:t xml:space="preserve">C. Li, C. Bled, R. Fernandez, and S. Shanker, "ReTiDe: Real-time denoising for energy-efficient motion picture processing with FPGAs," in </w:t>
      </w:r>
      <w:r>
        <w:rPr>
          <w:i/>
        </w:rPr>
        <w:t>Proc. CVMP</w:t>
      </w:r>
      <w:r>
        <w:t>, 2025.</w:t>
      </w:r>
    </w:p>
    <w:p>
      <w:pPr>
        <w:pStyle w:val="references"/>
      </w:pPr>
      <w:r>
        <w:t xml:space="preserve">M. Shen, H. Yin, P. Molchanov, L. Mao, J. Liu, and J. M. Alvarez, "Structural pruning via latency-saliency knapsack," in </w:t>
      </w:r>
      <w:r>
        <w:rPr>
          <w:i/>
        </w:rPr>
        <w:t>Proc. NeurIPS</w:t>
      </w:r>
      <w:r>
        <w:t>, 2022.</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