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사이클당 4값을 받는 코어 변형을 만들어 보드에서 네 망을 돌리자, 비트스트림을 만들기 전에 커밋한 예측과 총 사이클이 0.005% 안에서 맞았고 B는 A의 1.19배, 합치기는 ReLU 망의 2.48배가 되었다.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만든 창을 사이클당 값 하나로 받는 입력 구조에 대한 것이며, 입력 포트가 사이클당 4값을 받거나(보드 실측) 칩 안에 라인 버퍼를 두면(예측) maxout은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 = max( K, ⌈COUT/P⌉ · ⌈K/T⌉ ).  (사이클/창)</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 C′ = max(K + 1, ⌈COUT/P⌉ · ⌈K/T⌉, COUT)는(+1은 창 적재에 붙고 계산에 묶인 창에는 붙지 않는다)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입력이 사이클당 값 하나인 것은 FPGA의 물리 제약이 아니라 이 설계의 선택이다. 코어의 창 입력 포트가 사이클당 7비트 값 하나를 받고(</w:t>
      </w:r>
      <w:r>
        <w:rPr>
          <w:rFonts w:ascii="Courier New" w:hAnsi="Courier New"/>
        </w:rPr>
        <w:t>rtl/banked_window_mac.sv</w:t>
      </w:r>
      <w:r>
        <w:t xml:space="preserve">의 </w:t>
      </w:r>
      <w:r>
        <w:rPr>
          <w:rFonts w:ascii="Courier New" w:hAnsi="Courier New"/>
        </w:rPr>
        <w:t>s_data[6:0]</w:t>
      </w:r>
      <w:r>
        <w:t>), AXI-Stream 래퍼는 32비트 전송 단위(beat)에 실려 오는 값 4개를 그에 맞춰 1개/사이클로 풀어 넣는다. 래퍼만이 아니라 코어의 적재 경로도 바꿔야 포트가 넓어진다. 본 연구의 주된 결과는 CIFAR-10용으로 만든 코어를 바꾸지 않고 주어진 것으로 다룬다(이미 있는 가속기를 쓰는 사용자의 입장). 일반화하면 추가 사이클 없이 늘릴 수 있는 출력 채널은 대략 곱셈기 수를 입력 폭으로 나눈 값(P·T/w: 사이클당 1값이면 64, 2값이면 32, 4값이면 16)까지다. 이 규칙을 시험하려고 포트가 beat 하나(w = 4값)를 한 사이클에 받는 변형도 만들었다. 탭 4r..4r+3은 네 뱅크의 같은 행에 하나씩 들어가므로 뱅크마다 사이클당 튜플 하나라는 구조는 그대로이고, 창 적재가 K+1에서 ⌈K/4⌉+1 사이클로 준다(창 길이가 4의 배수가 아니면 PC가 0으로 채운다). 창마다 적재(⌈K/w⌉+1), 계산(⌈COUT/P⌉ × 뱅크별 0 아닌 탭 수의 최댓값), 출력(COUT) 중 가장 긴 것으로 05.png의 모든 창을 세면(보드와 같은 sparse 모드), maxout은 2값에서 ReLU 망의 1.55배, 4값에서 2.48배가 되고, B는 2값에서 아직 A의 0.82배지만 4값에서 1.19배로 A보다 느려진다(표 III). 4값 변형을 보드 비트스트림과 같은 설정(K ≤ 1152, COUT ≤ 128, P = 16, T = 4)으로 RTL 시뮬레이션해 네 망의 모든 층(37개)에 실제 창 512개씩을 넣자, 출력은 모두 정수 모델과 같았고 사이클은 이 계수와 층마다 10–164 사이클 안에서 맞았다. 그 차이는 실행마다 한 번 붙는 파이프라인의 채움·비움으로, 창 수와 무관하다(무엇인지는 아래 보드 실측에서). 이 시뮬레이션은 DMA가 매 사이클 beat를 대 주는 입력을 가정했다. 같은 창을 1값으로 돌린 RTL도 같은 방식으로 맞았다(</w:t>
      </w:r>
      <w:r>
        <w:rPr>
          <w:rFonts w:ascii="Courier New" w:hAnsi="Courier New"/>
        </w:rPr>
        <w:t>denoise/sim_w4_layers.py</w:t>
      </w:r>
      <w:r>
        <w:t xml:space="preserve">). 이어서 이 변형을 보드에서 돌렸다(표 II). 타이밍은 100 MHz에서 닫혔고(WNS +0.130 ns), 설계는 1값 빌드처럼 LUT 21%, BRAM 51%를 쓴다. 네 망의 모든 층이 정수 모델과 비트 단위로 일치했고(05.png PSNR도 1값과 같다), 총 사이클은 비트스트림을 만들기 전에 커밋한 예측(커밋 7e81f6b의 </w:t>
      </w:r>
      <w:r>
        <w:rPr>
          <w:rFonts w:ascii="Courier New" w:hAnsi="Courier New"/>
        </w:rPr>
        <w:t>denoise/w4_prediction.json</w:t>
      </w:r>
      <w:r>
        <w:t>)보다 0.0009–0.0044% 많았다. 층마다의 차이 9–164 사이클도 같은 채움·비움이다. 층의 창은 모두 같은 시간에 적재되고 각 창의 계산이 다음 창의 적재와 겹치므로, 창마다 max(적재, 계산)을 더한 계수는 마지막 창의 적재와 계산 중 짧은 쪽을 한 번 빠뜨린다. 실행 뒤에 읽어 보니 은닉층 29개 모두에서 차이(IN_STALL을 뺀 값)는 min(창 적재 ⌈K/w⌉+1, 마지막 창의 계산) + 19 사이클이었고 마지막 층은 + COUT + 3이었으며, 1값·4값 보드 실행과 RTL 표본에서 모두 그랬다(</w:t>
      </w:r>
      <w:r>
        <w:rPr>
          <w:rFonts w:ascii="Courier New" w:hAnsi="Courier New"/>
        </w:rPr>
        <w:t>denoise/w4_gaps.py</w:t>
      </w:r>
      <w:r>
        <w:t>). 보드의 차이가 RTL 표본(K=288에서 91–92, K=576에서 164)보다 작은 은닉층과 마지막 층은, A와 B-32 ReLU의 은닉층처럼 영상 모서리의 마지막 창이 0이 많아 계산이 적재보다 짧은 층이다. DMA가 입력을 늦춘 것은 네 망을 합쳐 12 사이클(B-32 ReLU의 conv5)뿐이었고, 이 12 사이클은 보정하지 않고 그 층의 사이클에 그대로 두었다(그 층의 차이 77 = 65 + 12). 즉 B ÷ A는 1값의 0.75에서 1.19로, maxout ÷ ReLU는 1.01에서 2.48로 바뀌었다(</w:t>
      </w:r>
      <w:r>
        <w:rPr>
          <w:rFonts w:ascii="Courier New" w:hAnsi="Courier New"/>
        </w:rPr>
        <w:t>denoise/compare_w4.py</w:t>
      </w:r>
      <w:r>
        <w:t xml:space="preserve"> → </w:t>
      </w:r>
      <w:r>
        <w:rPr>
          <w:rFonts w:ascii="Courier New" w:hAnsi="Courier New"/>
        </w:rPr>
        <w:t>w4_measured.json</w:t>
      </w:r>
      <w:r>
        <w:t xml:space="preserve">). 칩 안에 라인 버퍼를 두는 일반적인 FPGA 가속기 구조 [21]에서는 창마다 새 입력 픽셀 하나의 C_in개 값만 들어오므로, 같은 계수로 maxout은 ReLU의 2.61배, B는 A의 1.23배가 된다(dense 상한으로는 A 827 대 B 1,206 사이클/px; 예측이며 그런 하드웨어는 만들지 않았다). 이 수치는 모두 기존 탭 순서(한 채널의 9개 탭이 한 뱅크에 모임)를 쓴다. 채널 p의 위치 s 탭을 뱅크 (p + s) mod 4에 두는 skew 순서는 호스트가 창과 가중치에 똑같이 적용할 수 있어 RTL을 바꾸지 않는데, 보드 영상에서 위 비율들(2값, 4값, 라인 버퍼)을 최대 7% 바꾸지만 1을 기준으로 뒤집지는 않는다(예비 계산이며 보드에서는 돌리지 않았다; </w:t>
      </w:r>
      <w:r>
        <w:rPr>
          <w:rFonts w:ascii="Courier New" w:hAnsi="Courier New"/>
        </w:rPr>
        <w:t>bankperm/skew_count.json</w:t>
      </w:r>
      <w:r>
        <w:t>).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활용률(dense 곱셈 수 / (64 × 사이클))은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 (Max-Feature-Map [10] 형태)이다. 복원망에서 maxout의 효과는 망 폭에 따라 다르다. Choi와 Kim [16]은 초해상도에서 maxout으로 필터 수를 절반으로 줄여도 비슷한 화질을 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0.002 dB 안에서 같다. 기본 망 A는 QAT 없이 학습 뒤 양자화(PTQ)만 쓴다.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7개(4값 변형 3개 포함)와 시드 2–3개로 실행해 UVM 1.2에서 69회, IEEE 1800.2-2020에서 46회 모두 통과했고(xsim은 돌리지 않았다), UVM 1.2 실행에서 출력 63,179개와 레지스터 읽기 11,419개를 비교했다(2020판 실행은 37,525개와 7,659개). 일부러 넣은 버그 15개(4값 경로 5개 포함)를 모두 검출했다. 형상 커버리지는 축소 빌드에서 89–100%, 보드 빌드에서는 17–29%다(4값 변형은 86–94%, 14–29%). 지시 테스트는 CIFAR-10 층 형상(K=27–1152, COUT=32–128)을 덮으며, 잡음 제거망의 형상(K=9, 36, 297, 324, 612 등)은 UVM이 아니라 보드에서 비트 단위로 검증했고(1값과 4값 모두 네 망의 모든 층), 4값 변형은 보드에 올리기 전에 층마다 실제 창 512개씩의 RTL 시뮬레이션(II절)으로도 확인했다.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 (68장),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 (8비트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4값 변형으로도 네 망(A, B+QAT, 같은 예산판 B-32 ReLU+QAT와 B-32+maxout+QAT)을 같은 영상으로 실행해 전 층 비트 일치를 확인했다.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일어났고, 망마다 붕괴한 실행이 붕괴하지 않은 실행보다 모두 낮았다(평균 결합은 float Set12 기준). 즉 시드 간 퍼짐은 대부분 붕괴한 실행에서 생긴다. 학습률을 낮추거나 기울기 클리핑을 쓰면 줄 것으로 보이지만 시험하지 않았다.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r>
        <w:tc>
          <w:tcPr>
            <w:tcW w:type="dxa" w:w="2891"/>
          </w:tcPr>
          <w:p>
            <w:pPr>
              <w:pStyle w:val="tablecopy"/>
              <w:spacing w:before="20" w:after="20"/>
            </w:pPr>
            <w:r>
              <w:t>B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258–394 / 154</w:t>
            </w:r>
          </w:p>
        </w:tc>
        <w:tc>
          <w:tcPr>
            <w:tcW w:type="dxa" w:w="750"/>
          </w:tcPr>
          <w:p>
            <w:pPr>
              <w:pStyle w:val="tablecopy"/>
              <w:spacing w:before="20" w:after="20"/>
              <w:jc w:val="center"/>
            </w:pPr>
            <w:r>
              <w:t>44,789,776 (683.4/px)</w:t>
            </w:r>
          </w:p>
        </w:tc>
        <w:tc>
          <w:tcPr>
            <w:tcW w:type="dxa" w:w="750"/>
          </w:tcPr>
          <w:p>
            <w:pPr>
              <w:pStyle w:val="tablecopy"/>
              <w:spacing w:before="20" w:after="20"/>
              <w:jc w:val="center"/>
            </w:pPr>
            <w:r>
              <w:t>0.90 s</w:t>
            </w:r>
          </w:p>
        </w:tc>
        <w:tc>
          <w:tcPr>
            <w:tcW w:type="dxa" w:w="750"/>
          </w:tcPr>
          <w:p>
            <w:pPr>
              <w:pStyle w:val="tablecopy"/>
              <w:spacing w:before="20" w:after="20"/>
              <w:jc w:val="center"/>
            </w:pPr>
            <w:r>
              <w:t>475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207–262 / 82</w:t>
            </w:r>
          </w:p>
        </w:tc>
        <w:tc>
          <w:tcPr>
            <w:tcW w:type="dxa" w:w="750"/>
          </w:tcPr>
          <w:p>
            <w:pPr>
              <w:pStyle w:val="tablecopy"/>
              <w:spacing w:before="20" w:after="20"/>
              <w:jc w:val="center"/>
            </w:pPr>
            <w:r>
              <w:t>32,982,254 (503.3/px)</w:t>
            </w:r>
          </w:p>
        </w:tc>
        <w:tc>
          <w:tcPr>
            <w:tcW w:type="dxa" w:w="750"/>
          </w:tcPr>
          <w:p>
            <w:pPr>
              <w:pStyle w:val="tablecopy"/>
              <w:spacing w:before="20" w:after="20"/>
              <w:jc w:val="center"/>
            </w:pPr>
            <w:r>
              <w:t>0.66 s</w:t>
            </w:r>
          </w:p>
        </w:tc>
        <w:tc>
          <w:tcPr>
            <w:tcW w:type="dxa" w:w="750"/>
          </w:tcPr>
          <w:p>
            <w:pPr>
              <w:pStyle w:val="tablecopy"/>
              <w:spacing w:before="20" w:after="20"/>
              <w:jc w:val="center"/>
            </w:pPr>
            <w:r>
              <w:t>359 s</w:t>
            </w:r>
          </w:p>
        </w:tc>
        <w:tc>
          <w:tcPr>
            <w:tcW w:type="dxa" w:w="750"/>
          </w:tcPr>
          <w:p>
            <w:pPr>
              <w:pStyle w:val="tablecopy"/>
              <w:spacing w:before="20" w:after="20"/>
              <w:jc w:val="center"/>
            </w:pPr>
            <w:r>
              <w:t>29.94</w:t>
            </w:r>
          </w:p>
        </w:tc>
      </w:tr>
      <w:tr>
        <w:tc>
          <w:tcPr>
            <w:tcW w:type="dxa" w:w="2891"/>
          </w:tcPr>
          <w:p>
            <w:pPr>
              <w:pStyle w:val="tablecopy"/>
              <w:spacing w:before="20" w:after="20"/>
            </w:pPr>
            <w:r>
              <w:t>B-32 ReLU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79–95 / 82</w:t>
            </w:r>
          </w:p>
        </w:tc>
        <w:tc>
          <w:tcPr>
            <w:tcW w:type="dxa" w:w="750"/>
          </w:tcPr>
          <w:p>
            <w:pPr>
              <w:pStyle w:val="tablecopy"/>
              <w:spacing w:before="20" w:after="20"/>
              <w:jc w:val="center"/>
            </w:pPr>
            <w:r>
              <w:t>13,289,042 (202.8/px)</w:t>
            </w:r>
          </w:p>
        </w:tc>
        <w:tc>
          <w:tcPr>
            <w:tcW w:type="dxa" w:w="750"/>
          </w:tcPr>
          <w:p>
            <w:pPr>
              <w:pStyle w:val="tablecopy"/>
              <w:spacing w:before="20" w:after="20"/>
              <w:jc w:val="center"/>
            </w:pPr>
            <w:r>
              <w:t>0.27 s</w:t>
            </w:r>
          </w:p>
        </w:tc>
        <w:tc>
          <w:tcPr>
            <w:tcW w:type="dxa" w:w="750"/>
          </w:tcPr>
          <w:p>
            <w:pPr>
              <w:pStyle w:val="tablecopy"/>
              <w:spacing w:before="20" w:after="20"/>
              <w:jc w:val="center"/>
            </w:pPr>
            <w:r>
              <w:t>315 s</w:t>
            </w:r>
          </w:p>
        </w:tc>
        <w:tc>
          <w:tcPr>
            <w:tcW w:type="dxa" w:w="750"/>
          </w:tcPr>
          <w:p>
            <w:pPr>
              <w:pStyle w:val="tablecopy"/>
              <w:spacing w:before="20" w:after="20"/>
              <w:jc w:val="center"/>
            </w:pPr>
            <w:r>
              <w:t>29.54</w:t>
            </w:r>
          </w:p>
        </w:tc>
      </w:tr>
      <w:tr>
        <w:tc>
          <w:tcPr>
            <w:tcW w:type="dxa" w:w="2891"/>
          </w:tcPr>
          <w:p>
            <w:pPr>
              <w:pStyle w:val="tablecopy"/>
              <w:spacing w:before="20" w:after="20"/>
            </w:pPr>
            <w:r>
              <w:t>A,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84–104 / 76</w:t>
            </w:r>
          </w:p>
        </w:tc>
        <w:tc>
          <w:tcPr>
            <w:tcW w:type="dxa" w:w="750"/>
          </w:tcPr>
          <w:p>
            <w:pPr>
              <w:pStyle w:val="tablecopy"/>
              <w:spacing w:before="20" w:after="20"/>
              <w:jc w:val="center"/>
            </w:pPr>
            <w:r>
              <w:t>37,520,551 (572.5/px)</w:t>
            </w:r>
          </w:p>
        </w:tc>
        <w:tc>
          <w:tcPr>
            <w:tcW w:type="dxa" w:w="750"/>
          </w:tcPr>
          <w:p>
            <w:pPr>
              <w:pStyle w:val="tablecopy"/>
              <w:spacing w:before="20" w:after="20"/>
              <w:jc w:val="center"/>
            </w:pPr>
            <w:r>
              <w:t>0.75 s</w:t>
            </w:r>
          </w:p>
        </w:tc>
        <w:tc>
          <w:tcPr>
            <w:tcW w:type="dxa" w:w="750"/>
          </w:tcPr>
          <w:p>
            <w:pPr>
              <w:pStyle w:val="tablecopy"/>
              <w:spacing w:before="20" w:after="20"/>
              <w:jc w:val="center"/>
            </w:pPr>
            <w:r>
              <w:t>585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1값 행에서 maxout 층(K=288, 출력 64)은 A와 같은 폭 ReLU 망의 K=288, 출력 32 층과 똑같이 </w:t>
      </w:r>
      <w:r>
        <w:rPr>
          <w:b/>
        </w:rPr>
        <w:t>289 사이클/창</w:t>
      </w:r>
      <w:r>
        <w:t>이다. 1값 포트에서 출력을 2배로 늘린 비용이 0임을 보드가 보여 준다(4값 행에서는 망 전체로 2.48배, 아래). 첫 층(K=36)만 출력을 내보내는 시간 때문에 64 사이클(ReLU 망은 37)이 걸려, 망 전체로는 ReLU 망의 1.01배(44,254,293 대 43,811,412 사이클)다.</w:t>
      </w:r>
    </w:p>
    <w:p>
      <w:pPr>
        <w:pStyle w:val="a3"/>
        <w:ind w:firstLine="0" w:left="198"/>
      </w:pPr>
      <w:r>
        <w:t>• 1값 행에서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'4값' 행은 사이클당 4값을 받는 변형(II절)이다. PC가 창과 가중치를 4의 배수 길이로 0 채움한다. 은닉층은 sparse 모드에서 계산에 묶여 창마다 사이클이 다르므로 층별 평균의 범위를 적었다. 첫 층과 마지막 층은 창마다 일정하고(출력 COUT 또는 적재 ⌈K/4⌉+1) 모델과 같다. 네 망의 총 사이클은 비트스트림 전에 커밋한 예측보다 337, 1,372, 794, 586 사이클(A, B, B-32 maxout, B-32 ReLU; 0.0009–0.0044%) 많았다. B ÷ A는 1값의 0.75에서 1.19로, maxout ÷ ReLU는 1.01에서 2.48로 바뀌었다.</w:t>
      </w:r>
    </w:p>
    <w:p>
      <w:pPr>
        <w:pStyle w:val="a3"/>
        <w:ind w:firstLine="0" w:left="198"/>
      </w:pPr>
      <w:r>
        <w:t>• 절대 처리량은 낮다. 50 MHz, 곱셈기 64개가 실제로 수행하는 연산은 최대 6.4 GOPS(곱셈-누산 하나를 2연산으로 셈; 1값에서 B 망은 dense 연산 기준 실효 5.7 GOPS)이며 256×256 한 장에 코어만 0.9–2.3 s다. 4값 변형은 0.27–0.90 s인데, sparse 모드가 0인 활성값의 곱셈을 건너뛰므로 dense 연산으로 환산한 실효는 이 최대를 넘는다(B 망 약 11 GOPS).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코어 사이클/픽셀. Set12 05.png의 모든 창을 센 값이며(sparse 모드, 보드와 같음) 괄호는 dense 상한이다. 창당 비용은 max(적재 + 1, ⌈COUT/P⌉ × 그룹당 비용, COUT)이고, 적재는 ⌈K/w⌉ 또는 라인 버퍼의 C_in, 그룹당 비용은 뱅크별 0 아닌 탭 수의 최댓값(dense는 ⌈K/4⌉)이다(</w:t>
      </w:r>
      <w:r>
        <w:rPr>
          <w:rFonts w:ascii="Courier New" w:hAnsi="Courier New"/>
        </w:rPr>
        <w:t>denoise/wider_ports.py</w:t>
      </w:r>
      <w:r>
        <w:t>). 1값은 보드 실측이다. 4값의 sparse 값은 같은 식으로 센 값이고, 보드 실측(표 II)과 표의 자릿수까지 같다(괄호의 dense 값은 보드에서 돌리지 않았다). 2값과 라인 버퍼는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(보드)</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 (보드)</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 (907)</w:t>
            </w:r>
          </w:p>
        </w:tc>
        <w:tc>
          <w:tcPr>
            <w:tcW w:type="dxa" w:w="833"/>
          </w:tcPr>
          <w:p>
            <w:pPr>
              <w:pStyle w:val="tablecopy"/>
              <w:spacing w:before="20" w:after="20"/>
              <w:jc w:val="center"/>
            </w:pPr>
            <w:r>
              <w:t>573 (828)</w:t>
            </w:r>
          </w:p>
        </w:tc>
        <w:tc>
          <w:tcPr>
            <w:tcW w:type="dxa" w:w="833"/>
          </w:tcPr>
          <w:p>
            <w:pPr>
              <w:pStyle w:val="tablecopy"/>
              <w:spacing w:before="20" w:after="20"/>
              <w:jc w:val="center"/>
            </w:pPr>
            <w:r>
              <w:t>538 (827)</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741 (1,245)</w:t>
            </w:r>
          </w:p>
        </w:tc>
        <w:tc>
          <w:tcPr>
            <w:tcW w:type="dxa" w:w="833"/>
          </w:tcPr>
          <w:p>
            <w:pPr>
              <w:pStyle w:val="tablecopy"/>
              <w:spacing w:before="20" w:after="20"/>
              <w:jc w:val="center"/>
            </w:pPr>
            <w:r>
              <w:t>683 (1,207)</w:t>
            </w:r>
          </w:p>
        </w:tc>
        <w:tc>
          <w:tcPr>
            <w:tcW w:type="dxa" w:w="833"/>
          </w:tcPr>
          <w:p>
            <w:pPr>
              <w:pStyle w:val="tablecopy"/>
              <w:spacing w:before="20" w:after="20"/>
              <w:jc w:val="center"/>
            </w:pPr>
            <w:r>
              <w:t>665 (1,206)</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 (339)</w:t>
            </w:r>
          </w:p>
        </w:tc>
        <w:tc>
          <w:tcPr>
            <w:tcW w:type="dxa" w:w="833"/>
          </w:tcPr>
          <w:p>
            <w:pPr>
              <w:pStyle w:val="tablecopy"/>
              <w:spacing w:before="20" w:after="20"/>
              <w:jc w:val="center"/>
            </w:pPr>
            <w:r>
              <w:t>203 (317)</w:t>
            </w:r>
          </w:p>
        </w:tc>
        <w:tc>
          <w:tcPr>
            <w:tcW w:type="dxa" w:w="833"/>
          </w:tcPr>
          <w:p>
            <w:pPr>
              <w:pStyle w:val="tablecopy"/>
              <w:spacing w:before="20" w:after="20"/>
              <w:jc w:val="center"/>
            </w:pPr>
            <w:r>
              <w:t>191 (316)</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524 (633)</w:t>
            </w:r>
          </w:p>
        </w:tc>
        <w:tc>
          <w:tcPr>
            <w:tcW w:type="dxa" w:w="833"/>
          </w:tcPr>
          <w:p>
            <w:pPr>
              <w:pStyle w:val="tablecopy"/>
              <w:spacing w:before="20" w:after="20"/>
              <w:jc w:val="center"/>
            </w:pPr>
            <w:r>
              <w:t>503 (613)</w:t>
            </w:r>
          </w:p>
        </w:tc>
        <w:tc>
          <w:tcPr>
            <w:tcW w:type="dxa" w:w="833"/>
          </w:tcPr>
          <w:p>
            <w:pPr>
              <w:pStyle w:val="tablecopy"/>
              <w:spacing w:before="20" w:after="20"/>
              <w:jc w:val="center"/>
            </w:pPr>
            <w:r>
              <w:t>500 (612)</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0.82 (1.37)</w:t>
            </w:r>
          </w:p>
        </w:tc>
        <w:tc>
          <w:tcPr>
            <w:tcW w:type="dxa" w:w="833"/>
          </w:tcPr>
          <w:p>
            <w:pPr>
              <w:pStyle w:val="tablecopy"/>
              <w:spacing w:before="20" w:after="20"/>
              <w:jc w:val="center"/>
            </w:pPr>
            <w:r>
              <w:t>1.19 (1.46)</w:t>
            </w:r>
          </w:p>
        </w:tc>
        <w:tc>
          <w:tcPr>
            <w:tcW w:type="dxa" w:w="833"/>
          </w:tcPr>
          <w:p>
            <w:pPr>
              <w:pStyle w:val="tablecopy"/>
              <w:spacing w:before="20" w:after="20"/>
              <w:jc w:val="center"/>
            </w:pPr>
            <w:r>
              <w:t>1.23 (1.46)</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1.55 (1.87)</w:t>
            </w:r>
          </w:p>
        </w:tc>
        <w:tc>
          <w:tcPr>
            <w:tcW w:type="dxa" w:w="833"/>
          </w:tcPr>
          <w:p>
            <w:pPr>
              <w:pStyle w:val="tablecopy"/>
              <w:spacing w:before="20" w:after="20"/>
              <w:jc w:val="center"/>
            </w:pPr>
            <w:r>
              <w:t>2.48 (1.94)</w:t>
            </w:r>
          </w:p>
        </w:tc>
        <w:tc>
          <w:tcPr>
            <w:tcW w:type="dxa" w:w="833"/>
          </w:tcPr>
          <w:p>
            <w:pPr>
              <w:pStyle w:val="tablecopy"/>
              <w:spacing w:before="20" w:after="20"/>
              <w:jc w:val="center"/>
            </w:pPr>
            <w:r>
              <w:t>2.61 (1.94)</w:t>
            </w:r>
          </w:p>
        </w:tc>
      </w:tr>
    </w:tbl>
    <w:p>
      <w:pPr>
        <w:pStyle w:val="a3"/>
      </w:pPr>
      <w:r>
        <w:t>sparse 모드에서 합치기는 2값부터 공짜가 아니고(maxout 망은 입력에 0이 적어 건너뛸 곱셈이 적다), B는 4값과 라인 버퍼에서 A보다 느려진다. dense 상한으로는 2값만 돼도 두 이점이 모두 사라진다. 다만 B-32 maxout은 어느 구조에서도 A보다 빠르다. 입력 포트(코어의 적재 경로와 래퍼)를 넓히는 하드웨어 개선과 망 선택은 어느 하나를 고르는 관계가 아니다. 포트를 넓히면 모든 망이 빨라지고(보드에서 A 3.10배, B 1.94배, B-32 maxout 1.34배, B-32 ReLU 3.30배), 그때 이기는 망이 달라진다는 것이 이 표의 요점이다. 4값 열은 보드에서 쟀고, 2값 포트와 라인 버퍼는 만들지 않았다.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입력 포트를 사이클당 4값으로 넓힌 변형을 보드에서 돌리자, 미리 커밋한 예측대로 B는 A보다 느려지고(1.19배) 합치기는 공짜가 아니게 되어(ReLU 망의 2.48배), 고를 망이 병목을 따라 바뀜을 측정으로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사라진다(창을 센 sparse 값 기준이며 4값은 보드에서 쟀다;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이 코어의 4값 포트에서는 P·T/w의 바탕인 사이클 계수를 보드가 확인했고(예측과 0.005% 안), 2값 포트와 라인 버퍼에서는 아직 예측이다.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2값 포트와 라인 버퍼, 4값 포트의 dense 모드, 1값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