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we derive a shape-only condition necessary for any layout to change a layer's cycle count. We compare three layouts that keep the bitstream and the integer output unchanged: a channel relabeling fitted offline and folded into the adjacent layers, a data-free skew that spreads each channel's taps over the banks, and the two combined. At four values per cycle, on four test images of a 32-channel denoiser, the board measured core-cycle savings of 5.9–9.0% for two relabelings, 7.3–10.0% for the skew and 7.9–10.7% for the combination, and predictions committed before the runs matched the measured cycles of 176 of 180 layers exactly (71 of 72 for the skew and the combination, which had never run) and the other four within one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permutes inputs offline from activation statistics to cluster co-zero inputs behind an index unit [6], and skewed storage gives conflict-free parallel access to a matrix's rows and columns [7]. Permutation, folding, profiling and skewing are thus not new; we found no work that spreads co-active channels over lockstep zero-skipping banks by an exact, folded relabeling.</w:t>
      </w:r>
    </w:p>
    <w:p>
      <w:pPr>
        <w:pStyle w:val="a3"/>
      </w:pPr>
      <w:r>
        <w:t>In our core, whose four tap banks run in lockstep, the host's choice of slot decides a tap's bank (Fig. 1). We contribute (i) a shape-only condition necessary for any layout to change a layer's cycle count (Section II); (ii) three layouts that keep the bitstream and the integer output unchanged: a folded channel relabeling, a data-free skew and both combined (Section III); (iii) pre-registered board runs of all three on four images, with every layer's cycles predicted, exactly in 176 of 180 (V-A); (iv) two pre-registered ten-network studies (V-B) and the board network on 79 images (V-C).</w:t>
      </w:r>
    </w:p>
    <w:p>
      <w:pPr>
        <w:keepNext/>
        <w:spacing w:line="240" w:lineRule="auto"/>
        <w:ind w:firstLine="0"/>
        <w:jc w:val="center"/>
      </w:pPr>
      <w:r>
        <w:drawing>
          <wp:inline xmlns:a="http://schemas.openxmlformats.org/drawingml/2006/main" xmlns:pic="http://schemas.openxmlformats.org/drawingml/2006/picture">
            <wp:extent cx="2880000" cy="144000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440000"/>
                    </a:xfrm>
                    <a:prstGeom prst="rect"/>
                  </pic:spPr>
                </pic:pic>
              </a:graphicData>
            </a:graphic>
          </wp:inline>
        </w:drawing>
      </w:r>
    </w:p>
    <w:p>
      <w:pPr>
        <w:pStyle w:val="figurecaption"/>
        <w:numPr>
          <w:ilvl w:val="0"/>
          <w:numId w:val="0"/>
        </w:numPr>
      </w:pPr>
      <w:r>
        <w:t xml:space="preserve">Fig. 1. The system and where the layouts act. The host builds each layer's windows, and the slot it gives a tap decides the tap's bank; the core's four banks skip zeros but advance in lockstep, so a window costs the fullest bank's m (1); for 32 outputs, </w:t>
      </w:r>
      <w:r>
        <w:rPr>
          <w:rFonts w:ascii="Cambria Math" w:hAnsi="Cambria Math"/>
        </w:rPr>
        <w:t>⌈</w:t>
      </w:r>
      <w:r>
        <w:t>COUT/P</w:t>
      </w:r>
      <w:r>
        <w:rPr>
          <w:rFonts w:ascii="Cambria Math" w:hAnsi="Cambria Math"/>
        </w:rPr>
        <w:t>⌉</w:t>
      </w:r>
      <w:r>
        <w:t xml:space="preserve"> = 2. The relabeling is folded into the weights offline and the skew is the host's slot order, so the bitstream is the same for every layout. The window shown is a drawn example.</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spacing w:lineRule="exact" w:line="220"/>
      </w:pPr>
      <w:r>
        <w:rPr>
          <w:b/>
        </w:rPr>
        <w:t>When a layout can pay.</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pay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tap-to-bank assignment.</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pay, keeps its input. In the maxout and averaging networks (maximum or mean of maps j and j + N), both maps move with π.</w:t>
      </w:r>
    </w:p>
    <w:p>
      <w:pPr>
        <w:pStyle w:val="a3"/>
      </w:pPr>
      <w:r>
        <w:rPr>
          <w:b/>
        </w:rPr>
        <w:t>Skew (L2).</w:t>
      </w:r>
      <w:r>
        <w:t xml:space="preserve"> Skewed storage [7] applied to the taps: the host puts channel p of position s in slot s·N + (p + s) mod N when 4 divides N, bank (p + s) mod 4, which spreads each channel's nine taps 3/2/2/2 over the banks (Fig. 2c).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layout reproduced the original's output (Frozen and Multi-start on all 80 images), and L2 and L3 every network's INT32 accumulators in every window of a test image; on the board every layer's output matched the integer model.</w:t>
      </w:r>
    </w:p>
    <w:p>
      <w:pPr>
        <w:keepNext/>
        <w:spacing w:line="240" w:lineRule="auto"/>
        <w:ind w:firstLine="0"/>
        <w:jc w:val="center"/>
      </w:pPr>
      <w:r>
        <w:drawing>
          <wp:inline xmlns:a="http://schemas.openxmlformats.org/drawingml/2006/main" xmlns:pic="http://schemas.openxmlformats.org/drawingml/2006/picture">
            <wp:extent cx="2880000" cy="3026441"/>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3026441"/>
                    </a:xfrm>
                    <a:prstGeom prst="rect"/>
                  </pic:spPr>
                </pic:pic>
              </a:graphicData>
            </a:graphic>
          </wp:inline>
        </w:drawing>
      </w:r>
    </w:p>
    <w:p>
      <w:pPr>
        <w:pStyle w:val="figurecaption"/>
        <w:numPr>
          <w:ilvl w:val="0"/>
          <w:numId w:val="0"/>
        </w:numPr>
      </w:pPr>
      <w:r>
        <w:t>Fig. 2. A conv5 input window of the board network on Set12 05.png (the first compute-bound one at W = 4 with the median m, 48). Filled: nonzero, colored by bank (bank 1 dotted). (a) L0, bank p mod 4; (b) Frozen, an L1;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B-32 ReLU s1 (R1), reaches 29.54 dB on Set12 05.png; 37–55% of its hidden layers' window values are nonzero. Test images: Set12 [8] and BSD68 [9], 80 images, one noise draw each; savings are pooled over the 79 other than Set12 01.png, with paired bootstrap 95% intervals over images. Two protocols fixed the recipes, evaluations and hypotheses before the fits and counts they concern.</w:t>
      </w:r>
    </w:p>
    <w:p>
      <w:pPr>
        <w:pStyle w:val="a3"/>
      </w:pPr>
      <w:r>
        <w:rPr>
          <w:b/>
        </w:rPr>
        <w:t>Board.</w:t>
      </w:r>
      <w:r>
        <w:t xml:space="preserve"> The W = 4 bitstream for the XC7Z020 closes timing at 100 MHz (worst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Every layout ran once on Set12 05–08, with every layer's cycles predicted beforehand; L0, Frozen and Multi-start had also run earlier, and of those runs only the 05.png totals were used, to check the prediction code. All other cycle numbers are counts in the host emulation, which reproduces every network's reference PSNR on all 80 images.</w:t>
      </w:r>
    </w:p>
    <w:p>
      <w:pPr>
        <w:pStyle w:val="1"/>
      </w:pPr>
      <w:r>
        <w:t>Results</w:t>
      </w:r>
    </w:p>
    <w:p>
      <w:pPr>
        <w:pStyle w:val="2"/>
      </w:pPr>
      <w:r>
        <w:t>Board Measurement</w:t>
      </w:r>
    </w:p>
    <w:p>
      <w:pPr>
        <w:pStyle w:val="tablehead"/>
        <w:keepNext/>
        <w:numPr>
          <w:ilvl w:val="0"/>
          <w:numId w:val="0"/>
        </w:numPr>
      </w:pPr>
      <w:r>
        <w:t>Table I. Board saving (%) against L0 of R1 at W = 4 on Set12 05–08, one pre-registered run each (L0 row: total cycles); each run's total equals its prediction or exceeds it by one cycle (in conv8), for L0 and Multi-start on 08 and for Multi-start and L3 on 07.</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rPr>
          <w:cantSplit/>
        </w:trPr>
        <w:tc>
          <w:tcPr>
            <w:tcW w:type="dxa" w:w="1673"/>
          </w:tcPr>
          <w:p>
            <w:pPr>
              <w:pStyle w:val="tablecolhead"/>
              <w:keepNext/>
              <w:spacing w:before="20" w:after="20"/>
            </w:pPr>
            <w:r>
              <w:t>Layout</w:t>
            </w:r>
          </w:p>
        </w:tc>
        <w:tc>
          <w:tcPr>
            <w:tcW w:type="dxa" w:w="772"/>
          </w:tcPr>
          <w:p>
            <w:pPr>
              <w:pStyle w:val="tablecolhead"/>
              <w:keepNext/>
              <w:spacing w:before="20" w:after="20"/>
              <w:jc w:val="center"/>
            </w:pPr>
            <w:r>
              <w:t>05</w:t>
            </w:r>
          </w:p>
        </w:tc>
        <w:tc>
          <w:tcPr>
            <w:tcW w:type="dxa" w:w="772"/>
          </w:tcPr>
          <w:p>
            <w:pPr>
              <w:pStyle w:val="tablecolhead"/>
              <w:keepNext/>
              <w:spacing w:before="20" w:after="20"/>
              <w:jc w:val="center"/>
            </w:pPr>
            <w:r>
              <w:t>06</w:t>
            </w:r>
          </w:p>
        </w:tc>
        <w:tc>
          <w:tcPr>
            <w:tcW w:type="dxa" w:w="772"/>
          </w:tcPr>
          <w:p>
            <w:pPr>
              <w:pStyle w:val="tablecolhead"/>
              <w:keepNext/>
              <w:spacing w:before="20" w:after="20"/>
              <w:jc w:val="center"/>
            </w:pPr>
            <w:r>
              <w:t>07</w:t>
            </w:r>
          </w:p>
        </w:tc>
        <w:tc>
          <w:tcPr>
            <w:tcW w:type="dxa" w:w="772"/>
          </w:tcPr>
          <w:p>
            <w:pPr>
              <w:pStyle w:val="tablecolhead"/>
              <w:keepNext/>
              <w:spacing w:before="20" w:after="20"/>
              <w:jc w:val="center"/>
            </w:pPr>
            <w:r>
              <w:t>08</w:t>
            </w:r>
          </w:p>
        </w:tc>
      </w:tr>
      <w:tr>
        <w:trPr>
          <w:cantSplit/>
        </w:trPr>
        <w:tc>
          <w:tcPr>
            <w:tcW w:type="dxa" w:w="1673"/>
          </w:tcPr>
          <w:p>
            <w:pPr>
              <w:pStyle w:val="tablecopy"/>
              <w:keepNext/>
              <w:spacing w:before="20" w:after="20"/>
            </w:pPr>
            <w:r>
              <w:t>L0 (10⁶ cycles)</w:t>
            </w:r>
          </w:p>
        </w:tc>
        <w:tc>
          <w:tcPr>
            <w:tcW w:type="dxa" w:w="772"/>
          </w:tcPr>
          <w:p>
            <w:pPr>
              <w:pStyle w:val="tablecopy"/>
              <w:keepNext/>
              <w:spacing w:before="20" w:after="20"/>
              <w:jc w:val="center"/>
            </w:pPr>
            <w:r>
              <w:t>13.289</w:t>
            </w:r>
          </w:p>
        </w:tc>
        <w:tc>
          <w:tcPr>
            <w:tcW w:type="dxa" w:w="772"/>
          </w:tcPr>
          <w:p>
            <w:pPr>
              <w:pStyle w:val="tablecopy"/>
              <w:keepNext/>
              <w:spacing w:before="20" w:after="20"/>
              <w:jc w:val="center"/>
            </w:pPr>
            <w:r>
              <w:t>13.466</w:t>
            </w:r>
          </w:p>
        </w:tc>
        <w:tc>
          <w:tcPr>
            <w:tcW w:type="dxa" w:w="772"/>
          </w:tcPr>
          <w:p>
            <w:pPr>
              <w:pStyle w:val="tablecopy"/>
              <w:keepNext/>
              <w:spacing w:before="20" w:after="20"/>
              <w:jc w:val="center"/>
            </w:pPr>
            <w:r>
              <w:t>13.412</w:t>
            </w:r>
          </w:p>
        </w:tc>
        <w:tc>
          <w:tcPr>
            <w:tcW w:type="dxa" w:w="772"/>
          </w:tcPr>
          <w:p>
            <w:pPr>
              <w:pStyle w:val="tablecopy"/>
              <w:keepNext/>
              <w:spacing w:before="20" w:after="20"/>
              <w:jc w:val="center"/>
            </w:pPr>
            <w:r>
              <w:t>51.977</w:t>
            </w:r>
          </w:p>
        </w:tc>
      </w:tr>
      <w:tr>
        <w:trPr>
          <w:cantSplit/>
        </w:trPr>
        <w:tc>
          <w:tcPr>
            <w:tcW w:type="dxa" w:w="1673"/>
          </w:tcPr>
          <w:p>
            <w:pPr>
              <w:pStyle w:val="tablecopy"/>
              <w:keepNext/>
              <w:spacing w:before="20" w:after="20"/>
            </w:pPr>
            <w:r>
              <w:t>L1 Frozen</w:t>
            </w:r>
          </w:p>
        </w:tc>
        <w:tc>
          <w:tcPr>
            <w:tcW w:type="dxa" w:w="772"/>
          </w:tcPr>
          <w:p>
            <w:pPr>
              <w:pStyle w:val="tablecopy"/>
              <w:keepNext/>
              <w:spacing w:before="20" w:after="20"/>
              <w:jc w:val="center"/>
            </w:pPr>
            <w:r>
              <w:t>7.02</w:t>
            </w:r>
          </w:p>
        </w:tc>
        <w:tc>
          <w:tcPr>
            <w:tcW w:type="dxa" w:w="772"/>
          </w:tcPr>
          <w:p>
            <w:pPr>
              <w:pStyle w:val="tablecopy"/>
              <w:keepNext/>
              <w:spacing w:before="20" w:after="20"/>
              <w:jc w:val="center"/>
            </w:pPr>
            <w:r>
              <w:t>7.91</w:t>
            </w:r>
          </w:p>
        </w:tc>
        <w:tc>
          <w:tcPr>
            <w:tcW w:type="dxa" w:w="772"/>
          </w:tcPr>
          <w:p>
            <w:pPr>
              <w:pStyle w:val="tablecopy"/>
              <w:keepNext/>
              <w:spacing w:before="20" w:after="20"/>
              <w:jc w:val="center"/>
            </w:pPr>
            <w:r>
              <w:t>7.22</w:t>
            </w:r>
          </w:p>
        </w:tc>
        <w:tc>
          <w:tcPr>
            <w:tcW w:type="dxa" w:w="772"/>
          </w:tcPr>
          <w:p>
            <w:pPr>
              <w:pStyle w:val="tablecopy"/>
              <w:keepNext/>
              <w:spacing w:before="20" w:after="20"/>
              <w:jc w:val="center"/>
            </w:pPr>
            <w:r>
              <w:t>5.93</w:t>
            </w:r>
          </w:p>
        </w:tc>
      </w:tr>
      <w:tr>
        <w:trPr>
          <w:cantSplit/>
        </w:trPr>
        <w:tc>
          <w:tcPr>
            <w:tcW w:type="dxa" w:w="1673"/>
          </w:tcPr>
          <w:p>
            <w:pPr>
              <w:pStyle w:val="tablecopy"/>
              <w:keepNext/>
              <w:spacing w:before="20" w:after="20"/>
            </w:pPr>
            <w:r>
              <w:t>L1 Multi-start</w:t>
            </w:r>
          </w:p>
        </w:tc>
        <w:tc>
          <w:tcPr>
            <w:tcW w:type="dxa" w:w="772"/>
          </w:tcPr>
          <w:p>
            <w:pPr>
              <w:pStyle w:val="tablecopy"/>
              <w:keepNext/>
              <w:spacing w:before="20" w:after="20"/>
              <w:jc w:val="center"/>
            </w:pPr>
            <w:r>
              <w:t>7.60</w:t>
            </w:r>
          </w:p>
        </w:tc>
        <w:tc>
          <w:tcPr>
            <w:tcW w:type="dxa" w:w="772"/>
          </w:tcPr>
          <w:p>
            <w:pPr>
              <w:pStyle w:val="tablecopy"/>
              <w:keepNext/>
              <w:spacing w:before="20" w:after="20"/>
              <w:jc w:val="center"/>
            </w:pPr>
            <w:r>
              <w:t>9.01</w:t>
            </w:r>
          </w:p>
        </w:tc>
        <w:tc>
          <w:tcPr>
            <w:tcW w:type="dxa" w:w="772"/>
          </w:tcPr>
          <w:p>
            <w:pPr>
              <w:pStyle w:val="tablecopy"/>
              <w:keepNext/>
              <w:spacing w:before="20" w:after="20"/>
              <w:jc w:val="center"/>
            </w:pPr>
            <w:r>
              <w:t>7.89</w:t>
            </w:r>
          </w:p>
        </w:tc>
        <w:tc>
          <w:tcPr>
            <w:tcW w:type="dxa" w:w="772"/>
          </w:tcPr>
          <w:p>
            <w:pPr>
              <w:pStyle w:val="tablecopy"/>
              <w:keepNext/>
              <w:spacing w:before="20" w:after="20"/>
              <w:jc w:val="center"/>
            </w:pPr>
            <w:r>
              <w:t>6.58</w:t>
            </w:r>
          </w:p>
        </w:tc>
      </w:tr>
      <w:tr>
        <w:trPr>
          <w:cantSplit/>
        </w:trPr>
        <w:tc>
          <w:tcPr>
            <w:tcW w:type="dxa" w:w="1673"/>
          </w:tcPr>
          <w:p>
            <w:pPr>
              <w:pStyle w:val="tablecopy"/>
              <w:keepNext/>
              <w:spacing w:before="20" w:after="20"/>
            </w:pPr>
            <w:r>
              <w:t>L2 skew</w:t>
            </w:r>
          </w:p>
        </w:tc>
        <w:tc>
          <w:tcPr>
            <w:tcW w:type="dxa" w:w="772"/>
          </w:tcPr>
          <w:p>
            <w:pPr>
              <w:pStyle w:val="tablecopy"/>
              <w:keepNext/>
              <w:spacing w:before="20" w:after="20"/>
              <w:jc w:val="center"/>
            </w:pPr>
            <w:r>
              <w:t>8.64</w:t>
            </w:r>
          </w:p>
        </w:tc>
        <w:tc>
          <w:tcPr>
            <w:tcW w:type="dxa" w:w="772"/>
          </w:tcPr>
          <w:p>
            <w:pPr>
              <w:pStyle w:val="tablecopy"/>
              <w:keepNext/>
              <w:spacing w:before="20" w:after="20"/>
              <w:jc w:val="center"/>
            </w:pPr>
            <w:r>
              <w:t>9.97</w:t>
            </w:r>
          </w:p>
        </w:tc>
        <w:tc>
          <w:tcPr>
            <w:tcW w:type="dxa" w:w="772"/>
          </w:tcPr>
          <w:p>
            <w:pPr>
              <w:pStyle w:val="tablecopy"/>
              <w:keepNext/>
              <w:spacing w:before="20" w:after="20"/>
              <w:jc w:val="center"/>
            </w:pPr>
            <w:r>
              <w:t>8.95</w:t>
            </w:r>
          </w:p>
        </w:tc>
        <w:tc>
          <w:tcPr>
            <w:tcW w:type="dxa" w:w="772"/>
          </w:tcPr>
          <w:p>
            <w:pPr>
              <w:pStyle w:val="tablecopy"/>
              <w:keepNext/>
              <w:spacing w:before="20" w:after="20"/>
              <w:jc w:val="center"/>
            </w:pPr>
            <w:r>
              <w:t>7.31</w:t>
            </w:r>
          </w:p>
        </w:tc>
      </w:tr>
      <w:tr>
        <w:trPr>
          <w:cantSplit/>
        </w:trP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Multi-start &lt; Frozen &lt; L0 in cycles, as predicted (Table I); pooled over the four images, L2 saved 8.13% and L3 8.80%. In 176 of the 180 predicted layers (conv2–conv10) CYCLES − IN_STALL equaled the prediction. The other four, all in conv8, were one cycle over; after the runs we found them to be exactly the layers whose last window computes 30 cycles, a case absent from the runs the fill-and-drain rule was read off. L2 and L3 had never run on the board before, and 71 of their 72 layers were exact. This bitstream's IN_STALL misses DMA starvation at window boundaries; the rule could absorb a stall common to all layouts, so the match excludes only stalls that differ between them.</w:t>
      </w:r>
    </w:p>
    <w:p>
      <w:pPr>
        <w:pStyle w:val="2"/>
      </w:pPr>
      <w:r>
        <w:t>Ten Networks under Two Protocols</w:t>
      </w:r>
    </w:p>
    <w:p>
      <w:pPr>
        <w:pStyle w:val="a3"/>
      </w:pPr>
      <w:r>
        <w:t>The first protocol's hypotheses all held. H1: wherever (2) holds, at W = 1 on all networks and at W = 2 on A and R1–R3, the relabeled count equaled the original on all 80 images. H2, H3: the pooled saving of L1 was positive on all ten networks at W = 4, 1.09–10.80% (Fig. 3; the sign was known for B, M1 and R1), and on all six where (2) allows it at W = 2, 3.36–7.37% on five and 0.022% on 45.</w:t>
      </w:r>
    </w:p>
    <w:p>
      <w:pPr>
        <w:pStyle w:val="a3"/>
      </w:pPr>
      <w:r>
        <w:t>The second protocol's three also held. H4: wherever (2) holds, L2 and L3 counted exactly as L0 on all 80 images, in every layer. H5: at W = 4, L2 saved more than L1 on all nine networks with N mod 4 = 0, by 0.90–2.36 points (known for R1). H6: L3 saved more than L2 on all nine, by 0.48–1.18 points, on R1 by 0.73 (95% interval [0.70, 0.75]). Not pre-registered: L3 was fitted on 01.png alone, so the gain is out of sample, and it is consistent: on each of the nine networks the interval of L3 − L2 excludes 0; L3 counted fewer cycles than L2 on all 711 image–network pairs and, pooled, in all 69 fitted layers; at W = 2, L3 &gt; L2 &gt; L1 held on the five networks with N mod 4 = 0 where (2) allows a gain, L3 by 0.46–0.85 points over L2. No image counted more cycles under any layout at any W.</w:t>
      </w:r>
    </w:p>
    <w:p>
      <w:pPr>
        <w:keepNext/>
        <w:spacing w:line="240" w:lineRule="auto"/>
        <w:ind w:firstLine="0"/>
        <w:jc w:val="center"/>
      </w:pPr>
      <w:r>
        <w:drawing>
          <wp:inline xmlns:a="http://schemas.openxmlformats.org/drawingml/2006/main" xmlns:pic="http://schemas.openxmlformats.org/drawingml/2006/picture">
            <wp:extent cx="2880000" cy="180000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80000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board relabelings, and L3 more than L2, on each of the 79 images (Fig. 4). L3 removed 26% of the imbalance that L2 leaves, reaching 82.6% of the perfect-balance saving against 76.6% (Table II), with the same host reorder as L2. Pooled, L2 also beat L1 fitted on each test image (8.45%) and a Sense-like sort by each channel's nonzero count in it; a density deal after SparTen [4] saved least (a comparison of procedures, not of co-activation against density).</w:t>
      </w:r>
    </w:p>
    <w:p>
      <w:pPr>
        <w:keepNext/>
        <w:spacing w:line="240" w:lineRule="auto"/>
        <w:ind w:firstLine="0"/>
        <w:jc w:val="center"/>
      </w:pPr>
      <w:r>
        <w:drawing>
          <wp:inline xmlns:a="http://schemas.openxmlformats.org/drawingml/2006/main" xmlns:pic="http://schemas.openxmlformats.org/drawingml/2006/picture">
            <wp:extent cx="2880000" cy="1836610"/>
            <wp:docPr id="4" name="Picture 4"/>
            <wp:cNvGraphicFramePr>
              <a:graphicFrameLocks noChangeAspect="1"/>
            </wp:cNvGraphicFramePr>
            <a:graphic>
              <a:graphicData uri="http://schemas.openxmlformats.org/drawingml/2006/picture">
                <pic:pic>
                  <pic:nvPicPr>
                    <pic:cNvPr id="0" name="fig3_per_image.png"/>
                    <pic:cNvPicPr/>
                  </pic:nvPicPr>
                  <pic:blipFill>
                    <a:blip r:embed="rId11"/>
                    <a:stretch>
                      <a:fillRect/>
                    </a:stretch>
                  </pic:blipFill>
                  <pic:spPr>
                    <a:xfrm>
                      <a:off x="0" y="0"/>
                      <a:ext cx="2880000" cy="1836610"/>
                    </a:xfrm>
                    <a:prstGeom prst="rect"/>
                  </pic:spPr>
                </pic:pic>
              </a:graphicData>
            </a:graphic>
          </wp:inline>
        </w:drawing>
      </w:r>
    </w:p>
    <w:p>
      <w:pPr>
        <w:pStyle w:val="figurecaption"/>
        <w:numPr>
          <w:ilvl w:val="0"/>
          <w:numId w:val="0"/>
        </w:numPr>
      </w:pPr>
      <w:r>
        <w:t>Fig. 4. Per-image W = 4 saving (count) of the board network on the 79 images other than Set12 01.png (calibration of Frozen and L3; Multi-start also used 02–03), sorted by the bound; legend: pooled saving; dotted: Set12 05.png.</w:t>
      </w:r>
    </w:p>
    <w:p>
      <w:pPr>
        <w:pStyle w:val="tablehead"/>
        <w:keepNext/>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rPr>
          <w:cantSplit/>
        </w:trPr>
        <w:tc>
          <w:tcPr>
            <w:tcW w:type="dxa" w:w="1681"/>
          </w:tcPr>
          <w:p>
            <w:pPr>
              <w:pStyle w:val="tablecolhead"/>
              <w:keepNext/>
              <w:spacing w:before="20" w:after="20"/>
            </w:pPr>
            <w:r>
              <w:t>Layout</w:t>
            </w:r>
          </w:p>
        </w:tc>
        <w:tc>
          <w:tcPr>
            <w:tcW w:type="dxa" w:w="700"/>
          </w:tcPr>
          <w:p>
            <w:pPr>
              <w:pStyle w:val="tablecolhead"/>
              <w:keepNext/>
              <w:spacing w:before="20" w:after="20"/>
              <w:jc w:val="center"/>
            </w:pPr>
            <w:r>
              <w:t>Data</w:t>
            </w:r>
          </w:p>
        </w:tc>
        <w:tc>
          <w:tcPr>
            <w:tcW w:type="dxa" w:w="1681"/>
          </w:tcPr>
          <w:p>
            <w:pPr>
              <w:pStyle w:val="tablecolhead"/>
              <w:keepNext/>
              <w:spacing w:before="20" w:after="20"/>
              <w:jc w:val="center"/>
            </w:pPr>
            <w:r>
              <w:t>Pooled (%)</w:t>
            </w:r>
          </w:p>
        </w:tc>
        <w:tc>
          <w:tcPr>
            <w:tcW w:type="dxa" w:w="700"/>
          </w:tcPr>
          <w:p>
            <w:pPr>
              <w:pStyle w:val="tablecolhead"/>
              <w:keepNext/>
              <w:spacing w:before="20" w:after="20"/>
              <w:jc w:val="center"/>
            </w:pPr>
            <w:r>
              <w:t>Share</w:t>
            </w:r>
          </w:p>
        </w:tc>
      </w:tr>
      <w:tr>
        <w:trPr>
          <w:cantSplit/>
        </w:trPr>
        <w:tc>
          <w:tcPr>
            <w:tcW w:type="dxa" w:w="1681"/>
          </w:tcPr>
          <w:p>
            <w:pPr>
              <w:pStyle w:val="tablecopy"/>
              <w:keepNext/>
              <w:spacing w:before="20" w:after="20"/>
            </w:pPr>
            <w:r>
              <w:t>Density balance [4]</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3.69 [3.50, 3.88]</w:t>
            </w:r>
          </w:p>
        </w:tc>
        <w:tc>
          <w:tcPr>
            <w:tcW w:type="dxa" w:w="700"/>
          </w:tcPr>
          <w:p>
            <w:pPr>
              <w:pStyle w:val="tablecopy"/>
              <w:keepNext/>
              <w:spacing w:before="20" w:after="20"/>
              <w:jc w:val="center"/>
            </w:pPr>
            <w:r>
              <w:t>30.7</w:t>
            </w:r>
          </w:p>
        </w:tc>
      </w:tr>
      <w:tr>
        <w:trPr>
          <w:cantSplit/>
        </w:trPr>
        <w:tc>
          <w:tcPr>
            <w:tcW w:type="dxa" w:w="1681"/>
          </w:tcPr>
          <w:p>
            <w:pPr>
              <w:pStyle w:val="tablecopy"/>
              <w:keepNext/>
              <w:spacing w:before="20" w:after="20"/>
            </w:pPr>
            <w:r>
              <w:t>Sense-like sort [3]</w:t>
            </w:r>
          </w:p>
        </w:tc>
        <w:tc>
          <w:tcPr>
            <w:tcW w:type="dxa" w:w="700"/>
          </w:tcPr>
          <w:p>
            <w:pPr>
              <w:pStyle w:val="tablecopy"/>
              <w:keepNext/>
              <w:spacing w:before="20" w:after="20"/>
              <w:jc w:val="center"/>
            </w:pPr>
            <w:r>
              <w:t>p.i.</w:t>
            </w:r>
          </w:p>
        </w:tc>
        <w:tc>
          <w:tcPr>
            <w:tcW w:type="dxa" w:w="1681"/>
          </w:tcPr>
          <w:p>
            <w:pPr>
              <w:pStyle w:val="tablecopy"/>
              <w:keepNext/>
              <w:spacing w:before="20" w:after="20"/>
              <w:jc w:val="center"/>
            </w:pPr>
            <w:r>
              <w:t>4.89</w:t>
            </w:r>
          </w:p>
        </w:tc>
        <w:tc>
          <w:tcPr>
            <w:tcW w:type="dxa" w:w="700"/>
          </w:tcPr>
          <w:p>
            <w:pPr>
              <w:pStyle w:val="tablecopy"/>
              <w:keepNext/>
              <w:spacing w:before="20" w:after="20"/>
              <w:jc w:val="center"/>
            </w:pPr>
            <w:r>
              <w:t>40.7</w:t>
            </w:r>
          </w:p>
        </w:tc>
      </w:tr>
      <w:tr>
        <w:trPr>
          <w:cantSplit/>
        </w:trPr>
        <w:tc>
          <w:tcPr>
            <w:tcW w:type="dxa" w:w="1681"/>
          </w:tcPr>
          <w:p>
            <w:pPr>
              <w:pStyle w:val="tablecopy"/>
              <w:keepNext/>
              <w:spacing w:before="20" w:after="20"/>
            </w:pPr>
            <w:r>
              <w:t>L1 Frozen</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7.46 [7.16, 7.78]</w:t>
            </w:r>
          </w:p>
        </w:tc>
        <w:tc>
          <w:tcPr>
            <w:tcW w:type="dxa" w:w="700"/>
          </w:tcPr>
          <w:p>
            <w:pPr>
              <w:pStyle w:val="tablecopy"/>
              <w:keepNext/>
              <w:spacing w:before="20" w:after="20"/>
              <w:jc w:val="center"/>
            </w:pPr>
            <w:r>
              <w:t>62.1</w:t>
            </w:r>
          </w:p>
        </w:tc>
      </w:tr>
      <w:tr>
        <w:trPr>
          <w:cantSplit/>
        </w:trPr>
        <w:tc>
          <w:tcPr>
            <w:tcW w:type="dxa" w:w="1681"/>
          </w:tcPr>
          <w:p>
            <w:pPr>
              <w:pStyle w:val="tablecopy"/>
              <w:keepNext/>
              <w:spacing w:before="20" w:after="20"/>
            </w:pPr>
            <w:r>
              <w:t>L1 Multi-start</w:t>
            </w:r>
          </w:p>
        </w:tc>
        <w:tc>
          <w:tcPr>
            <w:tcW w:type="dxa" w:w="700"/>
          </w:tcPr>
          <w:p>
            <w:pPr>
              <w:pStyle w:val="tablecopy"/>
              <w:keepNext/>
              <w:spacing w:before="20" w:after="20"/>
              <w:jc w:val="center"/>
            </w:pPr>
            <w:r>
              <w:t>Cal-3†</w:t>
            </w:r>
          </w:p>
        </w:tc>
        <w:tc>
          <w:tcPr>
            <w:tcW w:type="dxa" w:w="1681"/>
          </w:tcPr>
          <w:p>
            <w:pPr>
              <w:pStyle w:val="tablecopy"/>
              <w:keepNext/>
              <w:spacing w:before="20" w:after="20"/>
              <w:jc w:val="center"/>
            </w:pPr>
            <w:r>
              <w:t>8.10 [7.80, 8.39]</w:t>
            </w:r>
          </w:p>
        </w:tc>
        <w:tc>
          <w:tcPr>
            <w:tcW w:type="dxa" w:w="700"/>
          </w:tcPr>
          <w:p>
            <w:pPr>
              <w:pStyle w:val="tablecopy"/>
              <w:keepNext/>
              <w:spacing w:before="20" w:after="20"/>
              <w:jc w:val="center"/>
            </w:pPr>
            <w:r>
              <w:t>67.4</w:t>
            </w:r>
          </w:p>
        </w:tc>
      </w:tr>
      <w:tr>
        <w:trPr>
          <w:cantSplit/>
        </w:trPr>
        <w:tc>
          <w:tcPr>
            <w:tcW w:type="dxa" w:w="1681"/>
          </w:tcPr>
          <w:p>
            <w:pPr>
              <w:pStyle w:val="tablecopy"/>
              <w:keepNext/>
              <w:spacing w:before="20" w:after="20"/>
            </w:pPr>
            <w:r>
              <w:t>L2 skew</w:t>
            </w:r>
          </w:p>
        </w:tc>
        <w:tc>
          <w:tcPr>
            <w:tcW w:type="dxa" w:w="700"/>
          </w:tcPr>
          <w:p>
            <w:pPr>
              <w:pStyle w:val="tablecopy"/>
              <w:keepNext/>
              <w:spacing w:before="20" w:after="20"/>
              <w:jc w:val="center"/>
            </w:pPr>
            <w:r>
              <w:t>none</w:t>
            </w:r>
          </w:p>
        </w:tc>
        <w:tc>
          <w:tcPr>
            <w:tcW w:type="dxa" w:w="1681"/>
          </w:tcPr>
          <w:p>
            <w:pPr>
              <w:pStyle w:val="tablecopy"/>
              <w:keepNext/>
              <w:spacing w:before="20" w:after="20"/>
              <w:jc w:val="center"/>
            </w:pPr>
            <w:r>
              <w:t>9.20 [8.82, 9.58]</w:t>
            </w:r>
          </w:p>
        </w:tc>
        <w:tc>
          <w:tcPr>
            <w:tcW w:type="dxa" w:w="700"/>
          </w:tcPr>
          <w:p>
            <w:pPr>
              <w:pStyle w:val="tablecopy"/>
              <w:keepNext/>
              <w:spacing w:before="20" w:after="20"/>
              <w:jc w:val="center"/>
            </w:pPr>
            <w:r>
              <w:t>76.6</w:t>
            </w:r>
          </w:p>
        </w:tc>
      </w:tr>
      <w:tr>
        <w:trPr>
          <w:cantSplit/>
        </w:trPr>
        <w:tc>
          <w:tcPr>
            <w:tcW w:type="dxa" w:w="1681"/>
          </w:tcPr>
          <w:p>
            <w:pPr>
              <w:pStyle w:val="tablecopy"/>
              <w:keepNext/>
              <w:spacing w:before="20" w:after="20"/>
            </w:pPr>
            <w:r>
              <w:t>L3 skew + relabeling</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9.93 [9.54, 10.32]</w:t>
            </w:r>
          </w:p>
        </w:tc>
        <w:tc>
          <w:tcPr>
            <w:tcW w:type="dxa" w:w="700"/>
          </w:tcPr>
          <w:p>
            <w:pPr>
              <w:pStyle w:val="tablecopy"/>
              <w:keepNext/>
              <w:spacing w:before="20" w:after="20"/>
              <w:jc w:val="center"/>
            </w:pPr>
            <w:r>
              <w:t>82.6</w:t>
            </w:r>
          </w:p>
        </w:tc>
      </w:tr>
      <w:tr>
        <w:trPr>
          <w:cantSplit/>
        </w:trP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spacing w:before="120"/>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One network, four images, one run each; L0, Frozen and Multi-start had run on these images before.</w:t>
      </w:r>
    </w:p>
    <w:p>
      <w:pPr>
        <w:pStyle w:val="a3"/>
        <w:ind w:firstLine="0" w:left="198"/>
      </w:pPr>
      <w:r>
        <w:t xml:space="preserve">• </w:t>
      </w:r>
      <w:r>
        <w:rPr>
          <w:b/>
        </w:rPr>
        <w:t>Scope and selection.</w:t>
      </w:r>
      <w:r>
        <w:t xml:space="preserve"> Only DnCNN-family denoisers at σ = 25, one noise draw per image and one fit per layout (the intervals resample images only); BSD68 was part of the networks' development; FIFO-decoupled banks and other P, T or kernel sizes were not evaluated. Multi-start was chosen for the board after its BSD68 counts had been seen, and some L2 and L3 counts had been seen before the second protocol was fixed.</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on all nine networks with N mod 4 = 0, and a relabeling fitted under the skew removed more than the skew on every test image and, pooled, in every fitted layer. On the board the same order held on all four images, and the cycles of 71 of the 72 layers of the never-run L2 and L3 were predicted exactly. Skew and relabeling only partly add (under the skew the relabeling gains 0.48–1.18 points, alone 3.50–10.80%): the skew spreads each channel over the banks, the relabeling still chooses which channels share one.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