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max(C + 1, COUT)는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xml:space="preserve">), AXI-Stream 래퍼는 32비트 전송 단위(beat)에 실려 오는 값 4개를 그에 맞춰 1개/사이클로 풀어 넣는다. 처음 판에 '래퍼의 설계'라고 적은 것은 부정확했다. 래퍼만이 아니라 코어의 적재 경로도 바꿔야 포트가 넓어진다. 본 연구는 CIFAR-10용으로 만든 코어를 바꾸지 않고 주어진 것으로 다룬다(이미 있는 가속기를 쓰는 사용자의 입장).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dense 상한으로는 2값/사이클만 돼도 maxout이 ReLU 망의 1.9배가 되고 B가 A보다 느려지지만(1,247 대 907 사이클/px), 보드에서 잰 활성값 밀도로 sparse 모드를 추정하면 maxout은 1.4–1.8배이고 B는 4값/사이클부터 A보다 느려진다(표 III). 포트를 넓히면 비용을 정하는 것은 계산 항인데, 이 항은 계산에 묶인 CIFAR-10 창(K=576, 출력 128)에서 이 코어의 RTL 시뮬레이션과 창당 1 사이클 안에서 맞았다(모델 956.2 대 시뮬레이션 956.8 사이클/창, </w:t>
      </w:r>
      <w:r>
        <w:rPr>
          <w:rFonts w:ascii="Courier New" w:hAnsi="Courier New"/>
        </w:rPr>
        <w:t>python scripts/cifar_budget.py --validate</w:t>
      </w:r>
      <w:r>
        <w:t>). 예측은 이 항에 기댄다.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빨라진다(sparse 추정에서도 같다; 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tablehead"/>
        <w:numPr>
          <w:ilvl w:val="0"/>
          <w:numId w:val="0"/>
        </w:numPr>
      </w:pPr>
      <w:r>
        <w:t>sparse 모드 추정 (보드에서 잰 층별 입력 활성값 밀도를 쓰고, 뱅크 불균형을 1.0–1.3으로 가정; 연산에 묶인 잡음 제거 층의 sparse 사이클은 보드에서 재지 않았다)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망</w:t>
            </w:r>
          </w:p>
        </w:tc>
        <w:tc>
          <w:tcPr>
            <w:tcW w:type="dxa" w:w="1111"/>
          </w:tcPr>
          <w:p>
            <w:pPr>
              <w:pStyle w:val="tablecolhead"/>
              <w:spacing w:before="20" w:after="20"/>
              <w:jc w:val="center"/>
            </w:pPr>
            <w:r>
              <w:t>2값/사이클</w:t>
            </w:r>
          </w:p>
        </w:tc>
        <w:tc>
          <w:tcPr>
            <w:tcW w:type="dxa" w:w="1111"/>
          </w:tcPr>
          <w:p>
            <w:pPr>
              <w:pStyle w:val="tablecolhead"/>
              <w:spacing w:before="20" w:after="20"/>
              <w:jc w:val="center"/>
            </w:pPr>
            <w:r>
              <w:t>4값/사이클</w:t>
            </w:r>
          </w:p>
        </w:tc>
        <w:tc>
          <w:tcPr>
            <w:tcW w:type="dxa" w:w="1111"/>
          </w:tcPr>
          <w:p>
            <w:pPr>
              <w:pStyle w:val="tablecolhead"/>
              <w:spacing w:before="20" w:after="20"/>
              <w:jc w:val="center"/>
            </w:pPr>
            <w:r>
              <w:t>라인 버퍼</w:t>
            </w:r>
          </w:p>
        </w:tc>
      </w:tr>
      <w:tr>
        <w:tc>
          <w:tcPr>
            <w:tcW w:type="dxa" w:w="1429"/>
          </w:tcPr>
          <w:p>
            <w:pPr>
              <w:pStyle w:val="tablecopy"/>
              <w:spacing w:before="20" w:after="20"/>
            </w:pPr>
            <w:r>
              <w:t>A</w:t>
            </w:r>
          </w:p>
        </w:tc>
        <w:tc>
          <w:tcPr>
            <w:tcW w:type="dxa" w:w="1111"/>
          </w:tcPr>
          <w:p>
            <w:pPr>
              <w:pStyle w:val="tablecopy"/>
              <w:spacing w:before="20" w:after="20"/>
              <w:jc w:val="center"/>
            </w:pPr>
            <w:r>
              <w:t>907</w:t>
            </w:r>
          </w:p>
        </w:tc>
        <w:tc>
          <w:tcPr>
            <w:tcW w:type="dxa" w:w="1111"/>
          </w:tcPr>
          <w:p>
            <w:pPr>
              <w:pStyle w:val="tablecopy"/>
              <w:spacing w:before="20" w:after="20"/>
              <w:jc w:val="center"/>
            </w:pPr>
            <w:r>
              <w:t>495–603</w:t>
            </w:r>
          </w:p>
        </w:tc>
        <w:tc>
          <w:tcPr>
            <w:tcW w:type="dxa" w:w="1111"/>
          </w:tcPr>
          <w:p>
            <w:pPr>
              <w:pStyle w:val="tablecopy"/>
              <w:spacing w:before="20" w:after="20"/>
              <w:jc w:val="center"/>
            </w:pPr>
            <w:r>
              <w:t>458–582</w:t>
            </w:r>
          </w:p>
        </w:tc>
      </w:tr>
      <w:tr>
        <w:tc>
          <w:tcPr>
            <w:tcW w:type="dxa" w:w="1429"/>
          </w:tcPr>
          <w:p>
            <w:pPr>
              <w:pStyle w:val="tablecopy"/>
              <w:spacing w:before="20" w:after="20"/>
            </w:pPr>
            <w:r>
              <w:t>B</w:t>
            </w:r>
          </w:p>
        </w:tc>
        <w:tc>
          <w:tcPr>
            <w:tcW w:type="dxa" w:w="1111"/>
          </w:tcPr>
          <w:p>
            <w:pPr>
              <w:pStyle w:val="tablecopy"/>
              <w:spacing w:before="20" w:after="20"/>
              <w:jc w:val="center"/>
            </w:pPr>
            <w:r>
              <w:t>678–777</w:t>
            </w:r>
          </w:p>
        </w:tc>
        <w:tc>
          <w:tcPr>
            <w:tcW w:type="dxa" w:w="1111"/>
          </w:tcPr>
          <w:p>
            <w:pPr>
              <w:pStyle w:val="tablecopy"/>
              <w:spacing w:before="20" w:after="20"/>
              <w:jc w:val="center"/>
            </w:pPr>
            <w:r>
              <w:t>579–733</w:t>
            </w:r>
          </w:p>
        </w:tc>
        <w:tc>
          <w:tcPr>
            <w:tcW w:type="dxa" w:w="1111"/>
          </w:tcPr>
          <w:p>
            <w:pPr>
              <w:pStyle w:val="tablecopy"/>
              <w:spacing w:before="20" w:after="20"/>
              <w:jc w:val="center"/>
            </w:pPr>
            <w:r>
              <w:t>557–717</w:t>
            </w:r>
          </w:p>
        </w:tc>
      </w:tr>
      <w:tr>
        <w:tc>
          <w:tcPr>
            <w:tcW w:type="dxa" w:w="1429"/>
          </w:tcPr>
          <w:p>
            <w:pPr>
              <w:pStyle w:val="tablecopy"/>
              <w:spacing w:before="20" w:after="20"/>
            </w:pPr>
            <w:r>
              <w:t>B-32 ReLU</w:t>
            </w:r>
          </w:p>
        </w:tc>
        <w:tc>
          <w:tcPr>
            <w:tcW w:type="dxa" w:w="1111"/>
          </w:tcPr>
          <w:p>
            <w:pPr>
              <w:pStyle w:val="tablecopy"/>
              <w:spacing w:before="20" w:after="20"/>
              <w:jc w:val="center"/>
            </w:pPr>
            <w:r>
              <w:t>339</w:t>
            </w:r>
          </w:p>
        </w:tc>
        <w:tc>
          <w:tcPr>
            <w:tcW w:type="dxa" w:w="1111"/>
          </w:tcPr>
          <w:p>
            <w:pPr>
              <w:pStyle w:val="tablecopy"/>
              <w:spacing w:before="20" w:after="20"/>
              <w:jc w:val="center"/>
            </w:pPr>
            <w:r>
              <w:t>178–210</w:t>
            </w:r>
          </w:p>
        </w:tc>
        <w:tc>
          <w:tcPr>
            <w:tcW w:type="dxa" w:w="1111"/>
          </w:tcPr>
          <w:p>
            <w:pPr>
              <w:pStyle w:val="tablecopy"/>
              <w:spacing w:before="20" w:after="20"/>
              <w:jc w:val="center"/>
            </w:pPr>
            <w:r>
              <w:t>160–204</w:t>
            </w:r>
          </w:p>
        </w:tc>
      </w:tr>
      <w:tr>
        <w:tc>
          <w:tcPr>
            <w:tcW w:type="dxa" w:w="1429"/>
          </w:tcPr>
          <w:p>
            <w:pPr>
              <w:pStyle w:val="tablecopy"/>
              <w:spacing w:before="20" w:after="20"/>
            </w:pPr>
            <w:r>
              <w:t>B-32 maxout</w:t>
            </w:r>
          </w:p>
        </w:tc>
        <w:tc>
          <w:tcPr>
            <w:tcW w:type="dxa" w:w="1111"/>
          </w:tcPr>
          <w:p>
            <w:pPr>
              <w:pStyle w:val="tablecopy"/>
              <w:spacing w:before="20" w:after="20"/>
              <w:jc w:val="center"/>
            </w:pPr>
            <w:r>
              <w:t>481–606</w:t>
            </w:r>
          </w:p>
        </w:tc>
        <w:tc>
          <w:tcPr>
            <w:tcW w:type="dxa" w:w="1111"/>
          </w:tcPr>
          <w:p>
            <w:pPr>
              <w:pStyle w:val="tablecopy"/>
              <w:spacing w:before="20" w:after="20"/>
              <w:jc w:val="center"/>
            </w:pPr>
            <w:r>
              <w:t>461–586</w:t>
            </w:r>
          </w:p>
        </w:tc>
        <w:tc>
          <w:tcPr>
            <w:tcW w:type="dxa" w:w="1111"/>
          </w:tcPr>
          <w:p>
            <w:pPr>
              <w:pStyle w:val="tablecopy"/>
              <w:spacing w:before="20" w:after="20"/>
              <w:jc w:val="center"/>
            </w:pPr>
            <w:r>
              <w:t>456–586</w:t>
            </w:r>
          </w:p>
        </w:tc>
      </w:tr>
      <w:tr>
        <w:tc>
          <w:tcPr>
            <w:tcW w:type="dxa" w:w="1429"/>
          </w:tcPr>
          <w:p>
            <w:pPr>
              <w:pStyle w:val="tablecopy"/>
              <w:spacing w:before="20" w:after="20"/>
            </w:pPr>
            <w:r>
              <w:t>B ÷ A</w:t>
            </w:r>
          </w:p>
        </w:tc>
        <w:tc>
          <w:tcPr>
            <w:tcW w:type="dxa" w:w="1111"/>
          </w:tcPr>
          <w:p>
            <w:pPr>
              <w:pStyle w:val="tablecopy"/>
              <w:spacing w:before="20" w:after="20"/>
              <w:jc w:val="center"/>
            </w:pPr>
            <w:r>
              <w:t>0.75–0.86</w:t>
            </w:r>
          </w:p>
        </w:tc>
        <w:tc>
          <w:tcPr>
            <w:tcW w:type="dxa" w:w="1111"/>
          </w:tcPr>
          <w:p>
            <w:pPr>
              <w:pStyle w:val="tablecopy"/>
              <w:spacing w:before="20" w:after="20"/>
              <w:jc w:val="center"/>
            </w:pPr>
            <w:r>
              <w:t>1.17–1.21</w:t>
            </w:r>
          </w:p>
        </w:tc>
        <w:tc>
          <w:tcPr>
            <w:tcW w:type="dxa" w:w="1111"/>
          </w:tcPr>
          <w:p>
            <w:pPr>
              <w:pStyle w:val="tablecopy"/>
              <w:spacing w:before="20" w:after="20"/>
              <w:jc w:val="center"/>
            </w:pPr>
            <w:r>
              <w:t>1.22–1.23</w:t>
            </w:r>
          </w:p>
        </w:tc>
      </w:tr>
      <w:tr>
        <w:tc>
          <w:tcPr>
            <w:tcW w:type="dxa" w:w="1429"/>
          </w:tcPr>
          <w:p>
            <w:pPr>
              <w:pStyle w:val="tablecopy"/>
              <w:spacing w:before="20" w:after="20"/>
            </w:pPr>
            <w:r>
              <w:t>maxout ÷ ReLU</w:t>
            </w:r>
          </w:p>
        </w:tc>
        <w:tc>
          <w:tcPr>
            <w:tcW w:type="dxa" w:w="1111"/>
          </w:tcPr>
          <w:p>
            <w:pPr>
              <w:pStyle w:val="tablecopy"/>
              <w:spacing w:before="20" w:after="20"/>
              <w:jc w:val="center"/>
            </w:pPr>
            <w:r>
              <w:t>1.42–1.79</w:t>
            </w:r>
          </w:p>
        </w:tc>
        <w:tc>
          <w:tcPr>
            <w:tcW w:type="dxa" w:w="1111"/>
          </w:tcPr>
          <w:p>
            <w:pPr>
              <w:pStyle w:val="tablecopy"/>
              <w:spacing w:before="20" w:after="20"/>
              <w:jc w:val="center"/>
            </w:pPr>
            <w:r>
              <w:t>2.59–2.79</w:t>
            </w:r>
          </w:p>
        </w:tc>
        <w:tc>
          <w:tcPr>
            <w:tcW w:type="dxa" w:w="1111"/>
          </w:tcPr>
          <w:p>
            <w:pPr>
              <w:pStyle w:val="tablecopy"/>
              <w:spacing w:before="20" w:after="20"/>
              <w:jc w:val="center"/>
            </w:pPr>
            <w:r>
              <w:t>2.85–2.88</w:t>
            </w:r>
          </w:p>
        </w:tc>
      </w:tr>
    </w:tbl>
    <w:p>
      <w:pPr>
        <w:pStyle w:val="a3"/>
      </w:pPr>
      <w:r>
        <w:t>dense 상한으로는 2값/사이클만 돼도 두 선택의 사이클 이점이 모두 사라진다. sparse 모드로 추정하면 합치기는 2값부터 공짜가 아니고(maxout 망은 입력에 0이 적어 건너뛸 곱셈이 적다), B는 4값/사이클과 라인 버퍼에서 A보다 느려진다. 4값/사이클과 라인 버퍼는 둘 다 은닉층을 연산에 묶이게 만들어 거의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사라진다(sparse 추정 기준;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