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 xml:space="preserve">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같은 학습 예산에서 이 망은 같은 폭의 ReLU 망보다 잡음을 더 잘 제거했고, 시드 1에서는 두 값을 max 대신 평균으로 합쳐도 같았다(float). 즉 차이를 만든 것은 max 연산이 아니라 공짜로 늘어난 용량으로 보인다〔시드 2·3과 평균 결합 QAT 결과로 </w:t>
      </w:r>
      <w:r>
        <w:rPr>
          <w:rFonts w:ascii="Courier New" w:hAnsi="Courier New"/>
        </w:rPr>
        <w:t>ABSTRACT.md</w:t>
      </w:r>
      <w:r>
        <w:t>의 규칙 적용〕.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고를 망은 측정한 병목에 따라 달라진다.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 가장 가까운 연구로, HALP [25]는 GPU에서 잰 계단 모양의 지연(채널 수에 따라 계단처럼 바뀜)에 맞춰 채널을 가지치기하고, DRACO [26]는 데이터 흐름이 아니라 망을 바꿔 메모리에 묶인 망이 고정된 시스톨릭 배열의 PE를 더 쓰게 했다. 본 연구는 주어진 입력 병목이 어떤 망을 유리하게 만드는지를 정확한 사이클 모델로 정하고 보드에서 비트 단위로 확인한다는 점이 다르다.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 이 코어는 PC CPU보다 느린 실험용 플랫폼이며(V절), 목적은 처리량이 아니라 사이클을 정확히 따질 수 있는 환경에서 망 선택의 근거를 보이는 것이다.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늘려 같은 폭의 ReLU 망보다 화질을 올린다. 시드 1에서는 평균으로 합치는 대조군도 같아서(float), 차이를 만든 것은 max가 아니라 늘어난 출력으로 보인다〔시드 2·3, 평균 결합 QAT〕.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보정은 매개변수가 없는 규칙이다. 창당 +1은 CIFAR-10 실행과 기준 망에서 보였고, 최소 COUT 규칙은 기준 망(첫 층 K=9, COUT=32 → 32 사이클)만으로는 "최소 32 사이클"과 구별되지 않아 B의 첫 층(K=36, COUT=64 → 64 사이클)에서 확정했다. 두 보정을 넣은 모델은 네 망의 총 사이클과 0.003% 안에서 맞고(표 II), 보정을 코드로 옮긴 뒤 처음 잰 B-32 ReLU 망은 미리 0.0014% 안에서 예측했다. 창당 1 사이클(289분의 1)은 RTL에 남은 비효율이며, 고치지 않고 모델에 넣었다. 보정 전 모델의 오차는 네 망에서 0.4–1.6%다.</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dense 상한으로는 2값/사이클만 돼도 maxout이 ReLU 망의 1.9배가 되고 B가 A보다 느려지지만(1,247 대 907 사이클/px), 보드에서 잰 활성값 밀도로 sparse 모드를 추정하면 maxout은 1.4–1.8배이고 B는 4값/사이클부터 A보다 느려진다(표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빨라진다(sparse 추정에서도 같다; 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비싸다(이 망은 학습하지 않았다).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화질은 PSNR과 함께 SSIM [27](8비트 영상, 11×11 가우시안 창, σ=1.5)으로도 쟀다. SSIM은 모든 출력을 같은 잡음에서 다시 만들고, 사진별 PSNR이 저장된 값과 맞는지(정수 모델 10⁻⁵ dB, BM3D·DnCNN-S 10⁻³ dB 안) 먼저 확인한 뒤 계산했다(</w:t>
      </w:r>
      <w:r>
        <w:rPr>
          <w:rFonts w:ascii="Courier New" w:hAnsi="Courier New"/>
        </w:rPr>
        <w:t>denoise/ssim_eval.py</w:t>
      </w:r>
      <w:r>
        <w:t>).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SSIM은 정수 모델(보드와 같은 8비트 출력)의 값이며, BM3D와 DnCNN-S는 float 출력을 8비트로 반올림해 계산했다. 마지막 열은 정수 모델이 BM3D(클리핑 입력)보다 PSNR이 높은 사진 수. B-32 행은 모두 조기 종료 없이 120 epoch(갱신 19,200회)을 학습한 시드 1의 값이며, +QAT 행은 여기에 QAT 15 epoch을 더했다(QAT 단계의 시드는 모든 QAT 모델이 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964"/>
        <w:gridCol w:w="964"/>
        <w:gridCol w:w="964"/>
        <w:gridCol w:w="964"/>
        <w:gridCol w:w="964"/>
        <w:gridCol w:w="964"/>
        <w:gridCol w:w="964"/>
      </w:tblGrid>
      <w:tr>
        <w:tc>
          <w:tcPr>
            <w:tcW w:type="dxa" w:w="2891"/>
          </w:tcPr>
          <w:p>
            <w:pPr>
              <w:pStyle w:val="tablecolhead"/>
              <w:spacing w:before="20" w:after="20"/>
            </w:pPr>
            <w:r>
              <w:t>모델</w:t>
            </w:r>
          </w:p>
        </w:tc>
        <w:tc>
          <w:tcPr>
            <w:tcW w:type="dxa" w:w="964"/>
          </w:tcPr>
          <w:p>
            <w:pPr>
              <w:pStyle w:val="tablecolhead"/>
              <w:spacing w:before="20" w:after="20"/>
              <w:jc w:val="center"/>
            </w:pPr>
            <w:r>
              <w:t>사이클/px</w:t>
            </w:r>
          </w:p>
        </w:tc>
        <w:tc>
          <w:tcPr>
            <w:tcW w:type="dxa" w:w="964"/>
          </w:tcPr>
          <w:p>
            <w:pPr>
              <w:pStyle w:val="tablecolhead"/>
              <w:spacing w:before="20" w:after="20"/>
              <w:jc w:val="center"/>
            </w:pPr>
            <w:r>
              <w:t>곱셈기 활용률</w:t>
            </w:r>
          </w:p>
        </w:tc>
        <w:tc>
          <w:tcPr>
            <w:tcW w:type="dxa" w:w="964"/>
          </w:tcPr>
          <w:p>
            <w:pPr>
              <w:pStyle w:val="tablecolhead"/>
              <w:spacing w:before="20" w:after="20"/>
              <w:jc w:val="center"/>
            </w:pPr>
            <w:r>
              <w:t>파라미터</w:t>
            </w:r>
          </w:p>
        </w:tc>
        <w:tc>
          <w:tcPr>
            <w:tcW w:type="dxa" w:w="964"/>
          </w:tcPr>
          <w:p>
            <w:pPr>
              <w:pStyle w:val="tablecolhead"/>
              <w:spacing w:before="20" w:after="20"/>
              <w:jc w:val="center"/>
            </w:pPr>
            <w:r>
              <w:t>Set12 float / 정수</w:t>
            </w:r>
          </w:p>
        </w:tc>
        <w:tc>
          <w:tcPr>
            <w:tcW w:type="dxa" w:w="964"/>
          </w:tcPr>
          <w:p>
            <w:pPr>
              <w:pStyle w:val="tablecolhead"/>
              <w:spacing w:before="20" w:after="20"/>
              <w:jc w:val="center"/>
            </w:pPr>
            <w:r>
              <w:t>BSD68 float / 정수</w:t>
            </w:r>
          </w:p>
        </w:tc>
        <w:tc>
          <w:tcPr>
            <w:tcW w:type="dxa" w:w="964"/>
          </w:tcPr>
          <w:p>
            <w:pPr>
              <w:pStyle w:val="tablecolhead"/>
              <w:spacing w:before="20" w:after="20"/>
              <w:jc w:val="center"/>
            </w:pPr>
            <w:r>
              <w:t>SSIM Set12 / BSD68</w:t>
            </w:r>
          </w:p>
        </w:tc>
        <w:tc>
          <w:tcPr>
            <w:tcW w:type="dxa" w:w="96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29.95</w:t>
            </w:r>
          </w:p>
        </w:tc>
        <w:tc>
          <w:tcPr>
            <w:tcW w:type="dxa" w:w="964"/>
          </w:tcPr>
          <w:p>
            <w:pPr>
              <w:pStyle w:val="tablecopy"/>
              <w:spacing w:before="20" w:after="20"/>
              <w:jc w:val="center"/>
            </w:pPr>
            <w:r>
              <w:t>28.37</w:t>
            </w:r>
          </w:p>
        </w:tc>
        <w:tc>
          <w:tcPr>
            <w:tcW w:type="dxa" w:w="964"/>
          </w:tcPr>
          <w:p>
            <w:pPr>
              <w:pStyle w:val="tablecopy"/>
              <w:spacing w:before="20" w:after="20"/>
              <w:jc w:val="center"/>
            </w:pPr>
            <w:r>
              <w:t>0.8504 / 0.7990</w:t>
            </w:r>
          </w:p>
        </w:tc>
        <w:tc>
          <w:tcPr>
            <w:tcW w:type="dxa" w:w="964"/>
          </w:tcPr>
          <w:p>
            <w:pPr>
              <w:pStyle w:val="tablecopy"/>
              <w:spacing w:before="20" w:after="20"/>
              <w:jc w:val="center"/>
            </w:pPr>
            <w:r>
              <w:t>—</w:t>
            </w:r>
          </w:p>
        </w:tc>
      </w:tr>
      <w:tr>
        <w:tc>
          <w:tcPr>
            <w:tcW w:type="dxa" w:w="2891"/>
          </w:tcPr>
          <w:p>
            <w:pPr>
              <w:pStyle w:val="tablecopy"/>
              <w:spacing w:before="20" w:after="20"/>
            </w:pPr>
            <w:r>
              <w:t>BM3D, 클리핑 없음</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w:t>
            </w:r>
          </w:p>
        </w:tc>
        <w:tc>
          <w:tcPr>
            <w:tcW w:type="dxa" w:w="964"/>
          </w:tcPr>
          <w:p>
            <w:pPr>
              <w:pStyle w:val="tablecopy"/>
              <w:spacing w:before="20" w:after="20"/>
              <w:jc w:val="center"/>
            </w:pPr>
            <w:r>
              <w:t>29.98</w:t>
            </w:r>
          </w:p>
        </w:tc>
        <w:tc>
          <w:tcPr>
            <w:tcW w:type="dxa" w:w="964"/>
          </w:tcPr>
          <w:p>
            <w:pPr>
              <w:pStyle w:val="tablecopy"/>
              <w:spacing w:before="20" w:after="20"/>
              <w:jc w:val="center"/>
            </w:pPr>
            <w:r>
              <w:t>28.62</w:t>
            </w:r>
          </w:p>
        </w:tc>
        <w:tc>
          <w:tcPr>
            <w:tcW w:type="dxa" w:w="964"/>
          </w:tcPr>
          <w:p>
            <w:pPr>
              <w:pStyle w:val="tablecopy"/>
              <w:spacing w:before="20" w:after="20"/>
              <w:jc w:val="center"/>
            </w:pPr>
            <w:r>
              <w:t>0.8513 / 0.8037</w:t>
            </w:r>
          </w:p>
        </w:tc>
        <w:tc>
          <w:tcPr>
            <w:tcW w:type="dxa" w:w="96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964"/>
          </w:tcPr>
          <w:p>
            <w:pPr>
              <w:pStyle w:val="tablecopy"/>
              <w:spacing w:before="20" w:after="20"/>
              <w:jc w:val="center"/>
            </w:pPr>
            <w:r>
              <w:t>9.3k (모델)</w:t>
            </w:r>
          </w:p>
        </w:tc>
        <w:tc>
          <w:tcPr>
            <w:tcW w:type="dxa" w:w="964"/>
          </w:tcPr>
          <w:p>
            <w:pPr>
              <w:pStyle w:val="tablecopy"/>
              <w:spacing w:before="20" w:after="20"/>
              <w:jc w:val="center"/>
            </w:pPr>
            <w:r>
              <w:t>—</w:t>
            </w:r>
          </w:p>
        </w:tc>
        <w:tc>
          <w:tcPr>
            <w:tcW w:type="dxa" w:w="964"/>
          </w:tcPr>
          <w:p>
            <w:pPr>
              <w:pStyle w:val="tablecopy"/>
              <w:spacing w:before="20" w:after="20"/>
              <w:jc w:val="center"/>
            </w:pPr>
            <w:r>
              <w:t>556k</w:t>
            </w:r>
          </w:p>
        </w:tc>
        <w:tc>
          <w:tcPr>
            <w:tcW w:type="dxa" w:w="964"/>
          </w:tcPr>
          <w:p>
            <w:pPr>
              <w:pStyle w:val="tablecopy"/>
              <w:spacing w:before="20" w:after="20"/>
              <w:jc w:val="center"/>
            </w:pPr>
            <w:r>
              <w:t>30.35</w:t>
            </w:r>
          </w:p>
        </w:tc>
        <w:tc>
          <w:tcPr>
            <w:tcW w:type="dxa" w:w="964"/>
          </w:tcPr>
          <w:p>
            <w:pPr>
              <w:pStyle w:val="tablecopy"/>
              <w:spacing w:before="20" w:after="20"/>
              <w:jc w:val="center"/>
            </w:pPr>
            <w:r>
              <w:t>28.89</w:t>
            </w:r>
          </w:p>
        </w:tc>
        <w:tc>
          <w:tcPr>
            <w:tcW w:type="dxa" w:w="964"/>
          </w:tcPr>
          <w:p>
            <w:pPr>
              <w:pStyle w:val="tablecopy"/>
              <w:spacing w:before="20" w:after="20"/>
              <w:jc w:val="center"/>
            </w:pPr>
            <w:r>
              <w:t>0.8594 / 0.8217</w:t>
            </w:r>
          </w:p>
        </w:tc>
        <w:tc>
          <w:tcPr>
            <w:tcW w:type="dxa" w:w="964"/>
          </w:tcPr>
          <w:p>
            <w:pPr>
              <w:pStyle w:val="tablecopy"/>
              <w:spacing w:before="20" w:after="20"/>
              <w:jc w:val="center"/>
            </w:pPr>
            <w:r>
              <w:t>—</w:t>
            </w:r>
          </w:p>
        </w:tc>
      </w:tr>
      <w:tr>
        <w:tc>
          <w:tcPr>
            <w:tcW w:type="dxa" w:w="2891"/>
          </w:tcPr>
          <w:p>
            <w:pPr>
              <w:pStyle w:val="tablecopy"/>
              <w:spacing w:before="20" w:after="20"/>
            </w:pPr>
            <w:r>
              <w:t>A: 7층 × 32 (기준)</w:t>
            </w:r>
          </w:p>
        </w:tc>
        <w:tc>
          <w:tcPr>
            <w:tcW w:type="dxa" w:w="964"/>
          </w:tcPr>
          <w:p>
            <w:pPr>
              <w:pStyle w:val="tablecopy"/>
              <w:spacing w:before="20" w:after="20"/>
              <w:jc w:val="center"/>
            </w:pPr>
            <w:r>
              <w:t>1,775 (실측)</w:t>
            </w:r>
          </w:p>
        </w:tc>
        <w:tc>
          <w:tcPr>
            <w:tcW w:type="dxa" w:w="964"/>
          </w:tcPr>
          <w:p>
            <w:pPr>
              <w:pStyle w:val="tablecopy"/>
              <w:spacing w:before="20" w:after="20"/>
              <w:jc w:val="center"/>
            </w:pPr>
            <w:r>
              <w:t>41%</w:t>
            </w:r>
          </w:p>
        </w:tc>
        <w:tc>
          <w:tcPr>
            <w:tcW w:type="dxa" w:w="964"/>
          </w:tcPr>
          <w:p>
            <w:pPr>
              <w:pStyle w:val="tablecopy"/>
              <w:spacing w:before="20" w:after="20"/>
              <w:jc w:val="center"/>
            </w:pPr>
            <w:r>
              <w:t>47k</w:t>
            </w:r>
          </w:p>
        </w:tc>
        <w:tc>
          <w:tcPr>
            <w:tcW w:type="dxa" w:w="964"/>
          </w:tcPr>
          <w:p>
            <w:pPr>
              <w:pStyle w:val="tablecopy"/>
              <w:spacing w:before="20" w:after="20"/>
              <w:jc w:val="center"/>
            </w:pPr>
            <w:r>
              <w:t>29.87 / 29.83</w:t>
            </w:r>
          </w:p>
        </w:tc>
        <w:tc>
          <w:tcPr>
            <w:tcW w:type="dxa" w:w="964"/>
          </w:tcPr>
          <w:p>
            <w:pPr>
              <w:pStyle w:val="tablecopy"/>
              <w:spacing w:before="20" w:after="20"/>
              <w:jc w:val="center"/>
            </w:pPr>
            <w:r>
              <w:t>28.83 / 28.80</w:t>
            </w:r>
          </w:p>
        </w:tc>
        <w:tc>
          <w:tcPr>
            <w:tcW w:type="dxa" w:w="964"/>
          </w:tcPr>
          <w:p>
            <w:pPr>
              <w:pStyle w:val="tablecopy"/>
              <w:spacing w:before="20" w:after="20"/>
              <w:jc w:val="center"/>
            </w:pPr>
            <w:r>
              <w:t>0.8422 / 0.8088</w:t>
            </w:r>
          </w:p>
        </w:tc>
        <w:tc>
          <w:tcPr>
            <w:tcW w:type="dxa" w:w="964"/>
          </w:tcPr>
          <w:p>
            <w:pPr>
              <w:pStyle w:val="tablecopy"/>
              <w:spacing w:before="20" w:after="20"/>
              <w:jc w:val="center"/>
            </w:pPr>
            <w:r>
              <w:t>6/12, 60/68</w:t>
            </w:r>
          </w:p>
        </w:tc>
      </w:tr>
      <w:tr>
        <w:tc>
          <w:tcPr>
            <w:tcW w:type="dxa" w:w="2891"/>
          </w:tcPr>
          <w:p>
            <w:pPr>
              <w:pStyle w:val="tablecopy"/>
              <w:spacing w:before="20" w:after="20"/>
            </w:pPr>
            <w:r>
              <w:t>B: s2d, 10층 × 64</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30.14 / 30.10</w:t>
            </w:r>
          </w:p>
        </w:tc>
        <w:tc>
          <w:tcPr>
            <w:tcW w:type="dxa" w:w="964"/>
          </w:tcPr>
          <w:p>
            <w:pPr>
              <w:pStyle w:val="tablecopy"/>
              <w:spacing w:before="20" w:after="20"/>
              <w:jc w:val="center"/>
            </w:pPr>
            <w:r>
              <w:t>29.01 / 29.00</w:t>
            </w:r>
          </w:p>
        </w:tc>
        <w:tc>
          <w:tcPr>
            <w:tcW w:type="dxa" w:w="964"/>
          </w:tcPr>
          <w:p>
            <w:pPr>
              <w:pStyle w:val="tablecopy"/>
              <w:spacing w:before="20" w:after="20"/>
              <w:jc w:val="center"/>
            </w:pPr>
            <w:r>
              <w:t>0.8532 / 0.8187</w:t>
            </w:r>
          </w:p>
        </w:tc>
        <w:tc>
          <w:tcPr>
            <w:tcW w:type="dxa" w:w="96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964"/>
          </w:tcPr>
          <w:p>
            <w:pPr>
              <w:pStyle w:val="tablecopy"/>
              <w:spacing w:before="20" w:after="20"/>
              <w:jc w:val="center"/>
            </w:pPr>
            <w:r>
              <w:t>1,323 (실측)</w:t>
            </w:r>
          </w:p>
        </w:tc>
        <w:tc>
          <w:tcPr>
            <w:tcW w:type="dxa" w:w="964"/>
          </w:tcPr>
          <w:p>
            <w:pPr>
              <w:pStyle w:val="tablecopy"/>
              <w:spacing w:before="20" w:after="20"/>
              <w:jc w:val="center"/>
            </w:pPr>
            <w:r>
              <w:t>88%</w:t>
            </w:r>
          </w:p>
        </w:tc>
        <w:tc>
          <w:tcPr>
            <w:tcW w:type="dxa" w:w="964"/>
          </w:tcPr>
          <w:p>
            <w:pPr>
              <w:pStyle w:val="tablecopy"/>
              <w:spacing w:before="20" w:after="20"/>
              <w:jc w:val="center"/>
            </w:pPr>
            <w:r>
              <w:t>300k</w:t>
            </w:r>
          </w:p>
        </w:tc>
        <w:tc>
          <w:tcPr>
            <w:tcW w:type="dxa" w:w="964"/>
          </w:tcPr>
          <w:p>
            <w:pPr>
              <w:pStyle w:val="tablecopy"/>
              <w:spacing w:before="20" w:after="20"/>
              <w:jc w:val="center"/>
            </w:pPr>
            <w:r>
              <w:t xml:space="preserve">30.13 / </w:t>
            </w:r>
            <w:r>
              <w:rPr>
                <w:b/>
              </w:rPr>
              <w:t>30.12</w:t>
            </w:r>
          </w:p>
        </w:tc>
        <w:tc>
          <w:tcPr>
            <w:tcW w:type="dxa" w:w="964"/>
          </w:tcPr>
          <w:p>
            <w:pPr>
              <w:pStyle w:val="tablecopy"/>
              <w:spacing w:before="20" w:after="20"/>
              <w:jc w:val="center"/>
            </w:pPr>
            <w:r>
              <w:t xml:space="preserve">29.01 / </w:t>
            </w:r>
            <w:r>
              <w:rPr>
                <w:b/>
              </w:rPr>
              <w:t>29.02</w:t>
            </w:r>
          </w:p>
        </w:tc>
        <w:tc>
          <w:tcPr>
            <w:tcW w:type="dxa" w:w="964"/>
          </w:tcPr>
          <w:p>
            <w:pPr>
              <w:pStyle w:val="tablecopy"/>
              <w:spacing w:before="20" w:after="20"/>
              <w:jc w:val="center"/>
            </w:pPr>
            <w:r>
              <w:rPr>
                <w:b/>
              </w:rPr>
              <w:t>0.8545</w:t>
            </w:r>
            <w:r>
              <w:t xml:space="preserve"> / </w:t>
            </w:r>
            <w:r>
              <w:rPr>
                <w:b/>
              </w:rPr>
              <w:t>0.8206</w:t>
            </w:r>
          </w:p>
        </w:tc>
        <w:tc>
          <w:tcPr>
            <w:tcW w:type="dxa" w:w="96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964"/>
          </w:tcPr>
          <w:p>
            <w:pPr>
              <w:pStyle w:val="tablecopy"/>
              <w:spacing w:before="20" w:after="20"/>
              <w:jc w:val="center"/>
            </w:pPr>
            <w:r>
              <w:t>669</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29.55 / 29.51</w:t>
            </w:r>
          </w:p>
        </w:tc>
        <w:tc>
          <w:tcPr>
            <w:tcW w:type="dxa" w:w="964"/>
          </w:tcPr>
          <w:p>
            <w:pPr>
              <w:pStyle w:val="tablecopy"/>
              <w:spacing w:before="20" w:after="20"/>
              <w:jc w:val="center"/>
            </w:pPr>
            <w:r>
              <w:t>28.55 / 28.53</w:t>
            </w:r>
          </w:p>
        </w:tc>
        <w:tc>
          <w:tcPr>
            <w:tcW w:type="dxa" w:w="964"/>
          </w:tcPr>
          <w:p>
            <w:pPr>
              <w:pStyle w:val="tablecopy"/>
              <w:spacing w:before="20" w:after="20"/>
              <w:jc w:val="center"/>
            </w:pPr>
            <w:r>
              <w:t>0.8335 / 0.7959</w:t>
            </w:r>
          </w:p>
        </w:tc>
        <w:tc>
          <w:tcPr>
            <w:tcW w:type="dxa" w:w="964"/>
          </w:tcPr>
          <w:p>
            <w:pPr>
              <w:pStyle w:val="tablecopy"/>
              <w:spacing w:before="20" w:after="20"/>
              <w:jc w:val="center"/>
            </w:pPr>
            <w:r>
              <w:t>2/12, 49/68</w:t>
            </w:r>
          </w:p>
        </w:tc>
      </w:tr>
      <w:tr>
        <w:tc>
          <w:tcPr>
            <w:tcW w:type="dxa" w:w="2891"/>
          </w:tcPr>
          <w:p>
            <w:pPr>
              <w:pStyle w:val="tablecopy"/>
              <w:spacing w:before="20" w:after="20"/>
            </w:pPr>
            <w:r>
              <w:t>B-32 + QAT</w:t>
            </w:r>
          </w:p>
        </w:tc>
        <w:tc>
          <w:tcPr>
            <w:tcW w:type="dxa" w:w="964"/>
          </w:tcPr>
          <w:p>
            <w:pPr>
              <w:pStyle w:val="tablecopy"/>
              <w:spacing w:before="20" w:after="20"/>
              <w:jc w:val="center"/>
            </w:pPr>
            <w:r>
              <w:t>669 (실측)</w:t>
            </w:r>
          </w:p>
        </w:tc>
        <w:tc>
          <w:tcPr>
            <w:tcW w:type="dxa" w:w="964"/>
          </w:tcPr>
          <w:p>
            <w:pPr>
              <w:pStyle w:val="tablecopy"/>
              <w:spacing w:before="20" w:after="20"/>
              <w:jc w:val="center"/>
            </w:pPr>
            <w:r>
              <w:t>45%</w:t>
            </w:r>
          </w:p>
        </w:tc>
        <w:tc>
          <w:tcPr>
            <w:tcW w:type="dxa" w:w="964"/>
          </w:tcPr>
          <w:p>
            <w:pPr>
              <w:pStyle w:val="tablecopy"/>
              <w:spacing w:before="20" w:after="20"/>
              <w:jc w:val="center"/>
            </w:pPr>
            <w:r>
              <w:t>76k</w:t>
            </w:r>
          </w:p>
        </w:tc>
        <w:tc>
          <w:tcPr>
            <w:tcW w:type="dxa" w:w="964"/>
          </w:tcPr>
          <w:p>
            <w:pPr>
              <w:pStyle w:val="tablecopy"/>
              <w:spacing w:before="20" w:after="20"/>
              <w:jc w:val="center"/>
            </w:pPr>
            <w:r>
              <w:t>29.58 / 29.62</w:t>
            </w:r>
          </w:p>
        </w:tc>
        <w:tc>
          <w:tcPr>
            <w:tcW w:type="dxa" w:w="964"/>
          </w:tcPr>
          <w:p>
            <w:pPr>
              <w:pStyle w:val="tablecopy"/>
              <w:spacing w:before="20" w:after="20"/>
              <w:jc w:val="center"/>
            </w:pPr>
            <w:r>
              <w:t>28.66 / 28.68</w:t>
            </w:r>
          </w:p>
        </w:tc>
        <w:tc>
          <w:tcPr>
            <w:tcW w:type="dxa" w:w="964"/>
          </w:tcPr>
          <w:p>
            <w:pPr>
              <w:pStyle w:val="tablecopy"/>
              <w:spacing w:before="20" w:after="20"/>
              <w:jc w:val="center"/>
            </w:pPr>
            <w:r>
              <w:t>0.8400 / 0.8065</w:t>
            </w:r>
          </w:p>
        </w:tc>
        <w:tc>
          <w:tcPr>
            <w:tcW w:type="dxa" w:w="964"/>
          </w:tcPr>
          <w:p>
            <w:pPr>
              <w:pStyle w:val="tablecopy"/>
              <w:spacing w:before="20" w:after="20"/>
              <w:jc w:val="center"/>
            </w:pPr>
            <w:r>
              <w:t>5/12, 57/68</w:t>
            </w:r>
          </w:p>
        </w:tc>
      </w:tr>
      <w:tr>
        <w:tc>
          <w:tcPr>
            <w:tcW w:type="dxa" w:w="2891"/>
          </w:tcPr>
          <w:p>
            <w:pPr>
              <w:pStyle w:val="tablecopy"/>
              <w:spacing w:before="20" w:after="20"/>
            </w:pPr>
            <w:r>
              <w:t>B-32 + maxout</w:t>
            </w:r>
          </w:p>
        </w:tc>
        <w:tc>
          <w:tcPr>
            <w:tcW w:type="dxa" w:w="964"/>
          </w:tcPr>
          <w:p>
            <w:pPr>
              <w:pStyle w:val="tablecopy"/>
              <w:spacing w:before="20" w:after="20"/>
              <w:jc w:val="center"/>
            </w:pPr>
            <w:r>
              <w:t>675</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30.02 / 29.86</w:t>
            </w:r>
          </w:p>
        </w:tc>
        <w:tc>
          <w:tcPr>
            <w:tcW w:type="dxa" w:w="964"/>
          </w:tcPr>
          <w:p>
            <w:pPr>
              <w:pStyle w:val="tablecopy"/>
              <w:spacing w:before="20" w:after="20"/>
              <w:jc w:val="center"/>
            </w:pPr>
            <w:r>
              <w:t>28.94 / 28.80</w:t>
            </w:r>
          </w:p>
        </w:tc>
        <w:tc>
          <w:tcPr>
            <w:tcW w:type="dxa" w:w="964"/>
          </w:tcPr>
          <w:p>
            <w:pPr>
              <w:pStyle w:val="tablecopy"/>
              <w:spacing w:before="20" w:after="20"/>
              <w:jc w:val="center"/>
            </w:pPr>
            <w:r>
              <w:t>0.8475 / 0.8115</w:t>
            </w:r>
          </w:p>
        </w:tc>
        <w:tc>
          <w:tcPr>
            <w:tcW w:type="dxa" w:w="96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964"/>
          </w:tcPr>
          <w:p>
            <w:pPr>
              <w:pStyle w:val="tablecopy"/>
              <w:spacing w:before="20" w:after="20"/>
              <w:jc w:val="center"/>
            </w:pPr>
            <w:r>
              <w:t>675 (실측)</w:t>
            </w:r>
          </w:p>
        </w:tc>
        <w:tc>
          <w:tcPr>
            <w:tcW w:type="dxa" w:w="964"/>
          </w:tcPr>
          <w:p>
            <w:pPr>
              <w:pStyle w:val="tablecopy"/>
              <w:spacing w:before="20" w:after="20"/>
              <w:jc w:val="center"/>
            </w:pPr>
            <w:r>
              <w:t>87%</w:t>
            </w:r>
          </w:p>
        </w:tc>
        <w:tc>
          <w:tcPr>
            <w:tcW w:type="dxa" w:w="964"/>
          </w:tcPr>
          <w:p>
            <w:pPr>
              <w:pStyle w:val="tablecopy"/>
              <w:spacing w:before="20" w:after="20"/>
              <w:jc w:val="center"/>
            </w:pPr>
            <w:r>
              <w:t>152k</w:t>
            </w:r>
          </w:p>
        </w:tc>
        <w:tc>
          <w:tcPr>
            <w:tcW w:type="dxa" w:w="964"/>
          </w:tcPr>
          <w:p>
            <w:pPr>
              <w:pStyle w:val="tablecopy"/>
              <w:spacing w:before="20" w:after="20"/>
              <w:jc w:val="center"/>
            </w:pPr>
            <w:r>
              <w:t xml:space="preserve">30.00 / </w:t>
            </w:r>
            <w:r>
              <w:rPr>
                <w:b/>
              </w:rPr>
              <w:t>30.00</w:t>
            </w:r>
          </w:p>
        </w:tc>
        <w:tc>
          <w:tcPr>
            <w:tcW w:type="dxa" w:w="964"/>
          </w:tcPr>
          <w:p>
            <w:pPr>
              <w:pStyle w:val="tablecopy"/>
              <w:spacing w:before="20" w:after="20"/>
              <w:jc w:val="center"/>
            </w:pPr>
            <w:r>
              <w:t xml:space="preserve">28.95 / </w:t>
            </w:r>
            <w:r>
              <w:rPr>
                <w:b/>
              </w:rPr>
              <w:t>28.94</w:t>
            </w:r>
          </w:p>
        </w:tc>
        <w:tc>
          <w:tcPr>
            <w:tcW w:type="dxa" w:w="964"/>
          </w:tcPr>
          <w:p>
            <w:pPr>
              <w:pStyle w:val="tablecopy"/>
              <w:spacing w:before="20" w:after="20"/>
              <w:jc w:val="center"/>
            </w:pPr>
            <w:r>
              <w:rPr>
                <w:b/>
              </w:rPr>
              <w:t>0.8512</w:t>
            </w:r>
            <w:r>
              <w:t xml:space="preserve"> / </w:t>
            </w:r>
            <w:r>
              <w:rPr>
                <w:b/>
              </w:rPr>
              <w:t>0.8171</w:t>
            </w:r>
          </w:p>
        </w:tc>
        <w:tc>
          <w:tcPr>
            <w:tcW w:type="dxa" w:w="96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 SSIM으로도 클리핑 BM3D보다 +0.004 / +0.022(10/12, 67/68장), 클리핑 없는 BM3D보다 +0.003 / +0.017(10/12, 68/68장) 높다.</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때문이다. SSIM은 Set12에서 BM3D와 같은 수준(0.8512 대 클리핑 0.8504, 클리핑 없음 0.8513; 8/12, 7/12장)이고 BSD68에서 높으며(0.8171 대 0.7990 / 0.8037; 66/68, 63/68장), A보다는 80/80장 모두 높다(+0.009 / +0.008).</w:t>
      </w:r>
    </w:p>
    <w:p>
      <w:pPr>
        <w:pStyle w:val="a3"/>
        <w:ind w:firstLine="0" w:left="198"/>
      </w:pPr>
      <w:r>
        <w:t xml:space="preserve">• </w:t>
      </w:r>
      <w:r>
        <w:rPr>
          <w:b/>
        </w:rPr>
        <w:t>공짜 출력 채널의 효과〔시드 2·3으로 확정〕:</w:t>
      </w:r>
      <w:r>
        <w:t xml:space="preserve"> 같은 예산(120 epoch, 시드 1; 그 뒤 QAT 15 epoch)에서 maxout 망은 ReLU 망보다 정수 Set12 +0.37, BSD68 +0.26 dB(80/80장) 높고, 사이클은 1% 많다(보드 실측 1.01배; 첫 층). 사진별 차이의 표준오차는 0.04 / 0.02 dB로 작아서, 불확실성은 테스트 사진이 아니라 학습 실행에서 온다. SSIM으로도 +0.011 / +0.011(80/80장, 표준오차 0.001 이하)이다.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30.05 dB(검증 최고 epoch 117)로 maxout(28.528, 30.02)과 같거나 약간 높았다(마지막 20 epoch 모두 높음, 평균 +0.018 dB). 즉 이 시드에서 차이를 만든 것은 max 비선형이 아니라 비용 없이 늘어난 출력 채널이다. 평균 결합의 QAT 정수 값(과 그 SSIM)과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 +0.03 dB다. QAT는 학습률 10⁻⁴의 추가 15 epoch이기도 해서, 120 epoch 끝에 아직 오르던 ReLU 망은 float 점수도 +0.03 / +0.11 dB 올랐다.</w:t>
      </w:r>
    </w:p>
    <w:p>
      <w:pPr>
        <w:pStyle w:val="a3"/>
        <w:ind w:firstLine="0" w:left="198"/>
      </w:pPr>
      <w:r>
        <w:t xml:space="preserve">• </w:t>
      </w:r>
      <w:r>
        <w:rPr>
          <w:b/>
        </w:rPr>
        <w:t>SSIM과 PSNR:</w:t>
      </w:r>
      <w:r>
        <w:t xml:space="preserve"> 여덟 정수 모델의 SSIM 순위는 두 테스트셋 모두 PSNR 순위와 같다. BM3D보다 높은 사진 수는 모든 모델에서 SSIM이 PSNR보다 같거나 적고(화질 모델 BSD68 68 → 67장, A 60 → 49장, B-32 ReLU+QAT 57 → 45장), 그 차이는 대체로 약한 모델일수록 크다. 즉 SSIM에서는 BM3D가 상대적으로 강하다. 그래도 본문의 BM3D 비교(화질 모델은 두 테스트셋에서 높고, 속도 모델은 Set12에서 같은 수준, BSD68에서 높다)는 SSIM에서도 그대로 성립한다.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SSIM(0.8594 / 0.8217)으로는 화질 모델이 두 테스트셋 모두 약간 낮다(−0.005 / −0.001; BSD68에서 높은 사진 19/68장).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A보다 아래, maxout+QAT 망은 위; BSD68에서 QAT 없는 maxout 망은 A와 같은 높이),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전력을 재지 않았으므로 GOPS/W는 보고하지 않는다.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tablehead"/>
        <w:numPr>
          <w:ilvl w:val="0"/>
          <w:numId w:val="0"/>
        </w:numPr>
      </w:pPr>
      <w:r>
        <w:t>sparse 모드 추정 (보드에서 잰 층별 입력 활성값 밀도를 쓰고, 뱅크 불균형을 1.0–1.3으로 가정; 연산에 묶인 잡음 제거 층의 sparse 사이클은 보드에서 재지 않았다)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망</w:t>
            </w:r>
          </w:p>
        </w:tc>
        <w:tc>
          <w:tcPr>
            <w:tcW w:type="dxa" w:w="1111"/>
          </w:tcPr>
          <w:p>
            <w:pPr>
              <w:pStyle w:val="tablecolhead"/>
              <w:spacing w:before="20" w:after="20"/>
              <w:jc w:val="center"/>
            </w:pPr>
            <w:r>
              <w:t>2값/사이클</w:t>
            </w:r>
          </w:p>
        </w:tc>
        <w:tc>
          <w:tcPr>
            <w:tcW w:type="dxa" w:w="1111"/>
          </w:tcPr>
          <w:p>
            <w:pPr>
              <w:pStyle w:val="tablecolhead"/>
              <w:spacing w:before="20" w:after="20"/>
              <w:jc w:val="center"/>
            </w:pPr>
            <w:r>
              <w:t>4값/사이클</w:t>
            </w:r>
          </w:p>
        </w:tc>
        <w:tc>
          <w:tcPr>
            <w:tcW w:type="dxa" w:w="1111"/>
          </w:tcPr>
          <w:p>
            <w:pPr>
              <w:pStyle w:val="tablecolhead"/>
              <w:spacing w:before="20" w:after="20"/>
              <w:jc w:val="center"/>
            </w:pPr>
            <w:r>
              <w:t>라인 버퍼</w:t>
            </w:r>
          </w:p>
        </w:tc>
      </w:tr>
      <w:tr>
        <w:tc>
          <w:tcPr>
            <w:tcW w:type="dxa" w:w="1429"/>
          </w:tcPr>
          <w:p>
            <w:pPr>
              <w:pStyle w:val="tablecopy"/>
              <w:spacing w:before="20" w:after="20"/>
            </w:pPr>
            <w:r>
              <w:t>A</w:t>
            </w:r>
          </w:p>
        </w:tc>
        <w:tc>
          <w:tcPr>
            <w:tcW w:type="dxa" w:w="1111"/>
          </w:tcPr>
          <w:p>
            <w:pPr>
              <w:pStyle w:val="tablecopy"/>
              <w:spacing w:before="20" w:after="20"/>
              <w:jc w:val="center"/>
            </w:pPr>
            <w:r>
              <w:t>907</w:t>
            </w:r>
          </w:p>
        </w:tc>
        <w:tc>
          <w:tcPr>
            <w:tcW w:type="dxa" w:w="1111"/>
          </w:tcPr>
          <w:p>
            <w:pPr>
              <w:pStyle w:val="tablecopy"/>
              <w:spacing w:before="20" w:after="20"/>
              <w:jc w:val="center"/>
            </w:pPr>
            <w:r>
              <w:t>495–603</w:t>
            </w:r>
          </w:p>
        </w:tc>
        <w:tc>
          <w:tcPr>
            <w:tcW w:type="dxa" w:w="1111"/>
          </w:tcPr>
          <w:p>
            <w:pPr>
              <w:pStyle w:val="tablecopy"/>
              <w:spacing w:before="20" w:after="20"/>
              <w:jc w:val="center"/>
            </w:pPr>
            <w:r>
              <w:t>458–582</w:t>
            </w:r>
          </w:p>
        </w:tc>
      </w:tr>
      <w:tr>
        <w:tc>
          <w:tcPr>
            <w:tcW w:type="dxa" w:w="1429"/>
          </w:tcPr>
          <w:p>
            <w:pPr>
              <w:pStyle w:val="tablecopy"/>
              <w:spacing w:before="20" w:after="20"/>
            </w:pPr>
            <w:r>
              <w:t>B</w:t>
            </w:r>
          </w:p>
        </w:tc>
        <w:tc>
          <w:tcPr>
            <w:tcW w:type="dxa" w:w="1111"/>
          </w:tcPr>
          <w:p>
            <w:pPr>
              <w:pStyle w:val="tablecopy"/>
              <w:spacing w:before="20" w:after="20"/>
              <w:jc w:val="center"/>
            </w:pPr>
            <w:r>
              <w:t>678–777</w:t>
            </w:r>
          </w:p>
        </w:tc>
        <w:tc>
          <w:tcPr>
            <w:tcW w:type="dxa" w:w="1111"/>
          </w:tcPr>
          <w:p>
            <w:pPr>
              <w:pStyle w:val="tablecopy"/>
              <w:spacing w:before="20" w:after="20"/>
              <w:jc w:val="center"/>
            </w:pPr>
            <w:r>
              <w:t>579–733</w:t>
            </w:r>
          </w:p>
        </w:tc>
        <w:tc>
          <w:tcPr>
            <w:tcW w:type="dxa" w:w="1111"/>
          </w:tcPr>
          <w:p>
            <w:pPr>
              <w:pStyle w:val="tablecopy"/>
              <w:spacing w:before="20" w:after="20"/>
              <w:jc w:val="center"/>
            </w:pPr>
            <w:r>
              <w:t>557–717</w:t>
            </w:r>
          </w:p>
        </w:tc>
      </w:tr>
      <w:tr>
        <w:tc>
          <w:tcPr>
            <w:tcW w:type="dxa" w:w="1429"/>
          </w:tcPr>
          <w:p>
            <w:pPr>
              <w:pStyle w:val="tablecopy"/>
              <w:spacing w:before="20" w:after="20"/>
            </w:pPr>
            <w:r>
              <w:t>B-32 ReLU</w:t>
            </w:r>
          </w:p>
        </w:tc>
        <w:tc>
          <w:tcPr>
            <w:tcW w:type="dxa" w:w="1111"/>
          </w:tcPr>
          <w:p>
            <w:pPr>
              <w:pStyle w:val="tablecopy"/>
              <w:spacing w:before="20" w:after="20"/>
              <w:jc w:val="center"/>
            </w:pPr>
            <w:r>
              <w:t>339</w:t>
            </w:r>
          </w:p>
        </w:tc>
        <w:tc>
          <w:tcPr>
            <w:tcW w:type="dxa" w:w="1111"/>
          </w:tcPr>
          <w:p>
            <w:pPr>
              <w:pStyle w:val="tablecopy"/>
              <w:spacing w:before="20" w:after="20"/>
              <w:jc w:val="center"/>
            </w:pPr>
            <w:r>
              <w:t>178–210</w:t>
            </w:r>
          </w:p>
        </w:tc>
        <w:tc>
          <w:tcPr>
            <w:tcW w:type="dxa" w:w="1111"/>
          </w:tcPr>
          <w:p>
            <w:pPr>
              <w:pStyle w:val="tablecopy"/>
              <w:spacing w:before="20" w:after="20"/>
              <w:jc w:val="center"/>
            </w:pPr>
            <w:r>
              <w:t>160–204</w:t>
            </w:r>
          </w:p>
        </w:tc>
      </w:tr>
      <w:tr>
        <w:tc>
          <w:tcPr>
            <w:tcW w:type="dxa" w:w="1429"/>
          </w:tcPr>
          <w:p>
            <w:pPr>
              <w:pStyle w:val="tablecopy"/>
              <w:spacing w:before="20" w:after="20"/>
            </w:pPr>
            <w:r>
              <w:t>B-32 maxout</w:t>
            </w:r>
          </w:p>
        </w:tc>
        <w:tc>
          <w:tcPr>
            <w:tcW w:type="dxa" w:w="1111"/>
          </w:tcPr>
          <w:p>
            <w:pPr>
              <w:pStyle w:val="tablecopy"/>
              <w:spacing w:before="20" w:after="20"/>
              <w:jc w:val="center"/>
            </w:pPr>
            <w:r>
              <w:t>481–606</w:t>
            </w:r>
          </w:p>
        </w:tc>
        <w:tc>
          <w:tcPr>
            <w:tcW w:type="dxa" w:w="1111"/>
          </w:tcPr>
          <w:p>
            <w:pPr>
              <w:pStyle w:val="tablecopy"/>
              <w:spacing w:before="20" w:after="20"/>
              <w:jc w:val="center"/>
            </w:pPr>
            <w:r>
              <w:t>461–586</w:t>
            </w:r>
          </w:p>
        </w:tc>
        <w:tc>
          <w:tcPr>
            <w:tcW w:type="dxa" w:w="1111"/>
          </w:tcPr>
          <w:p>
            <w:pPr>
              <w:pStyle w:val="tablecopy"/>
              <w:spacing w:before="20" w:after="20"/>
              <w:jc w:val="center"/>
            </w:pPr>
            <w:r>
              <w:t>456–586</w:t>
            </w:r>
          </w:p>
        </w:tc>
      </w:tr>
      <w:tr>
        <w:tc>
          <w:tcPr>
            <w:tcW w:type="dxa" w:w="1429"/>
          </w:tcPr>
          <w:p>
            <w:pPr>
              <w:pStyle w:val="tablecopy"/>
              <w:spacing w:before="20" w:after="20"/>
            </w:pPr>
            <w:r>
              <w:t>B ÷ A</w:t>
            </w:r>
          </w:p>
        </w:tc>
        <w:tc>
          <w:tcPr>
            <w:tcW w:type="dxa" w:w="1111"/>
          </w:tcPr>
          <w:p>
            <w:pPr>
              <w:pStyle w:val="tablecopy"/>
              <w:spacing w:before="20" w:after="20"/>
              <w:jc w:val="center"/>
            </w:pPr>
            <w:r>
              <w:t>0.75–0.86</w:t>
            </w:r>
          </w:p>
        </w:tc>
        <w:tc>
          <w:tcPr>
            <w:tcW w:type="dxa" w:w="1111"/>
          </w:tcPr>
          <w:p>
            <w:pPr>
              <w:pStyle w:val="tablecopy"/>
              <w:spacing w:before="20" w:after="20"/>
              <w:jc w:val="center"/>
            </w:pPr>
            <w:r>
              <w:t>1.17–1.21</w:t>
            </w:r>
          </w:p>
        </w:tc>
        <w:tc>
          <w:tcPr>
            <w:tcW w:type="dxa" w:w="1111"/>
          </w:tcPr>
          <w:p>
            <w:pPr>
              <w:pStyle w:val="tablecopy"/>
              <w:spacing w:before="20" w:after="20"/>
              <w:jc w:val="center"/>
            </w:pPr>
            <w:r>
              <w:t>1.22–1.23</w:t>
            </w:r>
          </w:p>
        </w:tc>
      </w:tr>
      <w:tr>
        <w:tc>
          <w:tcPr>
            <w:tcW w:type="dxa" w:w="1429"/>
          </w:tcPr>
          <w:p>
            <w:pPr>
              <w:pStyle w:val="tablecopy"/>
              <w:spacing w:before="20" w:after="20"/>
            </w:pPr>
            <w:r>
              <w:t>maxout ÷ ReLU</w:t>
            </w:r>
          </w:p>
        </w:tc>
        <w:tc>
          <w:tcPr>
            <w:tcW w:type="dxa" w:w="1111"/>
          </w:tcPr>
          <w:p>
            <w:pPr>
              <w:pStyle w:val="tablecopy"/>
              <w:spacing w:before="20" w:after="20"/>
              <w:jc w:val="center"/>
            </w:pPr>
            <w:r>
              <w:t>1.42–1.79</w:t>
            </w:r>
          </w:p>
        </w:tc>
        <w:tc>
          <w:tcPr>
            <w:tcW w:type="dxa" w:w="1111"/>
          </w:tcPr>
          <w:p>
            <w:pPr>
              <w:pStyle w:val="tablecopy"/>
              <w:spacing w:before="20" w:after="20"/>
              <w:jc w:val="center"/>
            </w:pPr>
            <w:r>
              <w:t>2.59–2.79</w:t>
            </w:r>
          </w:p>
        </w:tc>
        <w:tc>
          <w:tcPr>
            <w:tcW w:type="dxa" w:w="1111"/>
          </w:tcPr>
          <w:p>
            <w:pPr>
              <w:pStyle w:val="tablecopy"/>
              <w:spacing w:before="20" w:after="20"/>
              <w:jc w:val="center"/>
            </w:pPr>
            <w:r>
              <w:t>2.85–2.88</w:t>
            </w:r>
          </w:p>
        </w:tc>
      </w:tr>
    </w:tbl>
    <w:p>
      <w:pPr>
        <w:pStyle w:val="a3"/>
      </w:pPr>
      <w:r>
        <w:t>dense 상한으로는 2값/사이클만 돼도 두 선택의 사이클 이점이 모두 사라진다. sparse 모드로 추정하면 합치기는 2값부터 공짜가 아니고(maxout 망은 입력에 0이 적어 건너뛸 곱셈이 적다), B는 4값/사이클과 라인 버퍼에서 A보다 느려진다. 4값/사이클과 라인 버퍼는 둘 다 은닉층을 연산에 묶이게 만들어 거의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은닉층 출력을 2배로 늘려 두 개씩 합치는 설계는 은닉층의 사이클을 바꾸지 않고 파라미터를 2배로 늘려 같은 폭의 ReLU 망보다 화질을 올렸으며, 시드 1에서는 max 대신 평균으로 합쳐도 같았다(float)〔시드 2·3, 평균 결합 QAT〕. 양자화 인지 학습까지 더해, 같은 입력의 BM3D를 두 테스트셋에서 PSNR과 SSIM 모두 넘는 정수 모델(30.12 / 29.02 dB, SSIM 0.8545 / 0.8206)과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사라진다(sparse 추정 기준;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병목에 맞춰 설계를 고르는 일은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GPU에서는 잰 지연의 계단에 맞춰 채널 수를 고르고 [25], 시스톨릭 배열에서는 지연이 가장 짧은 망(그룹당 채널 수)이 배열 크기에 따라 달라진다 [26]. MCU에서는 노는 자원이 아니라 메모리 용량이라는 다른 병목에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 시드는 하나이고(B-32 비교는 시드 2·3 진행 중), 흑백 영상만 다뤘다.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pPr>
      <w:r>
        <w:t xml:space="preserve">M. Shen, H. Yin, P. Molchanov, L. Mao, J. Liu, and J. M. Alvarez, "Structural pruning via latency-saliency knapsack," in </w:t>
      </w:r>
      <w:r>
        <w:rPr>
          <w:i/>
        </w:rPr>
        <w:t>Proc. NeurIPS</w:t>
      </w:r>
      <w:r>
        <w:t>, 2022 (HALP).</w:t>
      </w:r>
    </w:p>
    <w:p>
      <w:pPr>
        <w:pStyle w:val="references"/>
      </w:pPr>
      <w:r>
        <w:t xml:space="preserve">N. K. Jha, S. Ravishankar, S. Mittal, A. Kaushik, D. Mandal, and M. Chandra, "DRACO: Co-optimizing hardware utilization, and performance of DNNs on systolic accelerator," in </w:t>
      </w:r>
      <w:r>
        <w:rPr>
          <w:i/>
        </w:rPr>
        <w:t>Proc. ISVLSI</w:t>
      </w:r>
      <w:r>
        <w:t>, 2020.</w:t>
      </w:r>
    </w:p>
    <w:p>
      <w:pPr>
        <w:pStyle w:val="references"/>
      </w:pPr>
      <w:r>
        <w:t xml:space="preserve">Z. Wang, A. C. Bovik, H. R. Sheikh, and E. P. Simoncelli, "Image quality assessment: From error visibility to structural similarity," </w:t>
      </w:r>
      <w:r>
        <w:rPr>
          <w:i/>
        </w:rPr>
        <w:t>IEEE Trans. Image Process.</w:t>
      </w:r>
      <w:r>
        <w:t>, vol. 13, no. 4, pp. 600–612, 2004.</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