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are therefore cheap. A 2×2 space-to-depth input fits a 6.4× larger network in 25% fewer cycles. Doubling the hidden outputs and pooling them in pairs (maxout) doubles the parameters for 1% more cycles.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compared with a same-width ReLU network over three seeds and a mean-pooling control over two; 3. integer models, trained with quantization-aware training that reproduces the board's arithmetic, that beat BM3D on the same input, verified bit for bit on the board.</w:t>
      </w:r>
    </w:p>
    <w:p>
      <w:pPr>
        <w:pStyle w:val="a3"/>
      </w:pPr>
      <w:r>
        <w:t>Space-to-depth [14], [5], maxout [15]–[17] and quantization-aware training [18] are known techniques; our claim concerns the reason for choosing them. It holds for an input structure that receives host-built windows; with on-chip line buffers the same model predicts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51% of the BRAM and, by Vivado's choice in an unrestricted synthesis, no DSP slice. Timing closes at 100 MHz (WNS +0.221 ns); the board runs use the 50 MHz default clock, and a 100 MHz run gave the same cycle count.</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the CIFAR-10 run and the baseline) and at least COUT cycles per window, as outputs leave one per cycle (settled by B's first layer, K = 36, COUT = 64: 64 cycles). With these two parameter-free corrections, C′ = max(C + 1, COUT) matches all four networks within 0.003% (Table II), against 0.4–1.6% without them; the ReLU network, run after they were fixed, was predicted within 0.0014%. All board runs used the sparse mode, which skips multiplications by zero activations; it shortens only the compute term of (1).</w:t>
      </w:r>
    </w:p>
    <w:p>
      <w:pPr>
        <w:pStyle w:val="a3"/>
      </w:pPr>
      <w:r>
        <w:rPr>
          <w:b/>
        </w:rPr>
        <w:t>Where the bottleneck comes from.</w:t>
      </w:r>
      <w:r>
        <w:t xml:space="preserve"> One value per cycle is a choice of this design, not a limit of the FPGA: the core's window port takes one value per cycle, and the AXI-Stream wrapper unpacks the four 7-bit values of each 32-bit beat to match it. We treat the core, built for CIFAR-10, as given, as a user of a fixed accelerator would. With w values per cycle, about P·T/w output channels come free. Equation (1) is the dense-mode bound: by it, maxout costs 1.9× the ReLU network already at w = 2; sparse mode, estimated with the measured activation densities, leaves 1.4–1.8× and keeps B ahead of A until w = 4. At wider ports the compute term binds the 64-output layers, and every hidden layer from w = 4; on compute-bound VGG11 windows (K = 576, 128 outputs) it matched RTL simulation of this core within one cycle per window. With on-chip line buffers [7], a window brings only one new pixel, C_in values; by the dense model a hidden layer with K = 288 then costs 145 cycles at COUT = 32 and 289 at COUT = 64, maxout doubles the cost, and the baseline (833 cycles/pixel) becomes faster than network B (1,209), in the sparse estimate too. These are predictions, and the rules below hold for this input structure. Host im2col, requantization and pooling take 0.07–0.13 s per image on a 4-core PC; on hidden layers the last two need fewer operations per window than K and could hide in hardware, while im2col would need line buffers.</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more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costs, by the cycle model, 934 cycles per pixel, 38% more. As a control, an averaging network pools each pair by its mean, with the same parameters and cycles. In restoration the benefit of maxout depends on width: it halved the filters at equal quality in super-resolution [16] and was about 0.04 dB below ReLU in a 64-channel space-to-depth denoiser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B-32 and 45-channel networks train for a fixed 120 epochs, seed 1 on a CPU, seeds 2–3 and the 45-channel network on a GPU. Weights are per-channel symmetric INT8 and activations 7-bit with one scale per map [18], chosen from percentiles on training images. A module that reproduces the board's integer arithmetic in float (rounding, bias units, skip scaling, pooling, 8-bit output) is then fine-tuned for 15 epochs with straight-through gradients and learned scales [20]; its PSNR matches the integer model within 0.001 dB. No checkpoint, learning-rate step or quantization range was chosen on Set12 or BSD68.</w:t>
      </w:r>
    </w:p>
    <w:p>
      <w:pPr>
        <w:pStyle w:val="1"/>
      </w:pPr>
      <w:r>
        <w:t>Verification</w:t>
      </w:r>
    </w:p>
    <w:p>
      <w:pPr>
        <w:pStyle w:val="a3"/>
      </w:pPr>
      <w:r>
        <w:t>The RTL was verified in a UVM [21] environment (protocol agents, a predicting scoreboard, coverage and assertions) on Verilator: 39 runs under UVM 1.2 and 26 under IEEE 1800.2-2020 passed, and all ten injected bugs were caught. Shape coverage was 89–100% on a reduced build and 17–29% on the board build; the denoisers' hidden shapes are among its directed CIFAR-10 shapes, and their first and last layers only on the board. On the board every layer's output is compared value by value with the integer model; every board figure passed.</w:t>
      </w:r>
    </w:p>
    <w:p>
      <w:pPr>
        <w:pStyle w:val="1"/>
      </w:pPr>
      <w:r>
        <w:t>Results</w:t>
      </w:r>
    </w:p>
    <w:p>
      <w:pPr>
        <w:pStyle w:val="a3"/>
      </w:pPr>
      <w:r>
        <w:rPr>
          <w:b/>
        </w:rPr>
        <w:t>Setup.</w:t>
      </w:r>
      <w:r>
        <w:t xml:space="preserve"> Set12 and BSD68 [22]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SSIM [23] ranks our integer models as PSNR does, except for models under 0.03 dB apart. Integer PSNR is that of the integer model, which the board reproduces bit for bit. Between single-seed networks,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SSIM of the 8-bit output and core cost. Cycles are the corrected model; "board" marks networks whose cycles were measured. "3 seeds" rows are means over seeds 1–3. Util.: dense multiplications per 64 × cycles.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551"/>
        <w:gridCol w:w="1077"/>
        <w:gridCol w:w="680"/>
        <w:gridCol w:w="850"/>
        <w:gridCol w:w="1417"/>
        <w:gridCol w:w="1417"/>
        <w:gridCol w:w="1644"/>
      </w:tblGrid>
      <w:tr>
        <w:tc>
          <w:tcPr>
            <w:tcW w:type="dxa" w:w="2551"/>
          </w:tcPr>
          <w:p>
            <w:pPr>
              <w:pStyle w:val="tablecolhead"/>
              <w:spacing w:before="20" w:after="20"/>
            </w:pPr>
            <w:r>
              <w:t>Model</w:t>
            </w:r>
          </w:p>
        </w:tc>
        <w:tc>
          <w:tcPr>
            <w:tcW w:type="dxa" w:w="1077"/>
          </w:tcPr>
          <w:p>
            <w:pPr>
              <w:pStyle w:val="tablecolhead"/>
              <w:spacing w:before="20" w:after="20"/>
              <w:jc w:val="center"/>
            </w:pPr>
            <w:r>
              <w:t>Cycles/px</w:t>
            </w:r>
          </w:p>
        </w:tc>
        <w:tc>
          <w:tcPr>
            <w:tcW w:type="dxa" w:w="680"/>
          </w:tcPr>
          <w:p>
            <w:pPr>
              <w:pStyle w:val="tablecolhead"/>
              <w:spacing w:before="20" w:after="20"/>
              <w:jc w:val="center"/>
            </w:pPr>
            <w:r>
              <w:t>Util.</w:t>
            </w:r>
          </w:p>
        </w:tc>
        <w:tc>
          <w:tcPr>
            <w:tcW w:type="dxa" w:w="850"/>
          </w:tcPr>
          <w:p>
            <w:pPr>
              <w:pStyle w:val="tablecolhead"/>
              <w:spacing w:before="20" w:after="20"/>
              <w:jc w:val="center"/>
            </w:pPr>
            <w:r>
              <w:t>Params</w:t>
            </w:r>
          </w:p>
        </w:tc>
        <w:tc>
          <w:tcPr>
            <w:tcW w:type="dxa" w:w="1417"/>
          </w:tcPr>
          <w:p>
            <w:pPr>
              <w:pStyle w:val="tablecolhead"/>
              <w:spacing w:before="20" w:after="20"/>
              <w:jc w:val="center"/>
            </w:pPr>
            <w:r>
              <w:t>Set12 float / int</w:t>
            </w:r>
          </w:p>
        </w:tc>
        <w:tc>
          <w:tcPr>
            <w:tcW w:type="dxa" w:w="1417"/>
          </w:tcPr>
          <w:p>
            <w:pPr>
              <w:pStyle w:val="tablecolhead"/>
              <w:spacing w:before="20" w:after="20"/>
              <w:jc w:val="center"/>
            </w:pPr>
            <w:r>
              <w:t>BSD68 float / int</w:t>
            </w:r>
          </w:p>
        </w:tc>
        <w:tc>
          <w:tcPr>
            <w:tcW w:type="dxa" w:w="1644"/>
          </w:tcPr>
          <w:p>
            <w:pPr>
              <w:pStyle w:val="tablecolhead"/>
              <w:spacing w:before="20" w:after="20"/>
              <w:jc w:val="center"/>
            </w:pPr>
            <w:r>
              <w:t>SSIM Set12 / BSD68</w:t>
            </w:r>
          </w:p>
        </w:tc>
      </w:tr>
      <w:tr>
        <w:tc>
          <w:tcPr>
            <w:tcW w:type="dxa" w:w="2551"/>
          </w:tcPr>
          <w:p>
            <w:pPr>
              <w:pStyle w:val="tablecopy"/>
              <w:spacing w:before="20" w:after="20"/>
            </w:pPr>
            <w:r>
              <w:t>BM3D [2], clipped input</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29.95</w:t>
            </w:r>
          </w:p>
        </w:tc>
        <w:tc>
          <w:tcPr>
            <w:tcW w:type="dxa" w:w="1417"/>
          </w:tcPr>
          <w:p>
            <w:pPr>
              <w:pStyle w:val="tablecopy"/>
              <w:spacing w:before="20" w:after="20"/>
              <w:jc w:val="center"/>
            </w:pPr>
            <w:r>
              <w:t>28.37</w:t>
            </w:r>
          </w:p>
        </w:tc>
        <w:tc>
          <w:tcPr>
            <w:tcW w:type="dxa" w:w="1644"/>
          </w:tcPr>
          <w:p>
            <w:pPr>
              <w:pStyle w:val="tablecopy"/>
              <w:spacing w:before="20" w:after="20"/>
              <w:jc w:val="center"/>
            </w:pPr>
            <w:r>
              <w:t>0.850 / 0.799</w:t>
            </w:r>
          </w:p>
        </w:tc>
      </w:tr>
      <w:tr>
        <w:tc>
          <w:tcPr>
            <w:tcW w:type="dxa" w:w="2551"/>
          </w:tcPr>
          <w:p>
            <w:pPr>
              <w:pStyle w:val="tablecopy"/>
              <w:spacing w:before="20" w:after="20"/>
            </w:pPr>
            <w:r>
              <w:t>BM3D, unclipped</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29.98</w:t>
            </w:r>
          </w:p>
        </w:tc>
        <w:tc>
          <w:tcPr>
            <w:tcW w:type="dxa" w:w="1417"/>
          </w:tcPr>
          <w:p>
            <w:pPr>
              <w:pStyle w:val="tablecopy"/>
              <w:spacing w:before="20" w:after="20"/>
              <w:jc w:val="center"/>
            </w:pPr>
            <w:r>
              <w:t>28.62</w:t>
            </w:r>
          </w:p>
        </w:tc>
        <w:tc>
          <w:tcPr>
            <w:tcW w:type="dxa" w:w="1644"/>
          </w:tcPr>
          <w:p>
            <w:pPr>
              <w:pStyle w:val="tablecopy"/>
              <w:spacing w:before="20" w:after="20"/>
              <w:jc w:val="center"/>
            </w:pPr>
            <w:r>
              <w:t>0.851 / 0.804</w:t>
            </w:r>
          </w:p>
        </w:tc>
      </w:tr>
      <w:tr>
        <w:tc>
          <w:tcPr>
            <w:tcW w:type="dxa" w:w="2551"/>
          </w:tcPr>
          <w:p>
            <w:pPr>
              <w:pStyle w:val="tablecopy"/>
              <w:spacing w:before="20" w:after="20"/>
            </w:pPr>
            <w:r>
              <w:t>DnCNN-S [1], same input</w:t>
            </w:r>
          </w:p>
        </w:tc>
        <w:tc>
          <w:tcPr>
            <w:tcW w:type="dxa" w:w="1077"/>
          </w:tcPr>
          <w:p>
            <w:pPr>
              <w:pStyle w:val="tablecopy"/>
              <w:spacing w:before="20" w:after="20"/>
              <w:jc w:val="center"/>
            </w:pPr>
            <w:r>
              <w:t>9.3k</w:t>
            </w:r>
          </w:p>
        </w:tc>
        <w:tc>
          <w:tcPr>
            <w:tcW w:type="dxa" w:w="680"/>
          </w:tcPr>
          <w:p>
            <w:pPr>
              <w:pStyle w:val="tablecopy"/>
              <w:spacing w:before="20" w:after="20"/>
              <w:jc w:val="center"/>
            </w:pPr>
            <w:r>
              <w:t>—</w:t>
            </w:r>
          </w:p>
        </w:tc>
        <w:tc>
          <w:tcPr>
            <w:tcW w:type="dxa" w:w="850"/>
          </w:tcPr>
          <w:p>
            <w:pPr>
              <w:pStyle w:val="tablecopy"/>
              <w:spacing w:before="20" w:after="20"/>
              <w:jc w:val="center"/>
            </w:pPr>
            <w:r>
              <w:t>556k</w:t>
            </w:r>
          </w:p>
        </w:tc>
        <w:tc>
          <w:tcPr>
            <w:tcW w:type="dxa" w:w="1417"/>
          </w:tcPr>
          <w:p>
            <w:pPr>
              <w:pStyle w:val="tablecopy"/>
              <w:spacing w:before="20" w:after="20"/>
              <w:jc w:val="center"/>
            </w:pPr>
            <w:r>
              <w:t>30.35</w:t>
            </w:r>
          </w:p>
        </w:tc>
        <w:tc>
          <w:tcPr>
            <w:tcW w:type="dxa" w:w="1417"/>
          </w:tcPr>
          <w:p>
            <w:pPr>
              <w:pStyle w:val="tablecopy"/>
              <w:spacing w:before="20" w:after="20"/>
              <w:jc w:val="center"/>
            </w:pPr>
            <w:r>
              <w:t>28.89</w:t>
            </w:r>
          </w:p>
        </w:tc>
        <w:tc>
          <w:tcPr>
            <w:tcW w:type="dxa" w:w="1644"/>
          </w:tcPr>
          <w:p>
            <w:pPr>
              <w:pStyle w:val="tablecopy"/>
              <w:spacing w:before="20" w:after="20"/>
              <w:jc w:val="center"/>
            </w:pPr>
            <w:r>
              <w:t>0.859 / 0.822</w:t>
            </w:r>
          </w:p>
        </w:tc>
      </w:tr>
      <w:tr>
        <w:tc>
          <w:tcPr>
            <w:tcW w:type="dxa" w:w="2551"/>
          </w:tcPr>
          <w:p>
            <w:pPr>
              <w:pStyle w:val="tablecopy"/>
              <w:spacing w:before="20" w:after="20"/>
            </w:pPr>
            <w:r>
              <w:t>A: 7 × 32</w:t>
            </w:r>
          </w:p>
        </w:tc>
        <w:tc>
          <w:tcPr>
            <w:tcW w:type="dxa" w:w="1077"/>
          </w:tcPr>
          <w:p>
            <w:pPr>
              <w:pStyle w:val="tablecopy"/>
              <w:spacing w:before="20" w:after="20"/>
              <w:jc w:val="center"/>
            </w:pPr>
            <w:r>
              <w:t>1,775 board</w:t>
            </w:r>
          </w:p>
        </w:tc>
        <w:tc>
          <w:tcPr>
            <w:tcW w:type="dxa" w:w="680"/>
          </w:tcPr>
          <w:p>
            <w:pPr>
              <w:pStyle w:val="tablecopy"/>
              <w:spacing w:before="20" w:after="20"/>
              <w:jc w:val="center"/>
            </w:pPr>
            <w:r>
              <w:t>41%</w:t>
            </w:r>
          </w:p>
        </w:tc>
        <w:tc>
          <w:tcPr>
            <w:tcW w:type="dxa" w:w="850"/>
          </w:tcPr>
          <w:p>
            <w:pPr>
              <w:pStyle w:val="tablecopy"/>
              <w:spacing w:before="20" w:after="20"/>
              <w:jc w:val="center"/>
            </w:pPr>
            <w:r>
              <w:t>47k</w:t>
            </w:r>
          </w:p>
        </w:tc>
        <w:tc>
          <w:tcPr>
            <w:tcW w:type="dxa" w:w="1417"/>
          </w:tcPr>
          <w:p>
            <w:pPr>
              <w:pStyle w:val="tablecopy"/>
              <w:spacing w:before="20" w:after="20"/>
              <w:jc w:val="center"/>
            </w:pPr>
            <w:r>
              <w:t>29.87 / 29.83</w:t>
            </w:r>
          </w:p>
        </w:tc>
        <w:tc>
          <w:tcPr>
            <w:tcW w:type="dxa" w:w="1417"/>
          </w:tcPr>
          <w:p>
            <w:pPr>
              <w:pStyle w:val="tablecopy"/>
              <w:spacing w:before="20" w:after="20"/>
              <w:jc w:val="center"/>
            </w:pPr>
            <w:r>
              <w:t>28.83 / 28.80</w:t>
            </w:r>
          </w:p>
        </w:tc>
        <w:tc>
          <w:tcPr>
            <w:tcW w:type="dxa" w:w="1644"/>
          </w:tcPr>
          <w:p>
            <w:pPr>
              <w:pStyle w:val="tablecopy"/>
              <w:spacing w:before="20" w:after="20"/>
              <w:jc w:val="center"/>
            </w:pPr>
            <w:r>
              <w:t>0.842 / 0.809</w:t>
            </w:r>
          </w:p>
        </w:tc>
      </w:tr>
      <w:tr>
        <w:tc>
          <w:tcPr>
            <w:tcW w:type="dxa" w:w="2551"/>
          </w:tcPr>
          <w:p>
            <w:pPr>
              <w:pStyle w:val="tablecopy"/>
              <w:spacing w:before="20" w:after="20"/>
            </w:pPr>
            <w:r>
              <w:rPr>
                <w:b/>
              </w:rPr>
              <w:t>B + QAT: s2d, 10 × 64</w:t>
            </w:r>
          </w:p>
        </w:tc>
        <w:tc>
          <w:tcPr>
            <w:tcW w:type="dxa" w:w="1077"/>
          </w:tcPr>
          <w:p>
            <w:pPr>
              <w:pStyle w:val="tablecopy"/>
              <w:spacing w:before="20" w:after="20"/>
              <w:jc w:val="center"/>
            </w:pPr>
            <w:r>
              <w:t>1,323 board</w:t>
            </w:r>
          </w:p>
        </w:tc>
        <w:tc>
          <w:tcPr>
            <w:tcW w:type="dxa" w:w="680"/>
          </w:tcPr>
          <w:p>
            <w:pPr>
              <w:pStyle w:val="tablecopy"/>
              <w:spacing w:before="20" w:after="20"/>
              <w:jc w:val="center"/>
            </w:pPr>
            <w:r>
              <w:t>88%</w:t>
            </w:r>
          </w:p>
        </w:tc>
        <w:tc>
          <w:tcPr>
            <w:tcW w:type="dxa" w:w="850"/>
          </w:tcPr>
          <w:p>
            <w:pPr>
              <w:pStyle w:val="tablecopy"/>
              <w:spacing w:before="20" w:after="20"/>
              <w:jc w:val="center"/>
            </w:pPr>
            <w:r>
              <w:t>300k</w:t>
            </w:r>
          </w:p>
        </w:tc>
        <w:tc>
          <w:tcPr>
            <w:tcW w:type="dxa" w:w="1417"/>
          </w:tcPr>
          <w:p>
            <w:pPr>
              <w:pStyle w:val="tablecopy"/>
              <w:spacing w:before="20" w:after="20"/>
              <w:jc w:val="center"/>
            </w:pPr>
            <w:r>
              <w:t xml:space="preserve">30.13 / </w:t>
            </w:r>
            <w:r>
              <w:rPr>
                <w:b/>
              </w:rPr>
              <w:t>30.12</w:t>
            </w:r>
          </w:p>
        </w:tc>
        <w:tc>
          <w:tcPr>
            <w:tcW w:type="dxa" w:w="1417"/>
          </w:tcPr>
          <w:p>
            <w:pPr>
              <w:pStyle w:val="tablecopy"/>
              <w:spacing w:before="20" w:after="20"/>
              <w:jc w:val="center"/>
            </w:pPr>
            <w:r>
              <w:t xml:space="preserve">29.01 / </w:t>
            </w:r>
            <w:r>
              <w:rPr>
                <w:b/>
              </w:rPr>
              <w:t>29.02</w:t>
            </w:r>
          </w:p>
        </w:tc>
        <w:tc>
          <w:tcPr>
            <w:tcW w:type="dxa" w:w="1644"/>
          </w:tcPr>
          <w:p>
            <w:pPr>
              <w:pStyle w:val="tablecopy"/>
              <w:spacing w:before="20" w:after="20"/>
              <w:jc w:val="center"/>
            </w:pPr>
            <w:r>
              <w:rPr>
                <w:b/>
              </w:rPr>
              <w:t>0.855</w:t>
            </w:r>
            <w:r>
              <w:t xml:space="preserve"> / </w:t>
            </w:r>
            <w:r>
              <w:rPr>
                <w:b/>
              </w:rPr>
              <w:t>0.821</w:t>
            </w:r>
          </w:p>
        </w:tc>
      </w:tr>
      <w:tr>
        <w:tc>
          <w:tcPr>
            <w:tcW w:type="dxa" w:w="2551"/>
          </w:tcPr>
          <w:p>
            <w:pPr>
              <w:pStyle w:val="tablecopy"/>
              <w:spacing w:before="20" w:after="20"/>
            </w:pPr>
            <w:r>
              <w:rPr>
                <w:b/>
              </w:rPr>
              <w:t>B-32 maxout + QAT</w:t>
            </w:r>
            <w:r>
              <w:t>, seed 1</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 xml:space="preserve">30.00 / </w:t>
            </w:r>
            <w:r>
              <w:rPr>
                <w:b/>
              </w:rPr>
              <w:t>30.00</w:t>
            </w:r>
          </w:p>
        </w:tc>
        <w:tc>
          <w:tcPr>
            <w:tcW w:type="dxa" w:w="1417"/>
          </w:tcPr>
          <w:p>
            <w:pPr>
              <w:pStyle w:val="tablecopy"/>
              <w:spacing w:before="20" w:after="20"/>
              <w:jc w:val="center"/>
            </w:pPr>
            <w:r>
              <w:t xml:space="preserve">28.95 / </w:t>
            </w:r>
            <w:r>
              <w:rPr>
                <w:b/>
              </w:rPr>
              <w:t>28.94</w:t>
            </w:r>
          </w:p>
        </w:tc>
        <w:tc>
          <w:tcPr>
            <w:tcW w:type="dxa" w:w="1644"/>
          </w:tcPr>
          <w:p>
            <w:pPr>
              <w:pStyle w:val="tablecopy"/>
              <w:spacing w:before="20" w:after="20"/>
              <w:jc w:val="center"/>
            </w:pPr>
            <w:r>
              <w:rPr>
                <w:b/>
              </w:rPr>
              <w:t>0.851</w:t>
            </w:r>
            <w:r>
              <w:t xml:space="preserve"> / </w:t>
            </w:r>
            <w:r>
              <w:rPr>
                <w:b/>
              </w:rPr>
              <w:t>0.817</w:t>
            </w:r>
          </w:p>
        </w:tc>
      </w:tr>
      <w:tr>
        <w:tc>
          <w:tcPr>
            <w:tcW w:type="dxa" w:w="2551"/>
          </w:tcPr>
          <w:p>
            <w:pPr>
              <w:pStyle w:val="tablecopy"/>
              <w:spacing w:before="20" w:after="20"/>
            </w:pPr>
            <w:r>
              <w:t>B-32 maxout + QAT, 3 seeds</w:t>
            </w:r>
          </w:p>
        </w:tc>
        <w:tc>
          <w:tcPr>
            <w:tcW w:type="dxa" w:w="1077"/>
          </w:tcPr>
          <w:p>
            <w:pPr>
              <w:pStyle w:val="tablecopy"/>
              <w:spacing w:before="20" w:after="20"/>
              <w:jc w:val="center"/>
            </w:pPr>
            <w:r>
              <w:t>675</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29.98 / 29.97</w:t>
            </w:r>
          </w:p>
        </w:tc>
        <w:tc>
          <w:tcPr>
            <w:tcW w:type="dxa" w:w="1417"/>
          </w:tcPr>
          <w:p>
            <w:pPr>
              <w:pStyle w:val="tablecopy"/>
              <w:spacing w:before="20" w:after="20"/>
              <w:jc w:val="center"/>
            </w:pPr>
            <w:r>
              <w:t>28.93 / 28.92</w:t>
            </w:r>
          </w:p>
        </w:tc>
        <w:tc>
          <w:tcPr>
            <w:tcW w:type="dxa" w:w="1644"/>
          </w:tcPr>
          <w:p>
            <w:pPr>
              <w:pStyle w:val="tablecopy"/>
              <w:spacing w:before="20" w:after="20"/>
              <w:jc w:val="center"/>
            </w:pPr>
            <w:r>
              <w:t>0.850 / 0.816</w:t>
            </w:r>
          </w:p>
        </w:tc>
      </w:tr>
      <w:tr>
        <w:tc>
          <w:tcPr>
            <w:tcW w:type="dxa" w:w="2551"/>
          </w:tcPr>
          <w:p>
            <w:pPr>
              <w:pStyle w:val="tablecopy"/>
              <w:spacing w:before="20" w:after="20"/>
            </w:pPr>
            <w:r>
              <w:t>B-32 ReLU + QAT, 3 seeds</w:t>
            </w:r>
          </w:p>
        </w:tc>
        <w:tc>
          <w:tcPr>
            <w:tcW w:type="dxa" w:w="1077"/>
          </w:tcPr>
          <w:p>
            <w:pPr>
              <w:pStyle w:val="tablecopy"/>
              <w:spacing w:before="20" w:after="20"/>
              <w:jc w:val="center"/>
            </w:pPr>
            <w:r>
              <w:t>669</w:t>
            </w:r>
          </w:p>
        </w:tc>
        <w:tc>
          <w:tcPr>
            <w:tcW w:type="dxa" w:w="680"/>
          </w:tcPr>
          <w:p>
            <w:pPr>
              <w:pStyle w:val="tablecopy"/>
              <w:spacing w:before="20" w:after="20"/>
              <w:jc w:val="center"/>
            </w:pPr>
            <w:r>
              <w:t>45%</w:t>
            </w:r>
          </w:p>
        </w:tc>
        <w:tc>
          <w:tcPr>
            <w:tcW w:type="dxa" w:w="850"/>
          </w:tcPr>
          <w:p>
            <w:pPr>
              <w:pStyle w:val="tablecopy"/>
              <w:spacing w:before="20" w:after="20"/>
              <w:jc w:val="center"/>
            </w:pPr>
            <w:r>
              <w:t>76k</w:t>
            </w:r>
          </w:p>
        </w:tc>
        <w:tc>
          <w:tcPr>
            <w:tcW w:type="dxa" w:w="1417"/>
          </w:tcPr>
          <w:p>
            <w:pPr>
              <w:pStyle w:val="tablecopy"/>
              <w:spacing w:before="20" w:after="20"/>
              <w:jc w:val="center"/>
            </w:pPr>
            <w:r>
              <w:t>29.79 / 29.82</w:t>
            </w:r>
          </w:p>
        </w:tc>
        <w:tc>
          <w:tcPr>
            <w:tcW w:type="dxa" w:w="1417"/>
          </w:tcPr>
          <w:p>
            <w:pPr>
              <w:pStyle w:val="tablecopy"/>
              <w:spacing w:before="20" w:after="20"/>
              <w:jc w:val="center"/>
            </w:pPr>
            <w:r>
              <w:t>28.81 / 28.82</w:t>
            </w:r>
          </w:p>
        </w:tc>
        <w:tc>
          <w:tcPr>
            <w:tcW w:type="dxa" w:w="1644"/>
          </w:tcPr>
          <w:p>
            <w:pPr>
              <w:pStyle w:val="tablecopy"/>
              <w:spacing w:before="20" w:after="20"/>
              <w:jc w:val="center"/>
            </w:pPr>
            <w:r>
              <w:t>0.846 / 0.812</w:t>
            </w:r>
          </w:p>
        </w:tc>
      </w:tr>
      <w:tr>
        <w:tc>
          <w:tcPr>
            <w:tcW w:type="dxa" w:w="2551"/>
          </w:tcPr>
          <w:p>
            <w:pPr>
              <w:pStyle w:val="tablecopy"/>
              <w:spacing w:before="20" w:after="20"/>
            </w:pPr>
            <w:r>
              <w:t>10 × 45 ReLU + QAT (s2d)</w:t>
            </w:r>
          </w:p>
        </w:tc>
        <w:tc>
          <w:tcPr>
            <w:tcW w:type="dxa" w:w="1077"/>
          </w:tcPr>
          <w:p>
            <w:pPr>
              <w:pStyle w:val="tablecopy"/>
              <w:spacing w:before="20" w:after="20"/>
              <w:jc w:val="center"/>
            </w:pPr>
            <w:r>
              <w:t>934</w:t>
            </w:r>
          </w:p>
        </w:tc>
        <w:tc>
          <w:tcPr>
            <w:tcW w:type="dxa" w:w="680"/>
          </w:tcPr>
          <w:p>
            <w:pPr>
              <w:pStyle w:val="tablecopy"/>
              <w:spacing w:before="20" w:after="20"/>
              <w:jc w:val="center"/>
            </w:pPr>
            <w:r>
              <w:t>62%</w:t>
            </w:r>
          </w:p>
        </w:tc>
        <w:tc>
          <w:tcPr>
            <w:tcW w:type="dxa" w:w="850"/>
          </w:tcPr>
          <w:p>
            <w:pPr>
              <w:pStyle w:val="tablecopy"/>
              <w:spacing w:before="20" w:after="20"/>
              <w:jc w:val="center"/>
            </w:pPr>
            <w:r>
              <w:t>150k</w:t>
            </w:r>
          </w:p>
        </w:tc>
        <w:tc>
          <w:tcPr>
            <w:tcW w:type="dxa" w:w="1417"/>
          </w:tcPr>
          <w:p>
            <w:pPr>
              <w:pStyle w:val="tablecopy"/>
              <w:spacing w:before="20" w:after="20"/>
              <w:jc w:val="center"/>
            </w:pPr>
            <w:r>
              <w:t>30.07 / 30.05</w:t>
            </w:r>
          </w:p>
        </w:tc>
        <w:tc>
          <w:tcPr>
            <w:tcW w:type="dxa" w:w="1417"/>
          </w:tcPr>
          <w:p>
            <w:pPr>
              <w:pStyle w:val="tablecopy"/>
              <w:spacing w:before="20" w:after="20"/>
              <w:jc w:val="center"/>
            </w:pPr>
            <w:r>
              <w:t>28.98 / 28.97</w:t>
            </w:r>
          </w:p>
        </w:tc>
        <w:tc>
          <w:tcPr>
            <w:tcW w:type="dxa" w:w="1644"/>
          </w:tcPr>
          <w:p>
            <w:pPr>
              <w:pStyle w:val="tablecopy"/>
              <w:spacing w:before="20" w:after="20"/>
              <w:jc w:val="center"/>
            </w:pPr>
            <w:r>
              <w:t>0.852 / 0.817</w:t>
            </w:r>
          </w:p>
        </w:tc>
      </w:tr>
    </w:tbl>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Fig. 2. Integer PSNR against core cycles per pixel (left Set12, right BSD68). Filled: board-measured cycles. B-32: three seeds each, drawn apart in x.</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(+0.14 / +0.40 dB unclipped) and +0.29 / +0.22 dB over A on all 80 images, in 1.34× fewer cycles.</w:t>
      </w:r>
    </w:p>
    <w:p>
      <w:pPr>
        <w:pStyle w:val="a3"/>
      </w:pPr>
      <w:r>
        <w:rPr>
          <w:b/>
        </w:rPr>
        <w:t>Speed model.</w:t>
      </w:r>
      <w:r>
        <w:t xml:space="preserve"> B-32 + maxout + QAT (seed 1) takes 2.63× fewer cycles than A for 30.00 / 28.94 dB, +0.17 / +0.14 dB above A: level with BM3D on Set12 (9/12 images), and +0.57 dB on BSD68 (+0.32 dB unclipped). Without pooling, B-32 matches A on average (29.82 / 28.82 dB) in 2.66× fewer cycles.</w:t>
      </w:r>
    </w:p>
    <w:p>
      <w:pPr>
        <w:pStyle w:val="a3"/>
      </w:pPr>
      <w:r>
        <w:rPr>
          <w:b/>
        </w:rPr>
        <w:t>Free channels against ReLU, and max against mean.</w:t>
      </w:r>
      <w:r>
        <w:t xml:space="preserve"> Over three seeds maxout averages +0.15 / +0.10 dB above the same-width ReLU network for 1.01× the board cycles, but the seeds disagree (+0.37 / +0.26, −0.03 / −0.02 and +0.10 / +0.07 dB; image-paired SE ≤ 0.04 dB), so by the rule set before seeds 2 and 3 (every maxout seed above every ReLU seed) we do not claim pooling denoises better. Seed 1's gap was inflated by a collapse of its ReLU run; such collapses hit four of the nine 120-epoch runs, of every kind, and in each network the collapsed runs scored lowest (averaging: float Set12). The 45-channel ReLU network (maxout's parameter count) scored 30.05 / 28.97 dB (one seed), above all six 32-channel runs, for 1.38× the cycles. Averaging the pairs was within 0.1 dB of maxout (seed 2 integer; seed 1 float validation and Set12 only).</w:t>
      </w:r>
    </w:p>
    <w:p>
      <w:pPr>
        <w:pStyle w:val="a3"/>
      </w:pPr>
      <w:r>
        <w:rPr>
          <w:b/>
        </w:rPr>
        <w:t>Quantization and the same-input reference.</w:t>
      </w:r>
      <w:r>
        <w:t xml:space="preserve"> QAT brought every ReLU and maxout model within 0.04 dB of its float version; before it they had lost up to 0.25 dB. On the same input DnCNN-S (556k, float) beats our 300k integer model by 0.2 dB on Set12 and in SSIM on both sets (by 0.001 on BSD68); its BSD68 PSNR deficit reflects training on unclipped noise.</w:t>
      </w:r>
    </w:p>
    <w:p>
      <w:pPr>
        <w:pStyle w:val="a3"/>
      </w:pPr>
      <w:r>
        <w:rPr>
          <w:b/>
        </w:rPr>
        <w:t>Board.</w:t>
      </w:r>
      <w:r>
        <w:t xml:space="preserve"> The maxout layers (K = 288, 64 outputs) took 289 cycles per window, like the 32-output layers of A and the ReLU network: doubling the outputs cost no core cycles (Table II). Throughput is low: 6.4 GOPS at most at 50 MHz and 0.9–2.3 s of core time per 256×256 image, against 30–38 ms for float PyTorch on a 4-core CPU. The JTAG harness dominates wall-clock time, and the on-chip ARM was not compared.</w:t>
      </w:r>
    </w:p>
    <w:p>
      <w:pPr>
        <w:pStyle w:val="tablehead"/>
        <w:numPr>
          <w:ilvl w:val="0"/>
          <w:numId w:val="0"/>
        </w:numPr>
      </w:pPr>
      <w:r>
        <w:t>Table II. Board runs (Set12 05.png, 256×256, 50 MHz, no mismatch in any layer). Cycles per window: model → board; B-32 networks with QAT; three earlier versions also matched.</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91"/>
        <w:gridCol w:w="1587"/>
        <w:gridCol w:w="1247"/>
        <w:gridCol w:w="737"/>
      </w:tblGrid>
      <w:tr>
        <w:tc>
          <w:tcPr>
            <w:tcW w:type="dxa" w:w="1191"/>
          </w:tcPr>
          <w:p>
            <w:pPr>
              <w:pStyle w:val="tablecolhead"/>
              <w:spacing w:before="20" w:after="20"/>
            </w:pPr>
            <w:r>
              <w:t>Model</w:t>
            </w:r>
          </w:p>
        </w:tc>
        <w:tc>
          <w:tcPr>
            <w:tcW w:type="dxa" w:w="1587"/>
          </w:tcPr>
          <w:p>
            <w:pPr>
              <w:pStyle w:val="tablecolhead"/>
              <w:spacing w:before="20" w:after="20"/>
              <w:jc w:val="center"/>
            </w:pPr>
            <w:r>
              <w:t>Hidden K / COUT</w:t>
            </w:r>
          </w:p>
        </w:tc>
        <w:tc>
          <w:tcPr>
            <w:tcW w:type="dxa" w:w="1247"/>
          </w:tcPr>
          <w:p>
            <w:pPr>
              <w:pStyle w:val="tablecolhead"/>
              <w:spacing w:before="20" w:after="20"/>
              <w:jc w:val="center"/>
            </w:pPr>
            <w:r>
              <w:t>Cycles/window</w:t>
            </w:r>
          </w:p>
        </w:tc>
        <w:tc>
          <w:tcPr>
            <w:tcW w:type="dxa" w:w="737"/>
          </w:tcPr>
          <w:p>
            <w:pPr>
              <w:pStyle w:val="tablecolhead"/>
              <w:spacing w:before="20" w:after="20"/>
              <w:jc w:val="center"/>
            </w:pPr>
            <w:r>
              <w:t>PSNR</w:t>
            </w:r>
          </w:p>
        </w:tc>
      </w:tr>
      <w:tr>
        <w:tc>
          <w:tcPr>
            <w:tcW w:type="dxa" w:w="1191"/>
          </w:tcPr>
          <w:p>
            <w:pPr>
              <w:pStyle w:val="tablecopy"/>
              <w:spacing w:before="20" w:after="20"/>
            </w:pPr>
            <w:r>
              <w:t>A</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29.83</w:t>
            </w:r>
          </w:p>
        </w:tc>
      </w:tr>
      <w:tr>
        <w:tc>
          <w:tcPr>
            <w:tcW w:type="dxa" w:w="1191"/>
          </w:tcPr>
          <w:p>
            <w:pPr>
              <w:pStyle w:val="tablecopy"/>
              <w:spacing w:before="20" w:after="20"/>
            </w:pPr>
            <w:r>
              <w:t>B + QAT</w:t>
            </w:r>
          </w:p>
        </w:tc>
        <w:tc>
          <w:tcPr>
            <w:tcW w:type="dxa" w:w="1587"/>
          </w:tcPr>
          <w:p>
            <w:pPr>
              <w:pStyle w:val="tablecopy"/>
              <w:spacing w:before="20" w:after="20"/>
              <w:jc w:val="center"/>
            </w:pPr>
            <w:r>
              <w:t>576 / 64</w:t>
            </w:r>
          </w:p>
        </w:tc>
        <w:tc>
          <w:tcPr>
            <w:tcW w:type="dxa" w:w="1247"/>
          </w:tcPr>
          <w:p>
            <w:pPr>
              <w:pStyle w:val="tablecopy"/>
              <w:spacing w:before="20" w:after="20"/>
              <w:jc w:val="center"/>
            </w:pPr>
            <w:r>
              <w:t>576 → 577</w:t>
            </w:r>
          </w:p>
        </w:tc>
        <w:tc>
          <w:tcPr>
            <w:tcW w:type="dxa" w:w="737"/>
          </w:tcPr>
          <w:p>
            <w:pPr>
              <w:pStyle w:val="tablecopy"/>
              <w:spacing w:before="20" w:after="20"/>
              <w:jc w:val="center"/>
            </w:pPr>
            <w:r>
              <w:t>30.06</w:t>
            </w:r>
          </w:p>
        </w:tc>
      </w:tr>
      <w:tr>
        <w:tc>
          <w:tcPr>
            <w:tcW w:type="dxa" w:w="1191"/>
          </w:tcPr>
          <w:p>
            <w:pPr>
              <w:pStyle w:val="tablecopy"/>
              <w:spacing w:before="20" w:after="20"/>
            </w:pPr>
            <w:r>
              <w:t>B-32 maxout</w:t>
            </w:r>
          </w:p>
        </w:tc>
        <w:tc>
          <w:tcPr>
            <w:tcW w:type="dxa" w:w="1587"/>
          </w:tcPr>
          <w:p>
            <w:pPr>
              <w:pStyle w:val="tablecopy"/>
              <w:spacing w:before="20" w:after="20"/>
              <w:jc w:val="center"/>
            </w:pPr>
            <w:r>
              <w:t xml:space="preserve">288 / </w:t>
            </w:r>
            <w:r>
              <w:rPr>
                <w:b/>
              </w:rPr>
              <w:t>64</w:t>
            </w:r>
          </w:p>
        </w:tc>
        <w:tc>
          <w:tcPr>
            <w:tcW w:type="dxa" w:w="1247"/>
          </w:tcPr>
          <w:p>
            <w:pPr>
              <w:pStyle w:val="tablecopy"/>
              <w:spacing w:before="20" w:after="20"/>
              <w:jc w:val="center"/>
            </w:pPr>
            <w:r>
              <w:t xml:space="preserve">288 → </w:t>
            </w:r>
            <w:r>
              <w:rPr>
                <w:b/>
              </w:rPr>
              <w:t>289</w:t>
            </w:r>
          </w:p>
        </w:tc>
        <w:tc>
          <w:tcPr>
            <w:tcW w:type="dxa" w:w="737"/>
          </w:tcPr>
          <w:p>
            <w:pPr>
              <w:pStyle w:val="tablecopy"/>
              <w:spacing w:before="20" w:after="20"/>
              <w:jc w:val="center"/>
            </w:pPr>
            <w:r>
              <w:t>29.94</w:t>
            </w:r>
          </w:p>
        </w:tc>
      </w:tr>
      <w:tr>
        <w:tc>
          <w:tcPr>
            <w:tcW w:type="dxa" w:w="1191"/>
          </w:tcPr>
          <w:p>
            <w:pPr>
              <w:pStyle w:val="tablecopy"/>
              <w:spacing w:before="20" w:after="20"/>
            </w:pPr>
            <w:r>
              <w:t>B-32 ReLU</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29.54</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became cheap: space-to-depth fitted a 6.4× larger network into 25% fewer cycles, and doubling the hidden outputs and pooling them in pairs doubled the parameters for 1% more cycles, though its gain over the same-width ReLU network did not hold in every seed.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EfficientNet-X [5], HALP [12] and DRACO [13] apply the same logic on TPUs, GPUs and systolic arrays. Whether P·T/w holds for other input structures is still a prediction. Pooling is free in cycles only: in sparse mode it issued 3.0× the ReLU network's nonzero multiplications. Energy, end-to-end time without the test harness, other noise levels and color images are not reported. Code, models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