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그러나 같은 학습 예산에서 같은 폭의 ReLU 망보다 화질이 높은지는 시드 세 개 중 하나에서 뒤집혀(시드 평균 +0.15 / +0.10 dB, 시드별 Set12 +0.37, −0.03, +0.10 dB), 결과 전에 정한 규칙에 따라 주장하지 않는다. 보드 연산을 재현한 양자화 인지 학습은 ReLU·maxout 정수 모델을 모두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dB다(시드 세 개 평균 29.97 / 28.92 dB). 합치기 없는 같은 32채널 망도 시드 평균으로 기준 망과 같은 화질(29.82 / 28.82 dB)을 2.66배 적은 사이클에 낸다.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사이클당 4값을 받는 코어 변형을 만들어 네 망의 모든 층에서 실제 창으로 RTL 시뮬레이션한 결과는 이 모델과 맞았다(보드 측정 전).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늘린다. 같은 폭의 ReLU 망, 평균으로 합치는 대조군, 같은 파라미터의 45채널 ReLU 망과 비교했고(ReLU·maxout은 시드 세 개), 같은 폭의 ReLU 망에 대한 화질 이득은 시드마다 엇갈렸다.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만든 창을 사이클당 값 하나로 받는 입력 구조에 대한 것이며, 입력 포트가 사이클당 4값을 받거나(층마다 실제 창 512개의 RTL 시뮬레이션과 맞음, 보드 측정 전) 칩 안에 라인 버퍼를 두면(예측) maxout은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 = max( K, ⌈COUT/P⌉ · ⌈K/T⌉ ).  (사이클/창)</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 C′ = max(K + 1, ⌈COUT/P⌉ · ⌈K/T⌉, COUT)는(+1은 창 적재에 붙고 계산에 묶인 창에는 붙지 않는다)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입력이 사이클당 값 하나인 것은 FPGA의 물리 제약이 아니라 이 설계의 선택이다. 코어의 창 입력 포트가 사이클당 7비트 값 하나를 받고(</w:t>
      </w:r>
      <w:r>
        <w:rPr>
          <w:rFonts w:ascii="Courier New" w:hAnsi="Courier New"/>
        </w:rPr>
        <w:t>rtl/banked_window_mac.sv</w:t>
      </w:r>
      <w:r>
        <w:t xml:space="preserve">의 </w:t>
      </w:r>
      <w:r>
        <w:rPr>
          <w:rFonts w:ascii="Courier New" w:hAnsi="Courier New"/>
        </w:rPr>
        <w:t>s_data[6:0]</w:t>
      </w:r>
      <w:r>
        <w:t>), AXI-Stream 래퍼는 32비트 전송 단위(beat)에 실려 오는 값 4개를 그에 맞춰 1개/사이클로 풀어 넣는다. 래퍼만이 아니라 코어의 적재 경로도 바꿔야 포트가 넓어진다. 본 연구의 주된 결과는 CIFAR-10용으로 만든 코어를 바꾸지 않고 주어진 것으로 다룬다(이미 있는 가속기를 쓰는 사용자의 입장). 일반화하면 추가 사이클 없이 늘릴 수 있는 출력 채널은 대략 곱셈기 수를 입력 폭으로 나눈 값(P·T/w: 사이클당 1값이면 64, 2값이면 32, 4값이면 16)까지다. 이 규칙을 시험하려고 포트가 beat 하나(w = 4값)를 한 사이클에 받는 변형도 만들었다. 탭 4r..4r+3은 네 뱅크의 같은 행에 하나씩 들어가므로 뱅크마다 사이클당 튜플 하나라는 구조는 그대로이고, 창 적재가 K+1에서 ⌈K/4⌉+1 사이클로 준다(창 길이가 4의 배수가 아니면 PC가 0으로 채운다). 창마다 적재(⌈K/w⌉+1), 계산(⌈COUT/P⌉ × 뱅크별 0 아닌 탭 수의 최댓값), 출력(COUT) 중 가장 긴 것으로 05.png의 모든 창을 세면(보드와 같은 sparse 모드), maxout은 2값에서 ReLU 망의 1.55배, 4값에서 2.48배가 되고, B는 2값에서 아직 A의 0.82배지만 4값에서 1.19배로 A보다 느려진다(표 III). 4값 변형을 보드 비트스트림과 같은 설정(K ≤ 1152, COUT ≤ 128, P = 16, T = 4)으로 RTL 시뮬레이션해 네 망의 모든 층(37개)에 실제 창 512개씩을 넣자, 출력은 모두 정수 모델과 같았고 사이클은 이 계수와 층마다 10–164 사이클 안에서 맞았다. 그 차이는 실행마다 한 번 붙는 파이프라인의 채움·비움(계산에 묶인 은닉층에서는 첫 창의 적재 ⌈K/4⌉+1에 18–19 사이클)으로, 창 수와 무관하다. 이 시뮬레이션은 DMA가 매 사이클 beat를 대 주는 입력을 가정했다. 같은 창을 1값으로 돌린 RTL도 같은 방식으로 맞았다(</w:t>
      </w:r>
      <w:r>
        <w:rPr>
          <w:rFonts w:ascii="Courier New" w:hAnsi="Courier New"/>
        </w:rPr>
        <w:t>denoise/sim_w4_layers.py</w:t>
      </w:r>
      <w:r>
        <w:t>). 이 변형은 아직 보드에서 돌리지 않았다. 칩 안에 라인 버퍼를 두는 일반적인 FPGA 가속기 구조 [21]에서는 창마다 새 입력 픽셀 하나의 C_in개 값만 들어오므로, 같은 계수로 maxout은 ReLU의 2.61배, B는 A의 1.23배가 된다(dense 상한으로는 A 827 대 B 1,206 사이클/px; 예측이며 그런 하드웨어는 만들지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활용률(dense 곱셈 수 / (64 × 사이클))은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비싸다(V절에서 학습해 비교한다).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maxout)과 45채널 ReLU 망은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B-32 ReLU와 maxout이 1·2·3, 평균 결합이 1·2이고 나머지 망은 1이다. 시드 1은 CPU에서, 시드 2·3과 45채널 망은 다른 PC의 GPU(PyTorch 기본 설정)에서 학습했다. 가중치 초기값과 학습 패치·잡음은 시드만으로 정해져 장치가 달라도 같고, 다른 것은 부동소수점 연산이다(GPU 기본값에서는 합성곱이 TF32일 수 있어 정밀도도 다르다). 같은 시드의 첫 epoch 학습 손실은 CPU와 GPU에서 ReLU 0.07%, 평균 결합 0.13% 안에서 같았지만, maxout은 1.2% 달라 CPU에서 시드를 바꾼 차이(0.4%)보다 컸다. 연산 정밀도 차이로 학습 궤적이 갈라진 것과 맞는다.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7개(4값 변형 3개 포함)와 시드 2–3개로 실행해 UVM 1.2에서 69회, IEEE 1800.2-2020에서 46회 모두 통과했고(xsim은 돌리지 않았다), UVM 1.2 실행에서 출력 63,179개와 레지스터 읽기 11,419개를 비교했다(2020판 실행은 37,525개와 7,659개). 일부러 넣은 버그 15개(4값 경로 5개 포함)를 모두 검출했다. 형상 커버리지는 축소 빌드에서 89–100%, 보드 빌드에서는 17–29%다(4값 변형은 86–94%, 14–29%). 지시 테스트는 CIFAR-10 층 형상(K=27–1152, COUT=32–128)을 덮으며, 잡음 제거망의 형상(K=9, 36, 297, 324, 612 등)은 UVM이 아니라, 1값 코어는 보드에서, 4값 변형은 네 망의 모든 층에서 실제 창 512개씩의 RTL 시뮬레이션(II절; 보드 실행 전)에서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B-32 비교는 시드 세 개로 하고, 시드가 하나인 망끼리의 0.1 dB 미만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B-32와 45채널 행은 조기 종료 없이 120 epoch(갱신 19,200회)을 학습했고, +QAT 행은 여기에 QAT 15 epoch을 더했다(QAT 단계의 시드는 모든 QAT 모델이 3). 시드 표시가 없는 B-32 행은 시드 1이고, "시드 1–3" 행은 세 시드의 평균(괄호는 범위)이다. 평균 결합 QAT 모델의 float 값은 뜻이 없어 적지 않는다(아래 QAT 항목).</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QAT, 시드 1–3</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29.79 / 29.82 (29.62–29.94)</w:t>
            </w:r>
          </w:p>
        </w:tc>
        <w:tc>
          <w:tcPr>
            <w:tcW w:type="dxa" w:w="964"/>
          </w:tcPr>
          <w:p>
            <w:pPr>
              <w:pStyle w:val="tablecopy"/>
              <w:spacing w:before="20" w:after="20"/>
              <w:jc w:val="center"/>
            </w:pPr>
            <w:r>
              <w:t>28.81 / 28.82 (28.68–28.91)</w:t>
            </w:r>
          </w:p>
        </w:tc>
        <w:tc>
          <w:tcPr>
            <w:tcW w:type="dxa" w:w="964"/>
          </w:tcPr>
          <w:p>
            <w:pPr>
              <w:pStyle w:val="tablecopy"/>
              <w:spacing w:before="20" w:after="20"/>
              <w:jc w:val="center"/>
            </w:pPr>
            <w:r>
              <w:t>0.8459 / 0.8122</w:t>
            </w:r>
          </w:p>
        </w:tc>
        <w:tc>
          <w:tcPr>
            <w:tcW w:type="dxa" w:w="964"/>
          </w:tcPr>
          <w:p>
            <w:pPr>
              <w:pStyle w:val="tablecopy"/>
              <w:spacing w:before="20" w:after="20"/>
              <w:jc w:val="center"/>
            </w:pPr>
            <w:r>
              <w:t>5·8·7/12, 57·68·68/68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r>
        <w:tc>
          <w:tcPr>
            <w:tcW w:type="dxa" w:w="2891"/>
          </w:tcPr>
          <w:p>
            <w:pPr>
              <w:pStyle w:val="tablecopy"/>
              <w:spacing w:before="20" w:after="20"/>
            </w:pPr>
            <w:r>
              <w:t>B-32 + maxout + QAT, 시드 1–3</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29.98 / 29.97 (29.91–30.00)</w:t>
            </w:r>
          </w:p>
        </w:tc>
        <w:tc>
          <w:tcPr>
            <w:tcW w:type="dxa" w:w="964"/>
          </w:tcPr>
          <w:p>
            <w:pPr>
              <w:pStyle w:val="tablecopy"/>
              <w:spacing w:before="20" w:after="20"/>
              <w:jc w:val="center"/>
            </w:pPr>
            <w:r>
              <w:t>28.93 / 28.92 (28.89–28.95)</w:t>
            </w:r>
          </w:p>
        </w:tc>
        <w:tc>
          <w:tcPr>
            <w:tcW w:type="dxa" w:w="964"/>
          </w:tcPr>
          <w:p>
            <w:pPr>
              <w:pStyle w:val="tablecopy"/>
              <w:spacing w:before="20" w:after="20"/>
              <w:jc w:val="center"/>
            </w:pPr>
            <w:r>
              <w:t>0.8501 / 0.8163</w:t>
            </w:r>
          </w:p>
        </w:tc>
        <w:tc>
          <w:tcPr>
            <w:tcW w:type="dxa" w:w="964"/>
          </w:tcPr>
          <w:p>
            <w:pPr>
              <w:pStyle w:val="tablecopy"/>
              <w:spacing w:before="20" w:after="20"/>
              <w:jc w:val="center"/>
            </w:pPr>
            <w:r>
              <w:t>9·7·9/12, 68·68·68/68</w:t>
            </w:r>
          </w:p>
        </w:tc>
      </w:tr>
      <w:tr>
        <w:tc>
          <w:tcPr>
            <w:tcW w:type="dxa" w:w="2891"/>
          </w:tcPr>
          <w:p>
            <w:pPr>
              <w:pStyle w:val="tablecopy"/>
              <w:spacing w:before="20" w:after="20"/>
            </w:pPr>
            <w:r>
              <w:t>B-32 + 평균 결합 + QAT, 시드 2</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 29.82</w:t>
            </w:r>
          </w:p>
        </w:tc>
        <w:tc>
          <w:tcPr>
            <w:tcW w:type="dxa" w:w="964"/>
          </w:tcPr>
          <w:p>
            <w:pPr>
              <w:pStyle w:val="tablecopy"/>
              <w:spacing w:before="20" w:after="20"/>
              <w:jc w:val="center"/>
            </w:pPr>
            <w:r>
              <w:t>— / 28.82</w:t>
            </w:r>
          </w:p>
        </w:tc>
        <w:tc>
          <w:tcPr>
            <w:tcW w:type="dxa" w:w="964"/>
          </w:tcPr>
          <w:p>
            <w:pPr>
              <w:pStyle w:val="tablecopy"/>
              <w:spacing w:before="20" w:after="20"/>
              <w:jc w:val="center"/>
            </w:pPr>
            <w:r>
              <w:t>0.8457 / 0.8115</w:t>
            </w:r>
          </w:p>
        </w:tc>
        <w:tc>
          <w:tcPr>
            <w:tcW w:type="dxa" w:w="964"/>
          </w:tcPr>
          <w:p>
            <w:pPr>
              <w:pStyle w:val="tablecopy"/>
              <w:spacing w:before="20" w:after="20"/>
              <w:jc w:val="center"/>
            </w:pPr>
            <w:r>
              <w:t>6/12, 65/68</w:t>
            </w:r>
          </w:p>
        </w:tc>
      </w:tr>
      <w:tr>
        <w:tc>
          <w:tcPr>
            <w:tcW w:type="dxa" w:w="2891"/>
          </w:tcPr>
          <w:p>
            <w:pPr>
              <w:pStyle w:val="tablecopy"/>
              <w:spacing w:before="20" w:after="20"/>
            </w:pPr>
            <w:r>
              <w:t>10층 × 45, ReLU + QAT (s2d)</w:t>
            </w:r>
          </w:p>
        </w:tc>
        <w:tc>
          <w:tcPr>
            <w:tcW w:type="dxa" w:w="964"/>
          </w:tcPr>
          <w:p>
            <w:pPr>
              <w:pStyle w:val="tablecopy"/>
              <w:spacing w:before="20" w:after="20"/>
              <w:jc w:val="center"/>
            </w:pPr>
            <w:r>
              <w:t>934</w:t>
            </w:r>
          </w:p>
        </w:tc>
        <w:tc>
          <w:tcPr>
            <w:tcW w:type="dxa" w:w="964"/>
          </w:tcPr>
          <w:p>
            <w:pPr>
              <w:pStyle w:val="tablecopy"/>
              <w:spacing w:before="20" w:after="20"/>
              <w:jc w:val="center"/>
            </w:pPr>
            <w:r>
              <w:t>62%</w:t>
            </w:r>
          </w:p>
        </w:tc>
        <w:tc>
          <w:tcPr>
            <w:tcW w:type="dxa" w:w="964"/>
          </w:tcPr>
          <w:p>
            <w:pPr>
              <w:pStyle w:val="tablecopy"/>
              <w:spacing w:before="20" w:after="20"/>
              <w:jc w:val="center"/>
            </w:pPr>
            <w:r>
              <w:t>150k</w:t>
            </w:r>
          </w:p>
        </w:tc>
        <w:tc>
          <w:tcPr>
            <w:tcW w:type="dxa" w:w="964"/>
          </w:tcPr>
          <w:p>
            <w:pPr>
              <w:pStyle w:val="tablecopy"/>
              <w:spacing w:before="20" w:after="20"/>
              <w:jc w:val="center"/>
            </w:pPr>
            <w:r>
              <w:t>30.07 / 30.05</w:t>
            </w:r>
          </w:p>
        </w:tc>
        <w:tc>
          <w:tcPr>
            <w:tcW w:type="dxa" w:w="964"/>
          </w:tcPr>
          <w:p>
            <w:pPr>
              <w:pStyle w:val="tablecopy"/>
              <w:spacing w:before="20" w:after="20"/>
              <w:jc w:val="center"/>
            </w:pPr>
            <w:r>
              <w:t>28.98 / 28.97</w:t>
            </w:r>
          </w:p>
        </w:tc>
        <w:tc>
          <w:tcPr>
            <w:tcW w:type="dxa" w:w="964"/>
          </w:tcPr>
          <w:p>
            <w:pPr>
              <w:pStyle w:val="tablecopy"/>
              <w:spacing w:before="20" w:after="20"/>
              <w:jc w:val="center"/>
            </w:pPr>
            <w:r>
              <w:t>0.8516 / 0.8174</w:t>
            </w:r>
          </w:p>
        </w:tc>
        <w:tc>
          <w:tcPr>
            <w:tcW w:type="dxa" w:w="964"/>
          </w:tcPr>
          <w:p>
            <w:pPr>
              <w:pStyle w:val="tablecopy"/>
              <w:spacing w:before="20" w:after="20"/>
              <w:jc w:val="center"/>
            </w:pPr>
            <w:r>
              <w:t>10/12, 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때문이며, 시드 2·3이 나오기 전에 정했다. 세 시드의 평균은 29.97 / 28.92 dB(범위 29.91–30.00 / 28.89–28.95)이고, 시드 1은 Set12에서 셋 중 가장 높고(시드 3보다 0.002 dB) BSD68에서 둘째다. 합치기 없는 B-32 ReLU+QAT도 시드 평균 29.82 / 28.82 dB로 A(29.83 / 28.80)와 같은 화질을 2.66배 적은 사이클에 낸다. 즉 space-to-depth로 더 깊은(10층) 망을 넣고도 같은 화질에서 사이클이 크게 준다.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 (시드 세 개):</w:t>
      </w:r>
      <w:r>
        <w:t xml:space="preserve"> 같은 예산(120 epoch + QAT 15 epoch)에서 정수 PSNR(Set12 / BSD68)은 maxout 망이 시드 1·2·3에서 30.00 / 28.94, 29.91 / 28.89, 29.99 / 28.95 dB, ReLU 망이 29.62 / 28.68, 29.94 / 28.91, 29.89 / 28.88 dB다. 사이클은 maxout이 1% 많다(보드 실측 1.01배; 첫 층). 평균은 maxout이 +0.15 / +0.10 dB 높지만, 시드별 차이는 +0.37 / +0.26, −0.03 / −0.02, +0.10 / +0.07 dB로 시드 2에서 뒤집혔다(시드 2는 ReLU가 80장 중 69장에서 높다). 사진별 차이의 표준오차는 모두 0.04 dB 이하라서 불확실성은 테스트 사진이 아니라 학습 실행에서 온다. 시드 2·3을 보기 전에 정한 규칙(모든 maxout 시드가 모든 ReLU 시드보다 두 테스트셋에서 높을 때만 '높다'고 쓴다)에 따라, maxout이 화질을 올린다고 주장하지 않는다. 시드 1의 큰 차이는 그 시드의 ReLU 망이 epoch 26에 무너지고(검증 27.93 → 24.27 dB) 학습률 규칙이 회복 중에 학습률을 네 번 반으로 줄인 탓이 컸다. 이런 붕괴(검증 PSNR이 그때까지의 최고보다 1 dB 넘게 떨어짐)는 120 epoch 실행 아홉 개 중 넷(ReLU 시드 1·3, maxout 시드 2, 평균 결합 시드 2)에서 망 종류와 상관없이 일어났고, 망마다 붕괴한 실행이 붕괴하지 않은 실행보다 모두 낮았다(평균 결합은 float Set12 기준). 즉 시드 간 퍼짐은 대부분 붕괴한 실행에서 생긴다. 학습률을 낮추거나 기울기 클리핑을 쓰면 줄 것으로 보이지만 시험하지 않았다. maxout 망은 파라미터가 2배이므로(76k 대 152k) 두 대조군을 함께 봤다. 같은 파라미터의 45채널 ReLU 망(150k, 934 사이클/px)은 30.05 / 28.97 dB로, 시드가 하나지만 32채널 실행 여섯 개 모두보다 높았다(가장 좋은 32채널 실행보다 +0.06 / +0.03 dB). 대신 사이클이 38% 더 든다. 같은 64 출력을 max 대신 평균으로 합치는 대조군(초기 가중치와 데이터까지 maxout과 같음)은 시드 1에서 float 검증 최고 28.549 dB, Set12 30.05 dB로 maxout(28.528, 30.02)과 같거나 약간 높았고, 시드 2에서 정수 29.82 / 28.82 dB로 maxout(29.91 / 28.89)보다 0.09 / 0.07 dB 낮았다. 두 시드 모두 0.1 dB 안이라 max와 평균의 차이는 해석하지 않는다(시드 1의 QAT 정수 값은 아직 없다).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시드 1에서 학습 뒤 양자화(PTQ)의 정수 손실은 maxout 망 0.16 / 0.14 dB, ReLU 망 0.05 / 0.02 dB였고(Set12 / BSD68), ReLU·maxout 시드 2·3과 45채널 망까지 보면 0.02–0.25 dB다(평균 결합 시드 2는 0.29 / 0.17 dB). QAT 뒤에는 ReLU·maxout·45채널 정수 모델이 모두 float의 0.04 dB 안이다(시드 1 ReLU 망은 정수가 float보다 0.04 / 0.02 dB 높다). 시드 1의 정수 PSNR 이득은 maxout 망 +0.14 / +0.14 dB, ReLU 망 +0.12 / +0.15 dB(둘 다 80/80장)로 비슷하고 B는 +0.02 / +0.03 dB다. 평균 결합 QAT 모델의 float 값(양자화를 끈 망)은 활성값 클리핑까지 꺼져 BSD68 한 장이 8.74 dB로 무너지므로(평균 27.78 dB) 비교 기준이 되지 못한다. 클리핑만 남기면 28.75 dB로 정수 값(28.82)과 가깝고, 보드가 계산하는 정수 값과는 상관없다.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정수 모델 열네 개의 SSIM 순위는 PSNR 순위와 거의 같고(순위 상관 0.99), 자리가 바뀐 것은 PSNR 차이가 0.03 dB 미만인 모델끼리뿐이다. maxout 대 ReLU의 SSIM 차이도 PSNR처럼 시드마다 엇갈린다(시드 1·2·3에서 +0.011 / +0.011, −0.001 / −0.001, +0.003 / +0.002).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 QAT 모델의 시드 세 개이고(세로선은 범위), 두 망 모두 약 670 사이클이지만 점이 겹치지 않게 x를 조금씩(최대 7%) 옮겨 그렸다. maxout의 세 시드는 ReLU 범위의 위쪽 끝과 겹치고, 같은 파라미터의 45채널 ReLU 망은 38% 더 많은 사이클에서 그 위에 있다. space-to-depth 망 B는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코어 사이클/픽셀. Set12 05.png의 모든 창을 센 값이며(sparse 모드, 보드와 같음) 괄호는 dense 상한이다. 창당 비용은 max(적재 + 1, ⌈COUT/P⌉ × 그룹당 비용, COUT)이고, 적재는 ⌈K/w⌉ 또는 라인 버퍼의 C_in, 그룹당 비용은 뱅크별 0 아닌 탭 수의 최댓값(dense는 ⌈K/4⌉)이다(</w:t>
      </w:r>
      <w:r>
        <w:rPr>
          <w:rFonts w:ascii="Courier New" w:hAnsi="Courier New"/>
        </w:rPr>
        <w:t>denoise/wider_ports.py</w:t>
      </w:r>
      <w:r>
        <w:t>). 1값은 보드 실측이고, 4값도 같은 식으로 센 값이며, 그 창당 계수를 층마다 실제 창 512개의 RTL 시뮬레이션(sparse 모드)으로 확인했고(dense 값은 RTL에서 돌리지 않았다; 보드 측정 전), 2값과 라인 버퍼는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(보드)</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 (계수는 RTL 확인)</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 (907)</w:t>
            </w:r>
          </w:p>
        </w:tc>
        <w:tc>
          <w:tcPr>
            <w:tcW w:type="dxa" w:w="833"/>
          </w:tcPr>
          <w:p>
            <w:pPr>
              <w:pStyle w:val="tablecopy"/>
              <w:spacing w:before="20" w:after="20"/>
              <w:jc w:val="center"/>
            </w:pPr>
            <w:r>
              <w:t>573 (828)</w:t>
            </w:r>
          </w:p>
        </w:tc>
        <w:tc>
          <w:tcPr>
            <w:tcW w:type="dxa" w:w="833"/>
          </w:tcPr>
          <w:p>
            <w:pPr>
              <w:pStyle w:val="tablecopy"/>
              <w:spacing w:before="20" w:after="20"/>
              <w:jc w:val="center"/>
            </w:pPr>
            <w:r>
              <w:t>538 (827)</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741 (1,245)</w:t>
            </w:r>
          </w:p>
        </w:tc>
        <w:tc>
          <w:tcPr>
            <w:tcW w:type="dxa" w:w="833"/>
          </w:tcPr>
          <w:p>
            <w:pPr>
              <w:pStyle w:val="tablecopy"/>
              <w:spacing w:before="20" w:after="20"/>
              <w:jc w:val="center"/>
            </w:pPr>
            <w:r>
              <w:t>683 (1,207)</w:t>
            </w:r>
          </w:p>
        </w:tc>
        <w:tc>
          <w:tcPr>
            <w:tcW w:type="dxa" w:w="833"/>
          </w:tcPr>
          <w:p>
            <w:pPr>
              <w:pStyle w:val="tablecopy"/>
              <w:spacing w:before="20" w:after="20"/>
              <w:jc w:val="center"/>
            </w:pPr>
            <w:r>
              <w:t>665 (1,206)</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 (339)</w:t>
            </w:r>
          </w:p>
        </w:tc>
        <w:tc>
          <w:tcPr>
            <w:tcW w:type="dxa" w:w="833"/>
          </w:tcPr>
          <w:p>
            <w:pPr>
              <w:pStyle w:val="tablecopy"/>
              <w:spacing w:before="20" w:after="20"/>
              <w:jc w:val="center"/>
            </w:pPr>
            <w:r>
              <w:t>203 (317)</w:t>
            </w:r>
          </w:p>
        </w:tc>
        <w:tc>
          <w:tcPr>
            <w:tcW w:type="dxa" w:w="833"/>
          </w:tcPr>
          <w:p>
            <w:pPr>
              <w:pStyle w:val="tablecopy"/>
              <w:spacing w:before="20" w:after="20"/>
              <w:jc w:val="center"/>
            </w:pPr>
            <w:r>
              <w:t>191 (316)</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524 (633)</w:t>
            </w:r>
          </w:p>
        </w:tc>
        <w:tc>
          <w:tcPr>
            <w:tcW w:type="dxa" w:w="833"/>
          </w:tcPr>
          <w:p>
            <w:pPr>
              <w:pStyle w:val="tablecopy"/>
              <w:spacing w:before="20" w:after="20"/>
              <w:jc w:val="center"/>
            </w:pPr>
            <w:r>
              <w:t>503 (613)</w:t>
            </w:r>
          </w:p>
        </w:tc>
        <w:tc>
          <w:tcPr>
            <w:tcW w:type="dxa" w:w="833"/>
          </w:tcPr>
          <w:p>
            <w:pPr>
              <w:pStyle w:val="tablecopy"/>
              <w:spacing w:before="20" w:after="20"/>
              <w:jc w:val="center"/>
            </w:pPr>
            <w:r>
              <w:t>500 (612)</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0.82 (1.37)</w:t>
            </w:r>
          </w:p>
        </w:tc>
        <w:tc>
          <w:tcPr>
            <w:tcW w:type="dxa" w:w="833"/>
          </w:tcPr>
          <w:p>
            <w:pPr>
              <w:pStyle w:val="tablecopy"/>
              <w:spacing w:before="20" w:after="20"/>
              <w:jc w:val="center"/>
            </w:pPr>
            <w:r>
              <w:t>1.19 (1.46)</w:t>
            </w:r>
          </w:p>
        </w:tc>
        <w:tc>
          <w:tcPr>
            <w:tcW w:type="dxa" w:w="833"/>
          </w:tcPr>
          <w:p>
            <w:pPr>
              <w:pStyle w:val="tablecopy"/>
              <w:spacing w:before="20" w:after="20"/>
              <w:jc w:val="center"/>
            </w:pPr>
            <w:r>
              <w:t>1.23 (1.46)</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1.55 (1.87)</w:t>
            </w:r>
          </w:p>
        </w:tc>
        <w:tc>
          <w:tcPr>
            <w:tcW w:type="dxa" w:w="833"/>
          </w:tcPr>
          <w:p>
            <w:pPr>
              <w:pStyle w:val="tablecopy"/>
              <w:spacing w:before="20" w:after="20"/>
              <w:jc w:val="center"/>
            </w:pPr>
            <w:r>
              <w:t>2.48 (1.94)</w:t>
            </w:r>
          </w:p>
        </w:tc>
        <w:tc>
          <w:tcPr>
            <w:tcW w:type="dxa" w:w="833"/>
          </w:tcPr>
          <w:p>
            <w:pPr>
              <w:pStyle w:val="tablecopy"/>
              <w:spacing w:before="20" w:after="20"/>
              <w:jc w:val="center"/>
            </w:pPr>
            <w:r>
              <w:t>2.61 (1.94)</w:t>
            </w:r>
          </w:p>
        </w:tc>
      </w:tr>
    </w:tbl>
    <w:p>
      <w:pPr>
        <w:pStyle w:val="a3"/>
      </w:pPr>
      <w:r>
        <w:t>sparse 모드에서 합치기는 2값부터 공짜가 아니고(maxout 망은 입력에 0이 적어 건너뛸 곱셈이 적다), B는 4값과 라인 버퍼에서 A보다 느려진다. dense 상한으로는 2값만 돼도 두 이점이 모두 사라진다. 다만 B-32 maxout은 어느 구조에서도 A보다 빠르다. 입력 포트(코어의 적재 경로와 래퍼)를 넓히는 하드웨어 개선과 망 선택은 어느 하나를 고르는 관계가 아니다. 포트를 넓히면 모든 망이 빨라지고(A 1,775 → 573), 그때 이기는 망이 달라진다는 것이 이 표의 요점이다. 4값 열을 보드에서 재는 것이 다음 작업이다(비트스트림 설정과 실행 스크립트는 저장소에 있다).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설계의 비용이 작았다. space-to-depth는 6.4배 큰 망을 25% 적은 사이클에 넣어 화질도 올렸고, 같은 32채널 망은 시드 평균으로 기준 망과 같은 화질을 2.66배 적은 사이클에 냈다. 은닉층 출력을 2배로 늘려 두 개씩 합치는 설계는 은닉층의 사이클을 바꾸지 않고 파라미터를 2배로 늘렸지만, 같은 폭의 ReLU 망보다 높은 화질(시드 평균 +0.15 / +0.10 dB)은 시드 세 개 중 하나에서 뒤집혀 확인되지 않았다.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사라진다(창을 센 sparse 값 기준이며 4값은 표본 창의 RTL 시뮬레이션과 맞았다;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이 코어의 4값 포트에서는 P·T/w의 바탕인 창당 계수가 표본 창(층마다 512개)의 RTL 시뮬레이션과 맞았지만 보드 측정은 아직이고, 2값 포트와 라인 버퍼에서는 아직 예측이다.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하나이고, 시드 세 개는 B-32 ReLU·maxout에만 있고(평균 결합은 두 개, 그중 시드 1은 float 값만; 나머지 망은 하나), 흑백 영상만 다뤘다. 규칙은 현재 입력 구조(포트 폭, host im2col)에 조건부이며, 다른 입력 구조(4값 포트는 RTL 시뮬레이션만)와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