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(where RTL simulation of a four-value variant agrees on real windows)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four values per cycle or on-chip line buffers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max(C + 1, COUT) matches all four networks within 0.003% (Table II), against 0.4–1.6% without them; the ReLU network, run after they were fixed, was predicted within 0.0014%. All board runs used the sparse mode, which skips multiplications by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(by the dense bound, 1.87× and 1.37× already at w = 2). In RTL simulation of the w = 4 variant on 512 real windows of every layer, the outputs were exact and the cycles matched this count to within each layer's pipeline fill and drain (≤ 164); it has not yet run on the board. With on-chip line buffers [7], a window brings one new pixel, C_in values, giving 2.61× and 1.23×. w = 2 and line buffers remain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four builds and three of the w = 4 variant, passed, and all 15 injected bugs were caught. Shape coverage was 89–100% on a reduced build and 17–29% on the board build; the denoisers' hidden shapes are among its directed CIFAR-10 shapes, and their first and last layers only on the board.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(Table II). Throughput is low: 6.4 GOPS at most at 50 MHz and 0.9–2.3 s of core time per 256×256 image,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RTL simulation bears P·T/w out at w = 4; elsewhere it is still a prediction.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