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층의 곱셈을 2배로 만드는 maxout은 모든 은닉층의 추가 출력 채널이 된다. 보드에서 출력 64채널 maxout 층은 창당 289 사이클로 출력 32채널 ReLU 층과 같았고, 픽셀당 1% 많은 사이클(675 대 669)로 maxout 망은 같은 폭의 ReLU 망보다 높다〔재실험: 같은 예산의 정수 PSNR 차이로 교체〕. 보드 연산을 재현한 그 학습은 모든 정수 모델을 float의 0.04 dB 안으로 가져왔다. 화질 우선 정수 모델은 30.12 / 29.02 dB로, 같은 클리핑 7비트 입력에서 측정한 BM3D(29.95 / 28.37 dB, 클리핑 없이는 29.98 / 28.62 dB)보다 높다. 속도 우선 모델은 기준 망보다 2.63배 적은 코어 사이클로 29.95 / 28.91 dB다. 보드에서 실행한 다섯 모델마다 Set12 한 장을 끝까지 실행했고, 모든 층이 정수 모델과 비트 단위로 일치했다.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maxout은 은닉층의 사이클을 바꾸지 않은 채(보드 실측 289 사이클/창, ReLU 층과 동일) 같은 폭의 ReLU 망보다 화질을 올린다〔재실험〕.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수준이다(29.95 / 28.91 dB). 보드에서 실행한 다섯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창을 만들어 보내는 입력 구조에 대한 것이며, 칩 안 라인 버퍼 구조에서는 사이클 모델상 같은 선택의 이점이 사라진다(II절).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cycles = max( K, ⌈COUT/P⌉ · ⌈K/T⌉ ).</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보정을 넣은 모델은 그 뒤에 설계한 10층 망 두 개의 총 사이클을 0.003% 이내로 예측했다(표 II). 보정 전 모델의 오차는 세 망에서 0.7–1.7%다.</w:t>
      </w:r>
    </w:p>
    <w:p>
      <w:pPr>
        <w:pStyle w:val="a3"/>
      </w:pPr>
      <w:r>
        <w:rPr>
          <w:b/>
        </w:rPr>
        <w:t>병목의 출처.</w:t>
      </w:r>
      <w:r>
        <w:t xml:space="preserve"> 입력 포트가 사이클당 값 하나인 것은 물리 제약이 아니라 현재 AXI-Stream 래퍼의 설계다. 32비트 전송 단위(beat) 하나에는 7비트 값 4개가 실려 오고, 래퍼가 이를 1개/사이클로 풀어 코어에 넣는다. CIFAR-10용 비트스트림을 바꾸지 않고 재사용하려는 선택이었다. 포트를 4개/사이클로 넓히면 비용은 max(K/4, ⌈COUT/P⌉·⌈K/T⌉)가 되어 K=288, COUT=64인 층은 288 사이클(COUT=32이면 144)로 연산에 묶이고, 아래의 maxout은 더 이상 공짜가 아니다. 즉 본 논문의 규칙은 "이 포트 폭에서는"이라는 조건이 붙는다. 일반화하면 추가 사이클 없이 늘릴 수 있는 출력 채널은 대략 곱셈기 수를 입력 폭으로 나눈 값(P·T/w: 사이클당 1값이면 64, 2값이면 32, 4값이면 16)까지다. 창을 PC가 만든다는 점도 같은 역할을 한다. 칩 안에 라인 버퍼를 두는 일반적인 FPGA 가속기 구조 [21]에서는 창마다 새 열의 C_in개 값만 들어오므로, dense 사이클 모델로 은닉층(K=288)이 COUT=32에서 145, COUT=64에서 289 사이클/창이 된다. 그러면 maxout은 ReLU의 2배 비용이 되고, 망 전체로도 A(833 사이클/px)가 B(1,208)보다 빨라져 두 선택의 이점이 모두 사라진다(예측이며 보드에서 재지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maxout (B-32+maxout).</w:t>
      </w:r>
      <w:r>
        <w:t xml:space="preserve"> B의 채널을 32로 줄이면 중간 층이 K=288로 돌아와 사이클이 B의 절반이 되지만, 다시 출력 채널 64까지가 공짜가 된다. 이 공짜 출력을 활성함수로 쓴다. 은닉층이 채널마다 후보 두 개를 계산하고(출력 64), PC가 재양자화할 때 큰 쪽만 다음 층으로 넘긴다(입력 32, K=288 유지).</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쓰고, 테스트셋은 선택에 쓰지 않는다. 데이터, 증강, 손실, 학습률 규칙은 모든 망이 같고 epoch당 픽셀 수도 같지만(52.4M 대 51.2M), epoch당 갱신 횟수는 A 256, B 계열 160이다. 최고 검증 epoch까지의 갱신은 A 2.7만, B 2.2만, B-32+maxout 1.8만이었다. B-32(ReLU)는 epoch 26에 검증 PSNR이 무너진 뒤 15 epoch 안에 회복하지 못해 epoch 40에 조기 종료되어 0.4만이었다. 이 비교는 조기 종료 없이 같은 120 epoch으로 다시 학습했다〔재실험〕. 시드는 하나다.</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4개와 시드 2–3개로 실행해 UVM 1.2에서 39회, IEEE 1800.2-2020에서 26회 모두 통과했고(xsim은 돌리지 않았다), UVM 1.2 실행에서 출력 38,809개와 레지스터 읽기 7,114개를 비교했다(2020판 실행은 23,043개와 4,774개). 일부러 넣은 버그 10개를 모두 검출했다. 형상 커버리지는 축소 빌드에서 89–100%, 보드 빌드에서는 17–29%다. 지시 테스트는 CIFAR-10 층 형상(K=27–1152, COUT=32–128)을 덮으며, 잡음 제거망의 형상(K=9, 36, 297, 324, 612 등)은 UVM이 아니라 보드에서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같은 입력에서의 CNN 기준선으로 공개 DnCNN-S [2] 가중치(17층 × 64, 556k, float, 클리핑 없이 학습)를 평가했다. 정수 PSNR은 보드와 같은 정수 연산을 PC에서 수행한 값이며, 보드에서 실행한 다섯 모델(A, B, B+QAT, B-32+maxout, 같은 망+QAT)마다 Set12 05.png 한 장을 끝까지 실행해 전 층 비트 일치를 확인했다(표 II). 시드가 하나이므로 0.1 dB 미만의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마지막 열은 정수 모델이 BM3D(클리핑 입력)보다 높은 사진 수.</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92"/>
        <w:gridCol w:w="1492"/>
        <w:gridCol w:w="1492"/>
        <w:gridCol w:w="1492"/>
        <w:gridCol w:w="1492"/>
        <w:gridCol w:w="1492"/>
        <w:gridCol w:w="1492"/>
      </w:tblGrid>
      <w:tr>
        <w:tc>
          <w:tcPr>
            <w:tcW w:type="dxa" w:w="2313"/>
          </w:tcPr>
          <w:p>
            <w:pPr>
              <w:pStyle w:val="tablecolhead"/>
              <w:spacing w:before="20" w:after="20"/>
            </w:pPr>
            <w:r>
              <w:t>모델</w:t>
            </w:r>
          </w:p>
        </w:tc>
        <w:tc>
          <w:tcPr>
            <w:tcW w:type="dxa" w:w="1221"/>
          </w:tcPr>
          <w:p>
            <w:pPr>
              <w:pStyle w:val="tablecolhead"/>
              <w:spacing w:before="20" w:after="20"/>
              <w:jc w:val="center"/>
            </w:pPr>
            <w:r>
              <w:t>사이클/px</w:t>
            </w:r>
          </w:p>
        </w:tc>
        <w:tc>
          <w:tcPr>
            <w:tcW w:type="dxa" w:w="1221"/>
          </w:tcPr>
          <w:p>
            <w:pPr>
              <w:pStyle w:val="tablecolhead"/>
              <w:spacing w:before="20" w:after="20"/>
              <w:jc w:val="center"/>
            </w:pPr>
            <w:r>
              <w:t>곱셈기 활용률</w:t>
            </w:r>
          </w:p>
        </w:tc>
        <w:tc>
          <w:tcPr>
            <w:tcW w:type="dxa" w:w="1221"/>
          </w:tcPr>
          <w:p>
            <w:pPr>
              <w:pStyle w:val="tablecolhead"/>
              <w:spacing w:before="20" w:after="20"/>
              <w:jc w:val="center"/>
            </w:pPr>
            <w:r>
              <w:t>파라미터</w:t>
            </w:r>
          </w:p>
        </w:tc>
        <w:tc>
          <w:tcPr>
            <w:tcW w:type="dxa" w:w="1221"/>
          </w:tcPr>
          <w:p>
            <w:pPr>
              <w:pStyle w:val="tablecolhead"/>
              <w:spacing w:before="20" w:after="20"/>
              <w:jc w:val="center"/>
            </w:pPr>
            <w:r>
              <w:t>Set12 float / 정수</w:t>
            </w:r>
          </w:p>
        </w:tc>
        <w:tc>
          <w:tcPr>
            <w:tcW w:type="dxa" w:w="1221"/>
          </w:tcPr>
          <w:p>
            <w:pPr>
              <w:pStyle w:val="tablecolhead"/>
              <w:spacing w:before="20" w:after="20"/>
              <w:jc w:val="center"/>
            </w:pPr>
            <w:r>
              <w:t>BSD68 float / 정수</w:t>
            </w:r>
          </w:p>
        </w:tc>
        <w:tc>
          <w:tcPr>
            <w:tcW w:type="dxa" w:w="1221"/>
          </w:tcPr>
          <w:p>
            <w:pPr>
              <w:pStyle w:val="tablecolhead"/>
              <w:spacing w:before="20" w:after="20"/>
              <w:jc w:val="center"/>
            </w:pPr>
            <w:r>
              <w:t>&gt; BM3D</w:t>
            </w:r>
          </w:p>
        </w:tc>
      </w:tr>
      <w:tr>
        <w:tc>
          <w:tcPr>
            <w:tcW w:type="dxa" w:w="2313"/>
          </w:tcPr>
          <w:p>
            <w:pPr>
              <w:pStyle w:val="tablecopy"/>
              <w:spacing w:before="20" w:after="20"/>
            </w:pPr>
            <w:r>
              <w:t>BM3D [1], 클리핑 입력</w:t>
            </w:r>
          </w:p>
        </w:tc>
        <w:tc>
          <w:tcPr>
            <w:tcW w:type="dxa" w:w="1221"/>
          </w:tcPr>
          <w:p>
            <w:pPr>
              <w:pStyle w:val="tablecopy"/>
              <w:spacing w:before="20" w:after="20"/>
              <w:jc w:val="center"/>
            </w:pPr>
            <w:r>
              <w:t>—</w:t>
            </w:r>
          </w:p>
        </w:tc>
        <w:tc>
          <w:tcPr>
            <w:tcW w:type="dxa" w:w="1221"/>
          </w:tcPr>
          <w:p>
            <w:pPr>
              <w:pStyle w:val="tablecopy"/>
              <w:spacing w:before="20" w:after="20"/>
              <w:jc w:val="center"/>
            </w:pPr>
            <w:r>
              <w:t>—</w:t>
            </w:r>
          </w:p>
        </w:tc>
        <w:tc>
          <w:tcPr>
            <w:tcW w:type="dxa" w:w="1221"/>
          </w:tcPr>
          <w:p>
            <w:pPr>
              <w:pStyle w:val="tablecopy"/>
              <w:spacing w:before="20" w:after="20"/>
              <w:jc w:val="center"/>
            </w:pPr>
            <w:r>
              <w:t>—</w:t>
            </w:r>
          </w:p>
        </w:tc>
        <w:tc>
          <w:tcPr>
            <w:tcW w:type="dxa" w:w="1221"/>
          </w:tcPr>
          <w:p>
            <w:pPr>
              <w:pStyle w:val="tablecopy"/>
              <w:spacing w:before="20" w:after="20"/>
              <w:jc w:val="center"/>
            </w:pPr>
            <w:r>
              <w:t>29.95</w:t>
            </w:r>
          </w:p>
        </w:tc>
        <w:tc>
          <w:tcPr>
            <w:tcW w:type="dxa" w:w="1221"/>
          </w:tcPr>
          <w:p>
            <w:pPr>
              <w:pStyle w:val="tablecopy"/>
              <w:spacing w:before="20" w:after="20"/>
              <w:jc w:val="center"/>
            </w:pPr>
            <w:r>
              <w:t>28.37</w:t>
            </w:r>
          </w:p>
        </w:tc>
        <w:tc>
          <w:tcPr>
            <w:tcW w:type="dxa" w:w="1221"/>
          </w:tcPr>
          <w:p>
            <w:pPr>
              <w:pStyle w:val="tablecopy"/>
              <w:spacing w:before="20" w:after="20"/>
              <w:jc w:val="center"/>
            </w:pPr>
            <w:r>
              <w:t>—</w:t>
            </w:r>
          </w:p>
        </w:tc>
      </w:tr>
      <w:tr>
        <w:tc>
          <w:tcPr>
            <w:tcW w:type="dxa" w:w="2313"/>
          </w:tcPr>
          <w:p>
            <w:pPr>
              <w:pStyle w:val="tablecopy"/>
              <w:spacing w:before="20" w:after="20"/>
            </w:pPr>
            <w:r>
              <w:t>BM3D, 클리핑 없음</w:t>
            </w:r>
          </w:p>
        </w:tc>
        <w:tc>
          <w:tcPr>
            <w:tcW w:type="dxa" w:w="1221"/>
          </w:tcPr>
          <w:p>
            <w:pPr>
              <w:pStyle w:val="tablecopy"/>
              <w:spacing w:before="20" w:after="20"/>
              <w:jc w:val="center"/>
            </w:pPr>
            <w:r>
              <w:t>—</w:t>
            </w:r>
          </w:p>
        </w:tc>
        <w:tc>
          <w:tcPr>
            <w:tcW w:type="dxa" w:w="1221"/>
          </w:tcPr>
          <w:p>
            <w:pPr>
              <w:pStyle w:val="tablecopy"/>
              <w:spacing w:before="20" w:after="20"/>
              <w:jc w:val="center"/>
            </w:pPr>
            <w:r>
              <w:t>—</w:t>
            </w:r>
          </w:p>
        </w:tc>
        <w:tc>
          <w:tcPr>
            <w:tcW w:type="dxa" w:w="1221"/>
          </w:tcPr>
          <w:p>
            <w:pPr>
              <w:pStyle w:val="tablecopy"/>
              <w:spacing w:before="20" w:after="20"/>
              <w:jc w:val="center"/>
            </w:pPr>
            <w:r>
              <w:t>—</w:t>
            </w:r>
          </w:p>
        </w:tc>
        <w:tc>
          <w:tcPr>
            <w:tcW w:type="dxa" w:w="1221"/>
          </w:tcPr>
          <w:p>
            <w:pPr>
              <w:pStyle w:val="tablecopy"/>
              <w:spacing w:before="20" w:after="20"/>
              <w:jc w:val="center"/>
            </w:pPr>
            <w:r>
              <w:t>29.98</w:t>
            </w:r>
          </w:p>
        </w:tc>
        <w:tc>
          <w:tcPr>
            <w:tcW w:type="dxa" w:w="1221"/>
          </w:tcPr>
          <w:p>
            <w:pPr>
              <w:pStyle w:val="tablecopy"/>
              <w:spacing w:before="20" w:after="20"/>
              <w:jc w:val="center"/>
            </w:pPr>
            <w:r>
              <w:t>28.62</w:t>
            </w:r>
          </w:p>
        </w:tc>
        <w:tc>
          <w:tcPr>
            <w:tcW w:type="dxa" w:w="1221"/>
          </w:tcPr>
          <w:p>
            <w:pPr>
              <w:pStyle w:val="tablecopy"/>
              <w:spacing w:before="20" w:after="20"/>
              <w:jc w:val="center"/>
            </w:pPr>
            <w:r>
              <w:t>—</w:t>
            </w:r>
          </w:p>
        </w:tc>
      </w:tr>
      <w:tr>
        <w:tc>
          <w:tcPr>
            <w:tcW w:type="dxa" w:w="2313"/>
          </w:tcPr>
          <w:p>
            <w:pPr>
              <w:pStyle w:val="tablecopy"/>
              <w:spacing w:before="20" w:after="20"/>
            </w:pPr>
            <w:r>
              <w:t>DnCNN-S [2], 같은 입력 (float)</w:t>
            </w:r>
          </w:p>
        </w:tc>
        <w:tc>
          <w:tcPr>
            <w:tcW w:type="dxa" w:w="1221"/>
          </w:tcPr>
          <w:p>
            <w:pPr>
              <w:pStyle w:val="tablecopy"/>
              <w:spacing w:before="20" w:after="20"/>
              <w:jc w:val="center"/>
            </w:pPr>
            <w:r>
              <w:t>9.3k (모델)</w:t>
            </w:r>
          </w:p>
        </w:tc>
        <w:tc>
          <w:tcPr>
            <w:tcW w:type="dxa" w:w="1221"/>
          </w:tcPr>
          <w:p>
            <w:pPr>
              <w:pStyle w:val="tablecopy"/>
              <w:spacing w:before="20" w:after="20"/>
              <w:jc w:val="center"/>
            </w:pPr>
            <w:r>
              <w:t>—</w:t>
            </w:r>
          </w:p>
        </w:tc>
        <w:tc>
          <w:tcPr>
            <w:tcW w:type="dxa" w:w="1221"/>
          </w:tcPr>
          <w:p>
            <w:pPr>
              <w:pStyle w:val="tablecopy"/>
              <w:spacing w:before="20" w:after="20"/>
              <w:jc w:val="center"/>
            </w:pPr>
            <w:r>
              <w:t>556k</w:t>
            </w:r>
          </w:p>
        </w:tc>
        <w:tc>
          <w:tcPr>
            <w:tcW w:type="dxa" w:w="1221"/>
          </w:tcPr>
          <w:p>
            <w:pPr>
              <w:pStyle w:val="tablecopy"/>
              <w:spacing w:before="20" w:after="20"/>
              <w:jc w:val="center"/>
            </w:pPr>
            <w:r>
              <w:t>30.35</w:t>
            </w:r>
          </w:p>
        </w:tc>
        <w:tc>
          <w:tcPr>
            <w:tcW w:type="dxa" w:w="1221"/>
          </w:tcPr>
          <w:p>
            <w:pPr>
              <w:pStyle w:val="tablecopy"/>
              <w:spacing w:before="20" w:after="20"/>
              <w:jc w:val="center"/>
            </w:pPr>
            <w:r>
              <w:t>28.89</w:t>
            </w:r>
          </w:p>
        </w:tc>
        <w:tc>
          <w:tcPr>
            <w:tcW w:type="dxa" w:w="1221"/>
          </w:tcPr>
          <w:p>
            <w:pPr>
              <w:pStyle w:val="tablecopy"/>
              <w:spacing w:before="20" w:after="20"/>
              <w:jc w:val="center"/>
            </w:pPr>
            <w:r>
              <w:t>—</w:t>
            </w:r>
          </w:p>
        </w:tc>
      </w:tr>
      <w:tr>
        <w:tc>
          <w:tcPr>
            <w:tcW w:type="dxa" w:w="2313"/>
          </w:tcPr>
          <w:p>
            <w:pPr>
              <w:pStyle w:val="tablecopy"/>
              <w:spacing w:before="20" w:after="20"/>
            </w:pPr>
            <w:r>
              <w:t>A: 7층 × 32 (기준)</w:t>
            </w:r>
          </w:p>
        </w:tc>
        <w:tc>
          <w:tcPr>
            <w:tcW w:type="dxa" w:w="1221"/>
          </w:tcPr>
          <w:p>
            <w:pPr>
              <w:pStyle w:val="tablecopy"/>
              <w:spacing w:before="20" w:after="20"/>
              <w:jc w:val="center"/>
            </w:pPr>
            <w:r>
              <w:t>1,775 (실측)</w:t>
            </w:r>
          </w:p>
        </w:tc>
        <w:tc>
          <w:tcPr>
            <w:tcW w:type="dxa" w:w="1221"/>
          </w:tcPr>
          <w:p>
            <w:pPr>
              <w:pStyle w:val="tablecopy"/>
              <w:spacing w:before="20" w:after="20"/>
              <w:jc w:val="center"/>
            </w:pPr>
            <w:r>
              <w:t>41%</w:t>
            </w:r>
          </w:p>
        </w:tc>
        <w:tc>
          <w:tcPr>
            <w:tcW w:type="dxa" w:w="1221"/>
          </w:tcPr>
          <w:p>
            <w:pPr>
              <w:pStyle w:val="tablecopy"/>
              <w:spacing w:before="20" w:after="20"/>
              <w:jc w:val="center"/>
            </w:pPr>
            <w:r>
              <w:t>47k</w:t>
            </w:r>
          </w:p>
        </w:tc>
        <w:tc>
          <w:tcPr>
            <w:tcW w:type="dxa" w:w="1221"/>
          </w:tcPr>
          <w:p>
            <w:pPr>
              <w:pStyle w:val="tablecopy"/>
              <w:spacing w:before="20" w:after="20"/>
              <w:jc w:val="center"/>
            </w:pPr>
            <w:r>
              <w:t>29.87 / 29.83</w:t>
            </w:r>
          </w:p>
        </w:tc>
        <w:tc>
          <w:tcPr>
            <w:tcW w:type="dxa" w:w="1221"/>
          </w:tcPr>
          <w:p>
            <w:pPr>
              <w:pStyle w:val="tablecopy"/>
              <w:spacing w:before="20" w:after="20"/>
              <w:jc w:val="center"/>
            </w:pPr>
            <w:r>
              <w:t>28.83 / 28.80</w:t>
            </w:r>
          </w:p>
        </w:tc>
        <w:tc>
          <w:tcPr>
            <w:tcW w:type="dxa" w:w="1221"/>
          </w:tcPr>
          <w:p>
            <w:pPr>
              <w:pStyle w:val="tablecopy"/>
              <w:spacing w:before="20" w:after="20"/>
              <w:jc w:val="center"/>
            </w:pPr>
            <w:r>
              <w:t>6/12, 60/68</w:t>
            </w:r>
          </w:p>
        </w:tc>
      </w:tr>
      <w:tr>
        <w:tc>
          <w:tcPr>
            <w:tcW w:type="dxa" w:w="2313"/>
          </w:tcPr>
          <w:p>
            <w:pPr>
              <w:pStyle w:val="tablecopy"/>
              <w:spacing w:before="20" w:after="20"/>
            </w:pPr>
            <w:r>
              <w:t>B: s2d, 10층 × 64</w:t>
            </w:r>
          </w:p>
        </w:tc>
        <w:tc>
          <w:tcPr>
            <w:tcW w:type="dxa" w:w="1221"/>
          </w:tcPr>
          <w:p>
            <w:pPr>
              <w:pStyle w:val="tablecopy"/>
              <w:spacing w:before="20" w:after="20"/>
              <w:jc w:val="center"/>
            </w:pPr>
            <w:r>
              <w:t>1,323 (실측)</w:t>
            </w:r>
          </w:p>
        </w:tc>
        <w:tc>
          <w:tcPr>
            <w:tcW w:type="dxa" w:w="1221"/>
          </w:tcPr>
          <w:p>
            <w:pPr>
              <w:pStyle w:val="tablecopy"/>
              <w:spacing w:before="20" w:after="20"/>
              <w:jc w:val="center"/>
            </w:pPr>
            <w:r>
              <w:t>88%</w:t>
            </w:r>
          </w:p>
        </w:tc>
        <w:tc>
          <w:tcPr>
            <w:tcW w:type="dxa" w:w="1221"/>
          </w:tcPr>
          <w:p>
            <w:pPr>
              <w:pStyle w:val="tablecopy"/>
              <w:spacing w:before="20" w:after="20"/>
              <w:jc w:val="center"/>
            </w:pPr>
            <w:r>
              <w:t>300k</w:t>
            </w:r>
          </w:p>
        </w:tc>
        <w:tc>
          <w:tcPr>
            <w:tcW w:type="dxa" w:w="1221"/>
          </w:tcPr>
          <w:p>
            <w:pPr>
              <w:pStyle w:val="tablecopy"/>
              <w:spacing w:before="20" w:after="20"/>
              <w:jc w:val="center"/>
            </w:pPr>
            <w:r>
              <w:t>30.14 / 30.10</w:t>
            </w:r>
          </w:p>
        </w:tc>
        <w:tc>
          <w:tcPr>
            <w:tcW w:type="dxa" w:w="1221"/>
          </w:tcPr>
          <w:p>
            <w:pPr>
              <w:pStyle w:val="tablecopy"/>
              <w:spacing w:before="20" w:after="20"/>
              <w:jc w:val="center"/>
            </w:pPr>
            <w:r>
              <w:t>29.01 / 29.00</w:t>
            </w:r>
          </w:p>
        </w:tc>
        <w:tc>
          <w:tcPr>
            <w:tcW w:type="dxa" w:w="1221"/>
          </w:tcPr>
          <w:p>
            <w:pPr>
              <w:pStyle w:val="tablecopy"/>
              <w:spacing w:before="20" w:after="20"/>
              <w:jc w:val="center"/>
            </w:pPr>
            <w:r>
              <w:t>10/12, 68/68</w:t>
            </w:r>
          </w:p>
        </w:tc>
      </w:tr>
      <w:tr>
        <w:tc>
          <w:tcPr>
            <w:tcW w:type="dxa" w:w="2313"/>
          </w:tcPr>
          <w:p>
            <w:pPr>
              <w:pStyle w:val="tablecopy"/>
              <w:spacing w:before="20" w:after="20"/>
            </w:pPr>
            <w:r>
              <w:rPr>
                <w:b/>
              </w:rPr>
              <w:t>B + QAT</w:t>
            </w:r>
            <w:r>
              <w:t xml:space="preserve"> (화질)</w:t>
            </w:r>
          </w:p>
        </w:tc>
        <w:tc>
          <w:tcPr>
            <w:tcW w:type="dxa" w:w="1221"/>
          </w:tcPr>
          <w:p>
            <w:pPr>
              <w:pStyle w:val="tablecopy"/>
              <w:spacing w:before="20" w:after="20"/>
              <w:jc w:val="center"/>
            </w:pPr>
            <w:r>
              <w:t>1,323 (실측)</w:t>
            </w:r>
          </w:p>
        </w:tc>
        <w:tc>
          <w:tcPr>
            <w:tcW w:type="dxa" w:w="1221"/>
          </w:tcPr>
          <w:p>
            <w:pPr>
              <w:pStyle w:val="tablecopy"/>
              <w:spacing w:before="20" w:after="20"/>
              <w:jc w:val="center"/>
            </w:pPr>
            <w:r>
              <w:t>88%</w:t>
            </w:r>
          </w:p>
        </w:tc>
        <w:tc>
          <w:tcPr>
            <w:tcW w:type="dxa" w:w="1221"/>
          </w:tcPr>
          <w:p>
            <w:pPr>
              <w:pStyle w:val="tablecopy"/>
              <w:spacing w:before="20" w:after="20"/>
              <w:jc w:val="center"/>
            </w:pPr>
            <w:r>
              <w:t>300k</w:t>
            </w:r>
          </w:p>
        </w:tc>
        <w:tc>
          <w:tcPr>
            <w:tcW w:type="dxa" w:w="1221"/>
          </w:tcPr>
          <w:p>
            <w:pPr>
              <w:pStyle w:val="tablecopy"/>
              <w:spacing w:before="20" w:after="20"/>
              <w:jc w:val="center"/>
            </w:pPr>
            <w:r>
              <w:t xml:space="preserve">30.13 / </w:t>
            </w:r>
            <w:r>
              <w:rPr>
                <w:b/>
              </w:rPr>
              <w:t>30.12</w:t>
            </w:r>
          </w:p>
        </w:tc>
        <w:tc>
          <w:tcPr>
            <w:tcW w:type="dxa" w:w="1221"/>
          </w:tcPr>
          <w:p>
            <w:pPr>
              <w:pStyle w:val="tablecopy"/>
              <w:spacing w:before="20" w:after="20"/>
              <w:jc w:val="center"/>
            </w:pPr>
            <w:r>
              <w:t xml:space="preserve">29.01 / </w:t>
            </w:r>
            <w:r>
              <w:rPr>
                <w:b/>
              </w:rPr>
              <w:t>29.02</w:t>
            </w:r>
          </w:p>
        </w:tc>
        <w:tc>
          <w:tcPr>
            <w:tcW w:type="dxa" w:w="1221"/>
          </w:tcPr>
          <w:p>
            <w:pPr>
              <w:pStyle w:val="tablecopy"/>
              <w:spacing w:before="20" w:after="20"/>
              <w:jc w:val="center"/>
            </w:pPr>
            <w:r>
              <w:rPr>
                <w:b/>
              </w:rPr>
              <w:t>10/12, 68/68</w:t>
            </w:r>
          </w:p>
        </w:tc>
      </w:tr>
      <w:tr>
        <w:tc>
          <w:tcPr>
            <w:tcW w:type="dxa" w:w="2313"/>
          </w:tcPr>
          <w:p>
            <w:pPr>
              <w:pStyle w:val="tablecopy"/>
              <w:spacing w:before="20" w:after="20"/>
            </w:pPr>
            <w:r>
              <w:t>B-32: s2d, 10층 × 32, ReLU</w:t>
            </w:r>
          </w:p>
        </w:tc>
        <w:tc>
          <w:tcPr>
            <w:tcW w:type="dxa" w:w="1221"/>
          </w:tcPr>
          <w:p>
            <w:pPr>
              <w:pStyle w:val="tablecopy"/>
              <w:spacing w:before="20" w:after="20"/>
              <w:jc w:val="center"/>
            </w:pPr>
            <w:r>
              <w:t>669</w:t>
            </w:r>
          </w:p>
        </w:tc>
        <w:tc>
          <w:tcPr>
            <w:tcW w:type="dxa" w:w="1221"/>
          </w:tcPr>
          <w:p>
            <w:pPr>
              <w:pStyle w:val="tablecopy"/>
              <w:spacing w:before="20" w:after="20"/>
              <w:jc w:val="center"/>
            </w:pPr>
            <w:r>
              <w:t>45%</w:t>
            </w:r>
          </w:p>
        </w:tc>
        <w:tc>
          <w:tcPr>
            <w:tcW w:type="dxa" w:w="1221"/>
          </w:tcPr>
          <w:p>
            <w:pPr>
              <w:pStyle w:val="tablecopy"/>
              <w:spacing w:before="20" w:after="20"/>
              <w:jc w:val="center"/>
            </w:pPr>
            <w:r>
              <w:t>76k</w:t>
            </w:r>
          </w:p>
        </w:tc>
        <w:tc>
          <w:tcPr>
            <w:tcW w:type="dxa" w:w="1221"/>
          </w:tcPr>
          <w:p>
            <w:pPr>
              <w:pStyle w:val="tablecopy"/>
              <w:spacing w:before="20" w:after="20"/>
              <w:jc w:val="center"/>
            </w:pPr>
            <w:r>
              <w:t>29.18 / 29.11</w:t>
            </w:r>
          </w:p>
        </w:tc>
        <w:tc>
          <w:tcPr>
            <w:tcW w:type="dxa" w:w="1221"/>
          </w:tcPr>
          <w:p>
            <w:pPr>
              <w:pStyle w:val="tablecopy"/>
              <w:spacing w:before="20" w:after="20"/>
              <w:jc w:val="center"/>
            </w:pPr>
            <w:r>
              <w:t>28.28 / 28.33</w:t>
            </w:r>
          </w:p>
        </w:tc>
        <w:tc>
          <w:tcPr>
            <w:tcW w:type="dxa" w:w="1221"/>
          </w:tcPr>
          <w:p>
            <w:pPr>
              <w:pStyle w:val="tablecopy"/>
              <w:spacing w:before="20" w:after="20"/>
              <w:jc w:val="center"/>
            </w:pPr>
            <w:r>
              <w:t>0/12, 30/68</w:t>
            </w:r>
          </w:p>
        </w:tc>
      </w:tr>
      <w:tr>
        <w:tc>
          <w:tcPr>
            <w:tcW w:type="dxa" w:w="2313"/>
          </w:tcPr>
          <w:p>
            <w:pPr>
              <w:pStyle w:val="tablecopy"/>
              <w:spacing w:before="20" w:after="20"/>
            </w:pPr>
            <w:r>
              <w:t>B-32 + QAT</w:t>
            </w:r>
          </w:p>
        </w:tc>
        <w:tc>
          <w:tcPr>
            <w:tcW w:type="dxa" w:w="1221"/>
          </w:tcPr>
          <w:p>
            <w:pPr>
              <w:pStyle w:val="tablecopy"/>
              <w:spacing w:before="20" w:after="20"/>
              <w:jc w:val="center"/>
            </w:pPr>
            <w:r>
              <w:t>669</w:t>
            </w:r>
          </w:p>
        </w:tc>
        <w:tc>
          <w:tcPr>
            <w:tcW w:type="dxa" w:w="1221"/>
          </w:tcPr>
          <w:p>
            <w:pPr>
              <w:pStyle w:val="tablecopy"/>
              <w:spacing w:before="20" w:after="20"/>
              <w:jc w:val="center"/>
            </w:pPr>
            <w:r>
              <w:t>45%</w:t>
            </w:r>
          </w:p>
        </w:tc>
        <w:tc>
          <w:tcPr>
            <w:tcW w:type="dxa" w:w="1221"/>
          </w:tcPr>
          <w:p>
            <w:pPr>
              <w:pStyle w:val="tablecopy"/>
              <w:spacing w:before="20" w:after="20"/>
              <w:jc w:val="center"/>
            </w:pPr>
            <w:r>
              <w:t>76k</w:t>
            </w:r>
          </w:p>
        </w:tc>
        <w:tc>
          <w:tcPr>
            <w:tcW w:type="dxa" w:w="1221"/>
          </w:tcPr>
          <w:p>
            <w:pPr>
              <w:pStyle w:val="tablecopy"/>
              <w:spacing w:before="20" w:after="20"/>
              <w:jc w:val="center"/>
            </w:pPr>
            <w:r>
              <w:t>29.43 / 29.41</w:t>
            </w:r>
          </w:p>
        </w:tc>
        <w:tc>
          <w:tcPr>
            <w:tcW w:type="dxa" w:w="1221"/>
          </w:tcPr>
          <w:p>
            <w:pPr>
              <w:pStyle w:val="tablecopy"/>
              <w:spacing w:before="20" w:after="20"/>
              <w:jc w:val="center"/>
            </w:pPr>
            <w:r>
              <w:t>28.52 / 28.56</w:t>
            </w:r>
          </w:p>
        </w:tc>
        <w:tc>
          <w:tcPr>
            <w:tcW w:type="dxa" w:w="1221"/>
          </w:tcPr>
          <w:p>
            <w:pPr>
              <w:pStyle w:val="tablecopy"/>
              <w:spacing w:before="20" w:after="20"/>
              <w:jc w:val="center"/>
            </w:pPr>
            <w:r>
              <w:t>1/12, 49/68</w:t>
            </w:r>
          </w:p>
        </w:tc>
      </w:tr>
      <w:tr>
        <w:tc>
          <w:tcPr>
            <w:tcW w:type="dxa" w:w="2313"/>
          </w:tcPr>
          <w:p>
            <w:pPr>
              <w:pStyle w:val="tablecopy"/>
              <w:spacing w:before="20" w:after="20"/>
            </w:pPr>
            <w:r>
              <w:t>B-32 + maxout</w:t>
            </w:r>
          </w:p>
        </w:tc>
        <w:tc>
          <w:tcPr>
            <w:tcW w:type="dxa" w:w="1221"/>
          </w:tcPr>
          <w:p>
            <w:pPr>
              <w:pStyle w:val="tablecopy"/>
              <w:spacing w:before="20" w:after="20"/>
              <w:jc w:val="center"/>
            </w:pPr>
            <w:r>
              <w:t>675 (실측)</w:t>
            </w:r>
          </w:p>
        </w:tc>
        <w:tc>
          <w:tcPr>
            <w:tcW w:type="dxa" w:w="1221"/>
          </w:tcPr>
          <w:p>
            <w:pPr>
              <w:pStyle w:val="tablecopy"/>
              <w:spacing w:before="20" w:after="20"/>
              <w:jc w:val="center"/>
            </w:pPr>
            <w:r>
              <w:t>87%</w:t>
            </w:r>
          </w:p>
        </w:tc>
        <w:tc>
          <w:tcPr>
            <w:tcW w:type="dxa" w:w="1221"/>
          </w:tcPr>
          <w:p>
            <w:pPr>
              <w:pStyle w:val="tablecopy"/>
              <w:spacing w:before="20" w:after="20"/>
              <w:jc w:val="center"/>
            </w:pPr>
            <w:r>
              <w:t>152k</w:t>
            </w:r>
          </w:p>
        </w:tc>
        <w:tc>
          <w:tcPr>
            <w:tcW w:type="dxa" w:w="1221"/>
          </w:tcPr>
          <w:p>
            <w:pPr>
              <w:pStyle w:val="tablecopy"/>
              <w:spacing w:before="20" w:after="20"/>
              <w:jc w:val="center"/>
            </w:pPr>
            <w:r>
              <w:t>29.97 / 29.75</w:t>
            </w:r>
          </w:p>
        </w:tc>
        <w:tc>
          <w:tcPr>
            <w:tcW w:type="dxa" w:w="1221"/>
          </w:tcPr>
          <w:p>
            <w:pPr>
              <w:pStyle w:val="tablecopy"/>
              <w:spacing w:before="20" w:after="20"/>
              <w:jc w:val="center"/>
            </w:pPr>
            <w:r>
              <w:t>28.92 / 28.68</w:t>
            </w:r>
          </w:p>
        </w:tc>
        <w:tc>
          <w:tcPr>
            <w:tcW w:type="dxa" w:w="1221"/>
          </w:tcPr>
          <w:p>
            <w:pPr>
              <w:pStyle w:val="tablecopy"/>
              <w:spacing w:before="20" w:after="20"/>
              <w:jc w:val="center"/>
            </w:pPr>
            <w:r>
              <w:t>5/12, 63/68</w:t>
            </w:r>
          </w:p>
        </w:tc>
      </w:tr>
      <w:tr>
        <w:tc>
          <w:tcPr>
            <w:tcW w:type="dxa" w:w="2313"/>
          </w:tcPr>
          <w:p>
            <w:pPr>
              <w:pStyle w:val="tablecopy"/>
              <w:spacing w:before="20" w:after="20"/>
            </w:pPr>
            <w:r>
              <w:rPr>
                <w:b/>
              </w:rPr>
              <w:t>B-32 + maxout + QAT</w:t>
            </w:r>
            <w:r>
              <w:t xml:space="preserve"> (속도)</w:t>
            </w:r>
          </w:p>
        </w:tc>
        <w:tc>
          <w:tcPr>
            <w:tcW w:type="dxa" w:w="1221"/>
          </w:tcPr>
          <w:p>
            <w:pPr>
              <w:pStyle w:val="tablecopy"/>
              <w:spacing w:before="20" w:after="20"/>
              <w:jc w:val="center"/>
            </w:pPr>
            <w:r>
              <w:t>675 (실측)</w:t>
            </w:r>
          </w:p>
        </w:tc>
        <w:tc>
          <w:tcPr>
            <w:tcW w:type="dxa" w:w="1221"/>
          </w:tcPr>
          <w:p>
            <w:pPr>
              <w:pStyle w:val="tablecopy"/>
              <w:spacing w:before="20" w:after="20"/>
              <w:jc w:val="center"/>
            </w:pPr>
            <w:r>
              <w:t>87%</w:t>
            </w:r>
          </w:p>
        </w:tc>
        <w:tc>
          <w:tcPr>
            <w:tcW w:type="dxa" w:w="1221"/>
          </w:tcPr>
          <w:p>
            <w:pPr>
              <w:pStyle w:val="tablecopy"/>
              <w:spacing w:before="20" w:after="20"/>
              <w:jc w:val="center"/>
            </w:pPr>
            <w:r>
              <w:t>152k</w:t>
            </w:r>
          </w:p>
        </w:tc>
        <w:tc>
          <w:tcPr>
            <w:tcW w:type="dxa" w:w="1221"/>
          </w:tcPr>
          <w:p>
            <w:pPr>
              <w:pStyle w:val="tablecopy"/>
              <w:spacing w:before="20" w:after="20"/>
              <w:jc w:val="center"/>
            </w:pPr>
            <w:r>
              <w:t xml:space="preserve">29.98 / </w:t>
            </w:r>
            <w:r>
              <w:rPr>
                <w:b/>
              </w:rPr>
              <w:t>29.95</w:t>
            </w:r>
          </w:p>
        </w:tc>
        <w:tc>
          <w:tcPr>
            <w:tcW w:type="dxa" w:w="1221"/>
          </w:tcPr>
          <w:p>
            <w:pPr>
              <w:pStyle w:val="tablecopy"/>
              <w:spacing w:before="20" w:after="20"/>
              <w:jc w:val="center"/>
            </w:pPr>
            <w:r>
              <w:t xml:space="preserve">28.93 / </w:t>
            </w:r>
            <w:r>
              <w:rPr>
                <w:b/>
              </w:rPr>
              <w:t>28.91</w:t>
            </w:r>
          </w:p>
        </w:tc>
        <w:tc>
          <w:tcPr>
            <w:tcW w:type="dxa" w:w="1221"/>
          </w:tcPr>
          <w:p>
            <w:pPr>
              <w:pStyle w:val="tablecopy"/>
              <w:spacing w:before="20" w:after="20"/>
              <w:jc w:val="center"/>
            </w:pPr>
            <w:r>
              <w:t xml:space="preserve">8/12, </w:t>
            </w:r>
            <w:r>
              <w:rPr>
                <w:b/>
              </w:rPr>
              <w:t>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w:t>
      </w:r>
    </w:p>
    <w:p>
      <w:pPr>
        <w:pStyle w:val="a3"/>
        <w:ind w:firstLine="0" w:left="198"/>
      </w:pPr>
      <w:r>
        <w:t xml:space="preserve">• </w:t>
      </w:r>
      <w:r>
        <w:rPr>
          <w:b/>
        </w:rPr>
        <w:t>속도 모델(B-32+maxout+QAT):</w:t>
      </w:r>
      <w:r>
        <w:t xml:space="preserve"> A보다 </w:t>
      </w:r>
      <w:r>
        <w:rPr>
          <w:b/>
        </w:rPr>
        <w:t>2.63배</w:t>
      </w:r>
      <w:r>
        <w:t xml:space="preserve"> 적은 사이클로 Set12는 BM3D 수준(클리핑 기준 8/12장, 차이 0.01 dB 미만), BSD68은 클리핑 BM3D보다 +0.55, 클리핑 없는 BM3D보다 +0.29 dB(67/68). A와는 +0.13 / +0.11 dB로 동급이다.</w:t>
      </w:r>
    </w:p>
    <w:p>
      <w:pPr>
        <w:pStyle w:val="a3"/>
        <w:ind w:firstLine="0" w:left="198"/>
      </w:pPr>
      <w:r>
        <w:t xml:space="preserve">• </w:t>
      </w:r>
      <w:r>
        <w:rPr>
          <w:b/>
        </w:rPr>
        <w:t>maxout의 효과〔재실험으로 교체〕:</w:t>
      </w:r>
      <w:r>
        <w:t xml:space="preserve"> 표의 B-32+QAT 대비 Set12 +0.54, BSD68 +0.35 dB(80장 모두)는 학습 예산이 다른 비교다. 표의 ReLU 망은 갱신 0.4만에서 조기 종료됐고 maxout 망은 1.8만이었다. 같은 120 epoch으로 다시 학습한 ReLU 망은 float Set12가 29.18에서 29.55 dB로 올랐으므로, 같은 예산에서의 격차는 표의 값보다 작다. 또 maxout 망은 파라미터가 2배(76k 대 152k)이므로, 같은 64 출력을 재양자화 뒤 평균으로 합치는 대조군(파라미터와 코어 비용이 같고 max 비선형만 없음)을 같은 예산으로 함께 학습했다. 사이클은 1% 많고(첫 층), 곱셈기 활용률은 45% → 87%다. 7층 32채널 망에서의 15 epoch 비교에서는 마지막 5 epoch 평균 +0.02 dB로 차이가 없었다(최고 epoch 기준 +0.12, 스크린 변동 약 0.4 dB 안). 64채널 망에서는 출력 128이 K를 넘겨 공짜가 아니다.</w:t>
      </w:r>
    </w:p>
    <w:p>
      <w:pPr>
        <w:pStyle w:val="a3"/>
        <w:ind w:firstLine="0" w:left="198"/>
      </w:pPr>
      <w:r>
        <w:t xml:space="preserve">• </w:t>
      </w:r>
      <w:r>
        <w:rPr>
          <w:b/>
        </w:rPr>
        <w:t>QAT의 효과:</w:t>
      </w:r>
      <w:r>
        <w:t xml:space="preserve"> Set12 정수 손실이 maxout 망 0.22 → 0.02, ReLU 망 0.08 → 0.02, B 0.04 → 0.01 dB가 됐고, QAT 뒤에는 두 테스트셋 모두 0.04 dB 이내다. 정수 PSNR 이득은 ReLU 망(+0.31 / +0.24 dB, 80/80장)과 maxout 망(+0.20 / +0.24 dB, 77/80장)이 비슷하고 B는 +0.02 dB다. ReLU 망의 이득에는 float 점수 상승(+0.25 dB)이 섞여 있어, 덜 학습된 망을 더 학습시킨 효과도 들어 있다.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120000" cy="2217391"/>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6120000" cy="2217391"/>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같은 사이클(약 670)에서 maxout 망이 ReLU 망 위에 있고, space-to-depth 망이 기준 망 A의 왼쪽 위에 있다.</w:t>
      </w:r>
    </w:p>
    <w:p>
      <w:pPr>
        <w:spacing w:after="0" w:before="0"/>
        <w:sectPr>
          <w:type w:val="continuous"/>
          <w:pgSz w:w="11909" w:h="16834"/>
          <w:pgMar w:top="1080" w:right="734" w:bottom="2434" w:left="734" w:header="720" w:footer="720" w:gutter="0"/>
          <w:cols w:space="720"/>
          <w:docGrid w:linePitch="360"/>
        </w:sectPr>
      </w:pP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044"/>
        <w:gridCol w:w="1044"/>
        <w:gridCol w:w="1044"/>
        <w:gridCol w:w="1044"/>
        <w:gridCol w:w="1044"/>
        <w:gridCol w:w="1044"/>
        <w:gridCol w:w="1044"/>
        <w:gridCol w:w="1044"/>
        <w:gridCol w:w="1044"/>
        <w:gridCol w:w="1044"/>
      </w:tblGrid>
      <w:tr>
        <w:tc>
          <w:tcPr>
            <w:tcW w:type="dxa" w:w="2699"/>
          </w:tcPr>
          <w:p>
            <w:pPr>
              <w:pStyle w:val="tablecolhead"/>
              <w:spacing w:before="20" w:after="20"/>
            </w:pPr>
            <w:r>
              <w:t>모델</w:t>
            </w:r>
          </w:p>
        </w:tc>
        <w:tc>
          <w:tcPr>
            <w:tcW w:type="dxa" w:w="771"/>
          </w:tcPr>
          <w:p>
            <w:pPr>
              <w:pStyle w:val="tablecolhead"/>
              <w:spacing w:before="20" w:after="20"/>
              <w:jc w:val="center"/>
            </w:pPr>
            <w:r>
              <w:t>클럭</w:t>
            </w:r>
          </w:p>
        </w:tc>
        <w:tc>
          <w:tcPr>
            <w:tcW w:type="dxa" w:w="771"/>
          </w:tcPr>
          <w:p>
            <w:pPr>
              <w:pStyle w:val="tablecolhead"/>
              <w:spacing w:before="20" w:after="20"/>
              <w:jc w:val="center"/>
            </w:pPr>
            <w:r>
              <w:t>층</w:t>
            </w:r>
          </w:p>
        </w:tc>
        <w:tc>
          <w:tcPr>
            <w:tcW w:type="dxa" w:w="771"/>
          </w:tcPr>
          <w:p>
            <w:pPr>
              <w:pStyle w:val="tablecolhead"/>
              <w:spacing w:before="20" w:after="20"/>
              <w:jc w:val="center"/>
            </w:pPr>
            <w:r>
              <w:t>K</w:t>
            </w:r>
          </w:p>
        </w:tc>
        <w:tc>
          <w:tcPr>
            <w:tcW w:type="dxa" w:w="771"/>
          </w:tcPr>
          <w:p>
            <w:pPr>
              <w:pStyle w:val="tablecolhead"/>
              <w:spacing w:before="20" w:after="20"/>
              <w:jc w:val="center"/>
            </w:pPr>
            <w:r>
              <w:t>COUT</w:t>
            </w:r>
          </w:p>
        </w:tc>
        <w:tc>
          <w:tcPr>
            <w:tcW w:type="dxa" w:w="771"/>
          </w:tcPr>
          <w:p>
            <w:pPr>
              <w:pStyle w:val="tablecolhead"/>
              <w:spacing w:before="20" w:after="20"/>
              <w:jc w:val="center"/>
            </w:pPr>
            <w:r>
              <w:t>사이클/창 (모델→실측)</w:t>
            </w:r>
          </w:p>
        </w:tc>
        <w:tc>
          <w:tcPr>
            <w:tcW w:type="dxa" w:w="771"/>
          </w:tcPr>
          <w:p>
            <w:pPr>
              <w:pStyle w:val="tablecolhead"/>
              <w:spacing w:before="20" w:after="20"/>
              <w:jc w:val="center"/>
            </w:pPr>
            <w:r>
              <w:t>총 사이클</w:t>
            </w:r>
          </w:p>
        </w:tc>
        <w:tc>
          <w:tcPr>
            <w:tcW w:type="dxa" w:w="771"/>
          </w:tcPr>
          <w:p>
            <w:pPr>
              <w:pStyle w:val="tablecolhead"/>
              <w:spacing w:before="20" w:after="20"/>
              <w:jc w:val="center"/>
            </w:pPr>
            <w:r>
              <w:t>코어 시간</w:t>
            </w:r>
          </w:p>
        </w:tc>
        <w:tc>
          <w:tcPr>
            <w:tcW w:type="dxa" w:w="771"/>
          </w:tcPr>
          <w:p>
            <w:pPr>
              <w:pStyle w:val="tablecolhead"/>
              <w:spacing w:before="20" w:after="20"/>
              <w:jc w:val="center"/>
            </w:pPr>
            <w:r>
              <w:t>벽시계</w:t>
            </w:r>
          </w:p>
        </w:tc>
        <w:tc>
          <w:tcPr>
            <w:tcW w:type="dxa" w:w="771"/>
          </w:tcPr>
          <w:p>
            <w:pPr>
              <w:pStyle w:val="tablecolhead"/>
              <w:spacing w:before="20" w:after="20"/>
              <w:jc w:val="center"/>
            </w:pPr>
            <w:r>
              <w:t>05.png PSNR</w:t>
            </w:r>
          </w:p>
        </w:tc>
      </w:tr>
      <w:tr>
        <w:tc>
          <w:tcPr>
            <w:tcW w:type="dxa" w:w="2699"/>
          </w:tcPr>
          <w:p>
            <w:pPr>
              <w:pStyle w:val="tablecopy"/>
              <w:spacing w:before="20" w:after="20"/>
            </w:pPr>
            <w:r>
              <w:t>B + QAT</w:t>
            </w:r>
          </w:p>
        </w:tc>
        <w:tc>
          <w:tcPr>
            <w:tcW w:type="dxa" w:w="771"/>
          </w:tcPr>
          <w:p>
            <w:pPr>
              <w:pStyle w:val="tablecopy"/>
              <w:spacing w:before="20" w:after="20"/>
              <w:jc w:val="center"/>
            </w:pPr>
            <w:r>
              <w:t>50 MHz</w:t>
            </w:r>
          </w:p>
        </w:tc>
        <w:tc>
          <w:tcPr>
            <w:tcW w:type="dxa" w:w="771"/>
          </w:tcPr>
          <w:p>
            <w:pPr>
              <w:pStyle w:val="tablecopy"/>
              <w:spacing w:before="20" w:after="20"/>
              <w:jc w:val="center"/>
            </w:pPr>
            <w:r>
              <w:t>conv1 / conv2–9 / conv10</w:t>
            </w:r>
          </w:p>
        </w:tc>
        <w:tc>
          <w:tcPr>
            <w:tcW w:type="dxa" w:w="771"/>
          </w:tcPr>
          <w:p>
            <w:pPr>
              <w:pStyle w:val="tablecopy"/>
              <w:spacing w:before="20" w:after="20"/>
              <w:jc w:val="center"/>
            </w:pPr>
            <w:r>
              <w:t>36 / 576 / 612</w:t>
            </w:r>
          </w:p>
        </w:tc>
        <w:tc>
          <w:tcPr>
            <w:tcW w:type="dxa" w:w="771"/>
          </w:tcPr>
          <w:p>
            <w:pPr>
              <w:pStyle w:val="tablecopy"/>
              <w:spacing w:before="20" w:after="20"/>
              <w:jc w:val="center"/>
            </w:pPr>
            <w:r>
              <w:t>64 / 64 / 4</w:t>
            </w:r>
          </w:p>
        </w:tc>
        <w:tc>
          <w:tcPr>
            <w:tcW w:type="dxa" w:w="771"/>
          </w:tcPr>
          <w:p>
            <w:pPr>
              <w:pStyle w:val="tablecopy"/>
              <w:spacing w:before="20" w:after="20"/>
              <w:jc w:val="center"/>
            </w:pPr>
            <w:r>
              <w:t>36→64 / 576→577 / 612→613</w:t>
            </w:r>
          </w:p>
        </w:tc>
        <w:tc>
          <w:tcPr>
            <w:tcW w:type="dxa" w:w="771"/>
          </w:tcPr>
          <w:p>
            <w:pPr>
              <w:pStyle w:val="tablecopy"/>
              <w:spacing w:before="20" w:after="20"/>
              <w:jc w:val="center"/>
            </w:pPr>
            <w:r>
              <w:t>86,721,997 (1,323/px)</w:t>
            </w:r>
          </w:p>
        </w:tc>
        <w:tc>
          <w:tcPr>
            <w:tcW w:type="dxa" w:w="771"/>
          </w:tcPr>
          <w:p>
            <w:pPr>
              <w:pStyle w:val="tablecopy"/>
              <w:spacing w:before="20" w:after="20"/>
              <w:jc w:val="center"/>
            </w:pPr>
            <w:r>
              <w:t>1.73 s</w:t>
            </w:r>
          </w:p>
        </w:tc>
        <w:tc>
          <w:tcPr>
            <w:tcW w:type="dxa" w:w="771"/>
          </w:tcPr>
          <w:p>
            <w:pPr>
              <w:pStyle w:val="tablecopy"/>
              <w:spacing w:before="20" w:after="20"/>
              <w:jc w:val="center"/>
            </w:pPr>
            <w:r>
              <w:t>600 s</w:t>
            </w:r>
          </w:p>
        </w:tc>
        <w:tc>
          <w:tcPr>
            <w:tcW w:type="dxa" w:w="771"/>
          </w:tcPr>
          <w:p>
            <w:pPr>
              <w:pStyle w:val="tablecopy"/>
              <w:spacing w:before="20" w:after="20"/>
              <w:jc w:val="center"/>
            </w:pPr>
            <w:r>
              <w:t>30.06</w:t>
            </w:r>
          </w:p>
        </w:tc>
      </w:tr>
      <w:tr>
        <w:tc>
          <w:tcPr>
            <w:tcW w:type="dxa" w:w="2699"/>
          </w:tcPr>
          <w:p>
            <w:pPr>
              <w:pStyle w:val="tablecopy"/>
              <w:spacing w:before="20" w:after="20"/>
            </w:pPr>
            <w:r>
              <w:t>B-32 + maxout + QAT</w:t>
            </w:r>
          </w:p>
        </w:tc>
        <w:tc>
          <w:tcPr>
            <w:tcW w:type="dxa" w:w="771"/>
          </w:tcPr>
          <w:p>
            <w:pPr>
              <w:pStyle w:val="tablecopy"/>
              <w:spacing w:before="20" w:after="20"/>
              <w:jc w:val="center"/>
            </w:pPr>
            <w:r>
              <w:t>50 MHz</w:t>
            </w:r>
          </w:p>
        </w:tc>
        <w:tc>
          <w:tcPr>
            <w:tcW w:type="dxa" w:w="771"/>
          </w:tcPr>
          <w:p>
            <w:pPr>
              <w:pStyle w:val="tablecopy"/>
              <w:spacing w:before="20" w:after="20"/>
              <w:jc w:val="center"/>
            </w:pPr>
            <w:r>
              <w:t>conv1 / conv2–9 / conv10</w:t>
            </w:r>
          </w:p>
        </w:tc>
        <w:tc>
          <w:tcPr>
            <w:tcW w:type="dxa" w:w="771"/>
          </w:tcPr>
          <w:p>
            <w:pPr>
              <w:pStyle w:val="tablecopy"/>
              <w:spacing w:before="20" w:after="20"/>
              <w:jc w:val="center"/>
            </w:pPr>
            <w:r>
              <w:t>36 / 288 / 324</w:t>
            </w:r>
          </w:p>
        </w:tc>
        <w:tc>
          <w:tcPr>
            <w:tcW w:type="dxa" w:w="771"/>
          </w:tcPr>
          <w:p>
            <w:pPr>
              <w:pStyle w:val="tablecopy"/>
              <w:spacing w:before="20" w:after="20"/>
              <w:jc w:val="center"/>
            </w:pPr>
            <w:r>
              <w:t xml:space="preserve">64 / </w:t>
            </w:r>
            <w:r>
              <w:rPr>
                <w:b/>
              </w:rPr>
              <w:t>64</w:t>
            </w:r>
            <w:r>
              <w:t xml:space="preserve"> / 4</w:t>
            </w:r>
          </w:p>
        </w:tc>
        <w:tc>
          <w:tcPr>
            <w:tcW w:type="dxa" w:w="771"/>
          </w:tcPr>
          <w:p>
            <w:pPr>
              <w:pStyle w:val="tablecopy"/>
              <w:spacing w:before="20" w:after="20"/>
              <w:jc w:val="center"/>
            </w:pPr>
            <w:r>
              <w:t>36→64 / 288→</w:t>
            </w:r>
            <w:r>
              <w:rPr>
                <w:b/>
              </w:rPr>
              <w:t>289</w:t>
            </w:r>
            <w:r>
              <w:t xml:space="preserve"> / 324→325</w:t>
            </w:r>
          </w:p>
        </w:tc>
        <w:tc>
          <w:tcPr>
            <w:tcW w:type="dxa" w:w="771"/>
          </w:tcPr>
          <w:p>
            <w:pPr>
              <w:pStyle w:val="tablecopy"/>
              <w:spacing w:before="20" w:after="20"/>
              <w:jc w:val="center"/>
            </w:pPr>
            <w:r>
              <w:t>44,254,269 (675/px)</w:t>
            </w:r>
          </w:p>
        </w:tc>
        <w:tc>
          <w:tcPr>
            <w:tcW w:type="dxa" w:w="771"/>
          </w:tcPr>
          <w:p>
            <w:pPr>
              <w:pStyle w:val="tablecopy"/>
              <w:spacing w:before="20" w:after="20"/>
              <w:jc w:val="center"/>
            </w:pPr>
            <w:r>
              <w:t>0.89 s</w:t>
            </w:r>
          </w:p>
        </w:tc>
        <w:tc>
          <w:tcPr>
            <w:tcW w:type="dxa" w:w="771"/>
          </w:tcPr>
          <w:p>
            <w:pPr>
              <w:pStyle w:val="tablecopy"/>
              <w:spacing w:before="20" w:after="20"/>
              <w:jc w:val="center"/>
            </w:pPr>
            <w:r>
              <w:t>371 s</w:t>
            </w:r>
          </w:p>
        </w:tc>
        <w:tc>
          <w:tcPr>
            <w:tcW w:type="dxa" w:w="771"/>
          </w:tcPr>
          <w:p>
            <w:pPr>
              <w:pStyle w:val="tablecopy"/>
              <w:spacing w:before="20" w:after="20"/>
              <w:jc w:val="center"/>
            </w:pPr>
            <w:r>
              <w:t>29.87</w:t>
            </w:r>
          </w:p>
        </w:tc>
      </w:tr>
      <w:tr>
        <w:tc>
          <w:tcPr>
            <w:tcW w:type="dxa" w:w="2699"/>
          </w:tcPr>
          <w:p>
            <w:pPr>
              <w:pStyle w:val="tablecopy"/>
              <w:spacing w:before="20" w:after="20"/>
            </w:pPr>
            <w:r>
              <w:t>B-32 + maxout + QAT</w:t>
            </w:r>
          </w:p>
        </w:tc>
        <w:tc>
          <w:tcPr>
            <w:tcW w:type="dxa" w:w="771"/>
          </w:tcPr>
          <w:p>
            <w:pPr>
              <w:pStyle w:val="tablecopy"/>
              <w:spacing w:before="20" w:after="20"/>
              <w:jc w:val="center"/>
            </w:pPr>
            <w:r>
              <w:t>100 MHz</w:t>
            </w:r>
          </w:p>
        </w:tc>
        <w:tc>
          <w:tcPr>
            <w:tcW w:type="dxa" w:w="771"/>
          </w:tcPr>
          <w:p>
            <w:pPr>
              <w:pStyle w:val="tablecopy"/>
              <w:spacing w:before="20" w:after="20"/>
              <w:jc w:val="center"/>
            </w:pPr>
            <w:r>
              <w:t>같음</w:t>
            </w:r>
          </w:p>
        </w:tc>
        <w:tc>
          <w:tcPr>
            <w:tcW w:type="dxa" w:w="771"/>
          </w:tcPr>
          <w:p>
            <w:pPr>
              <w:pStyle w:val="tablecopy"/>
              <w:spacing w:before="20" w:after="20"/>
              <w:jc w:val="center"/>
            </w:pPr>
          </w:p>
        </w:tc>
        <w:tc>
          <w:tcPr>
            <w:tcW w:type="dxa" w:w="771"/>
          </w:tcPr>
          <w:p>
            <w:pPr>
              <w:pStyle w:val="tablecopy"/>
              <w:spacing w:before="20" w:after="20"/>
              <w:jc w:val="center"/>
            </w:pPr>
          </w:p>
        </w:tc>
        <w:tc>
          <w:tcPr>
            <w:tcW w:type="dxa" w:w="771"/>
          </w:tcPr>
          <w:p>
            <w:pPr>
              <w:pStyle w:val="tablecopy"/>
              <w:spacing w:before="20" w:after="20"/>
              <w:jc w:val="center"/>
            </w:pPr>
            <w:r>
              <w:t>같음</w:t>
            </w:r>
          </w:p>
        </w:tc>
        <w:tc>
          <w:tcPr>
            <w:tcW w:type="dxa" w:w="771"/>
          </w:tcPr>
          <w:p>
            <w:pPr>
              <w:pStyle w:val="tablecopy"/>
              <w:spacing w:before="20" w:after="20"/>
              <w:jc w:val="center"/>
            </w:pPr>
            <w:r>
              <w:t>44,254,269</w:t>
            </w:r>
          </w:p>
        </w:tc>
        <w:tc>
          <w:tcPr>
            <w:tcW w:type="dxa" w:w="771"/>
          </w:tcPr>
          <w:p>
            <w:pPr>
              <w:pStyle w:val="tablecopy"/>
              <w:spacing w:before="20" w:after="20"/>
              <w:jc w:val="center"/>
            </w:pPr>
            <w:r>
              <w:t>0.44 s</w:t>
            </w:r>
          </w:p>
        </w:tc>
        <w:tc>
          <w:tcPr>
            <w:tcW w:type="dxa" w:w="771"/>
          </w:tcPr>
          <w:p>
            <w:pPr>
              <w:pStyle w:val="tablecopy"/>
              <w:spacing w:before="20" w:after="20"/>
              <w:jc w:val="center"/>
            </w:pPr>
            <w:r>
              <w:t>399 s</w:t>
            </w:r>
          </w:p>
        </w:tc>
        <w:tc>
          <w:tcPr>
            <w:tcW w:type="dxa" w:w="771"/>
          </w:tcPr>
          <w:p>
            <w:pPr>
              <w:pStyle w:val="tablecopy"/>
              <w:spacing w:before="20" w:after="20"/>
              <w:jc w:val="center"/>
            </w:pPr>
            <w:r>
              <w:t>29.87</w:t>
            </w:r>
          </w:p>
        </w:tc>
      </w:tr>
      <w:tr>
        <w:tc>
          <w:tcPr>
            <w:tcW w:type="dxa" w:w="2699"/>
          </w:tcPr>
          <w:p>
            <w:pPr>
              <w:pStyle w:val="tablecopy"/>
              <w:spacing w:before="20" w:after="20"/>
            </w:pPr>
            <w:r>
              <w:t>A</w:t>
            </w:r>
          </w:p>
        </w:tc>
        <w:tc>
          <w:tcPr>
            <w:tcW w:type="dxa" w:w="771"/>
          </w:tcPr>
          <w:p>
            <w:pPr>
              <w:pStyle w:val="tablecopy"/>
              <w:spacing w:before="20" w:after="20"/>
              <w:jc w:val="center"/>
            </w:pPr>
            <w:r>
              <w:t>50 MHz</w:t>
            </w:r>
          </w:p>
        </w:tc>
        <w:tc>
          <w:tcPr>
            <w:tcW w:type="dxa" w:w="771"/>
          </w:tcPr>
          <w:p>
            <w:pPr>
              <w:pStyle w:val="tablecopy"/>
              <w:spacing w:before="20" w:after="20"/>
              <w:jc w:val="center"/>
            </w:pPr>
            <w:r>
              <w:t>conv1 / conv2–6 / conv7</w:t>
            </w:r>
          </w:p>
        </w:tc>
        <w:tc>
          <w:tcPr>
            <w:tcW w:type="dxa" w:w="771"/>
          </w:tcPr>
          <w:p>
            <w:pPr>
              <w:pStyle w:val="tablecopy"/>
              <w:spacing w:before="20" w:after="20"/>
              <w:jc w:val="center"/>
            </w:pPr>
            <w:r>
              <w:t>9 / 288 / 297</w:t>
            </w:r>
          </w:p>
        </w:tc>
        <w:tc>
          <w:tcPr>
            <w:tcW w:type="dxa" w:w="771"/>
          </w:tcPr>
          <w:p>
            <w:pPr>
              <w:pStyle w:val="tablecopy"/>
              <w:spacing w:before="20" w:after="20"/>
              <w:jc w:val="center"/>
            </w:pPr>
            <w:r>
              <w:t xml:space="preserve">32 / </w:t>
            </w:r>
            <w:r>
              <w:rPr>
                <w:b/>
              </w:rPr>
              <w:t>32</w:t>
            </w:r>
            <w:r>
              <w:t xml:space="preserve"> / 1</w:t>
            </w:r>
          </w:p>
        </w:tc>
        <w:tc>
          <w:tcPr>
            <w:tcW w:type="dxa" w:w="771"/>
          </w:tcPr>
          <w:p>
            <w:pPr>
              <w:pStyle w:val="tablecopy"/>
              <w:spacing w:before="20" w:after="20"/>
              <w:jc w:val="center"/>
            </w:pPr>
            <w:r>
              <w:t>9→32 / 288→</w:t>
            </w:r>
            <w:r>
              <w:rPr>
                <w:b/>
              </w:rPr>
              <w:t>289</w:t>
            </w:r>
            <w:r>
              <w:t xml:space="preserve"> / 297→298</w:t>
            </w:r>
          </w:p>
        </w:tc>
        <w:tc>
          <w:tcPr>
            <w:tcW w:type="dxa" w:w="771"/>
          </w:tcPr>
          <w:p>
            <w:pPr>
              <w:pStyle w:val="tablecopy"/>
              <w:spacing w:before="20" w:after="20"/>
              <w:jc w:val="center"/>
            </w:pPr>
            <w:r>
              <w:t>116,326,743 (1,775/px)</w:t>
            </w:r>
          </w:p>
        </w:tc>
        <w:tc>
          <w:tcPr>
            <w:tcW w:type="dxa" w:w="771"/>
          </w:tcPr>
          <w:p>
            <w:pPr>
              <w:pStyle w:val="tablecopy"/>
              <w:spacing w:before="20" w:after="20"/>
              <w:jc w:val="center"/>
            </w:pPr>
            <w:r>
              <w:t>2.33 s</w:t>
            </w:r>
          </w:p>
        </w:tc>
        <w:tc>
          <w:tcPr>
            <w:tcW w:type="dxa" w:w="771"/>
          </w:tcPr>
          <w:p>
            <w:pPr>
              <w:pStyle w:val="tablecopy"/>
              <w:spacing w:before="20" w:after="20"/>
              <w:jc w:val="center"/>
            </w:pPr>
            <w:r>
              <w:t>701 s</w:t>
            </w:r>
          </w:p>
        </w:tc>
        <w:tc>
          <w:tcPr>
            <w:tcW w:type="dxa" w:w="771"/>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A의 K=288, 출력 32 층과 똑같이 </w:t>
      </w:r>
      <w:r>
        <w:rPr>
          <w:b/>
        </w:rPr>
        <w:t>289 사이클/창</w:t>
      </w:r>
      <w:r>
        <w:t>이다. 출력을 2배로 늘린 비용이 0임을 보드가 보여 준다. 첫 층(K=36)만 출력 64개를 내보내는 64 사이클이 걸린다.</w:t>
      </w:r>
    </w:p>
    <w:p>
      <w:pPr>
        <w:pStyle w:val="a3"/>
        <w:ind w:firstLine="0" w:left="198"/>
      </w:pPr>
      <w:r>
        <w:t>• 보정 모델과 실측의 차이는 세 망 모두 0.003% 이내이며, 그 차이는 층 실행마다 붙는 수십~수백 사이클의 오버헤드다(망 전체로 343~1,485 사이클). 100 MHz에서 사이클 수는 50 MHz와 같다.</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GOPS/W 비교는 범위 밖이다.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6120000" cy="2524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6120000" cy="2524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설계가 이득이 됐다. space-to-depth는 6.4배 큰 망을 25% 적은 사이클에 넣었고, maxout은 은닉층의 사이클을 바꾸지 않고 같은 폭의 ReLU 망보다 화질을 올렸다〔재실험〕. 양자화 인지 학습까지 더해, 같은 입력의 BM3D를 두 테스트셋에서 넘는 정수 모델(30.12 / 29.02 dB)과 기준보다 2.63배 적은 사이클로 BM3D 수준인 모델(29.95 / 28.91 dB)을 얻었고, 두 모델 모두 보드에서 한 장을 끝까지 실행해 전 층 비트 일치를 확인했다. 이 결론은 PC가 창을 만들어 보내는 입력 구조에서의 것이며, 라인 버퍼 구조에서는 사이클 모델상 뒤집힌다. 그것을 보드에서 재는 것이 다음 작업이다. 코드, 정수 모델, 사진별 PSNR, 보드 기록은 저장소에 있다.</w:t>
      </w:r>
    </w:p>
    <w:p>
      <w:pPr>
        <w:pStyle w:val="a3"/>
      </w:pPr>
      <w:r>
        <w:rPr>
          <w:b/>
        </w:rPr>
        <w:t>한계.</w:t>
      </w:r>
      <w:r>
        <w:t xml:space="preserve"> 사이클은 공짜지만 에너지는 아니다. maxout은 곱셈을 2배로 하므로 동적 전력이 늘 수 있고, 측정하지 않았다. 처리 시간은 코어 사이클만 세었고 end-to-end 시간은 JTAG 하네스 기준이다. 잡음은 σ=25 하나, 시드는 하나이고, 흑백 영상의 PSNR만 보고했다(SSIM 없음). 규칙은 현재 입력 구조(포트 폭, host im2col)에 조건부이며, 다른 입력 구조와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