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that predicts the board within 0.003% shows that this build, fed host-built windows one value per cycle, is bound by its input port: a window of K values costs K cycles for up to 64 output channels, so a DnCNN-style baseline leaves most multipliers idle. Two choices that look wasteful by FLOP count therefore pay off. A 2×2 space-to-depth input fits a 6.4× larger network in 25% fewer cycles. Doubling the hidden outputs and pooling them in pairs (maxout) doubles the parameters for 1% more cycles; at the same training budget it denoises better than the ReLU network of the same width, and in one seed averaging the pairs did as well, pointing to the free capacity rather than the max [SEEDS] [AVG]. With quantization-aware training that reproduces the board's arithmetic, the quality model reaches 30.12 dB on Set12 (σ = 25), above BM3D on the same input, and the speed model matches BM3D in 2.63× fewer cycles than the baseline; four networks were verified bit for bit on the board. The same model predicts that with two input values per cycle pooling stops being free, and with four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and whose gain over ReLU a mean-pooling control matched in one seed, pointing to the free capacity rather than the max [SEEDS] [AVG];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3024000" cy="2090118"/>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3024000" cy="2090118"/>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On the baseline network the board showed one cycle more per window and at least COUT cycles per window (outputs leave one per cycle). With these two corrections, taken from the baseline alone, (1) predicted the total cycles of three networks designed afterwards within 0.003% (Table II), against 0.4–1.4% without them. All board runs used the sparse mode, which skips multiplications by zero activations; it shortens only the compute term of (1), so input-bound layers take the same cycles.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Equation (1) is the dense-mode bound: by it, maxout costs 1.9× the ReLU network already at w = 2; sparse mode, estimated with the measured activation densities, leaves 1.4–1.8× and keeps B ahead of A until w = 4. With on-chip line buffers [7], a window brings only one new pixel, C_in values; by the dense model a hidden layer with K = 288 then costs 145 cycles at COUT = 32 and 289 at COUT = 64, maxout doubles the cost, and the baseline (833 cycles/pixel) becomes faster than network B (1,209), in the sparse estimate too. These are predictions, not measurements, and the rules below hold for this input structure. Host im2col, requantization and pooling take 0.07–0.13 s per image on a 4-core PC; requantization and pooling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and more multipliers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would cost, by the cycle model, 934 cycles per pixel, 38% more (it was not trained).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[18], chosen from percentiles on training images. A module that reproduces the board's integer arithmetic in float (rounding, bias units, skip-scale folding, maxout after requantization,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39 runs under UVM 1.2 and 26 under IEEE 1800.2-2020 passed, and all ten injected bugs were caught. Shape coverage was 17–29% on the board build, and the denoisers' layer shapes were verified on the board, not in UVM. On the board every layer's output is compared value by value with the integer model; every board figure below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30.00 / </w:t>
            </w:r>
            <w:r>
              <w:rPr>
                <w:b/>
              </w:rPr>
              <w:t>30.00</w:t>
            </w:r>
          </w:p>
        </w:tc>
        <w:tc>
          <w:tcPr>
            <w:tcW w:type="dxa" w:w="1272"/>
          </w:tcPr>
          <w:p>
            <w:pPr>
              <w:pStyle w:val="tablecopy"/>
              <w:spacing w:before="20" w:after="20"/>
              <w:jc w:val="center"/>
            </w:pPr>
            <w:r>
              <w:t xml:space="preserve">28.95 / </w:t>
            </w:r>
            <w:r>
              <w:rPr>
                <w:b/>
              </w:rPr>
              <w:t>28.94</w:t>
            </w:r>
          </w:p>
        </w:tc>
      </w:tr>
      <w:tr>
        <w:tc>
          <w:tcPr>
            <w:tcW w:type="dxa" w:w="3277"/>
          </w:tcPr>
          <w:p>
            <w:pPr>
              <w:pStyle w:val="tablecopy"/>
              <w:spacing w:before="20" w:after="20"/>
            </w:pPr>
            <w:r>
              <w:t>B-32 ReLU + QAT</w:t>
            </w:r>
          </w:p>
        </w:tc>
        <w:tc>
          <w:tcPr>
            <w:tcW w:type="dxa" w:w="1272"/>
          </w:tcPr>
          <w:p>
            <w:pPr>
              <w:pStyle w:val="tablecopy"/>
              <w:spacing w:before="20" w:after="20"/>
              <w:jc w:val="center"/>
            </w:pPr>
            <w:r>
              <w:t>669 board</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29.58 / 29.62</w:t>
            </w:r>
          </w:p>
        </w:tc>
        <w:tc>
          <w:tcPr>
            <w:tcW w:type="dxa" w:w="1272"/>
          </w:tcPr>
          <w:p>
            <w:pPr>
              <w:pStyle w:val="tablecopy"/>
              <w:spacing w:before="20" w:after="20"/>
              <w:jc w:val="center"/>
            </w:pPr>
            <w:r>
              <w:t>28.66 / 28.68</w:t>
            </w:r>
          </w:p>
        </w:tc>
      </w:tr>
      <w:tr>
        <w:tc>
          <w:tcPr>
            <w:tcW w:type="dxa" w:w="3277"/>
          </w:tcPr>
          <w:p>
            <w:pPr>
              <w:pStyle w:val="tablecopy"/>
              <w:spacing w:before="20" w:after="20"/>
            </w:pPr>
            <w:r>
              <w:t>B-32 averaging + QAT [AVG]</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B-32 points are seed 1. At about 670 cycles maxout lies above ReLU, and with QAT above A, while ReLU lies below A;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(9/12 images) and +0.57 dB on BSD68 (+0.32 dB unclipped).</w:t>
      </w:r>
    </w:p>
    <w:p>
      <w:pPr>
        <w:pStyle w:val="a3"/>
      </w:pPr>
      <w:r>
        <w:rPr>
          <w:b/>
        </w:rPr>
        <w:t>Free channels against ReLU, and max against mean.</w:t>
      </w:r>
      <w:r>
        <w:t xml:space="preserve"> At the same budget, the maxout network scores +0.37 / +0.26 dB above the ReLU network on all 80 images for 1.01× the board cycles (seed 1; image-paired standard error 0.04 / 0.02 dB, so the training run is the uncertainty). The averaging control matched maxout (validation +0.02 dB in float [AVG]), so in this seed the max adds nothing beyond the extra outputs. The ReLU run collapsed once, at epoch 26, and its validation-driven schedule halved the rate four times while it recovered; before that the three networks were level, so seeds 2 and 3 decide whether the gap holds and how large it is [SEEDS].</w:t>
      </w:r>
    </w:p>
    <w:p>
      <w:pPr>
        <w:pStyle w:val="a3"/>
      </w:pPr>
      <w:r>
        <w:rPr>
          <w:b/>
        </w:rPr>
        <w:t>Quantization and the same-input reference.</w:t>
      </w:r>
      <w:r>
        <w:t xml:space="preserve"> QAT brought every integer model within 0.04 dB of its float model; the maxout network had lost 0.16 / 0.14 dB before it. On the same input DnCNN-S (556k, float) is 0.2 dB above our 300k integer model on Set12; its BSD68 deficit reflects training on unclipped noise.</w:t>
      </w:r>
    </w:p>
    <w:p>
      <w:pPr>
        <w:pStyle w:val="a3"/>
      </w:pPr>
      <w:r>
        <w:rPr>
          <w:b/>
        </w:rPr>
        <w:t>Board.</w:t>
      </w:r>
      <w:r>
        <w:t xml:space="preserve"> The maxout layers (K = 288, 64 outputs) took 289 cycles per window, exactly as the 32-output layers of A and of the ReLU network: doubling the outputs cost nothing on the board, and the whole network took 1.01× the ReLU network's cycles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w:t>
      </w:r>
    </w:p>
    <w:p>
      <w:pPr>
        <w:pStyle w:val="tablehead"/>
        <w:numPr>
          <w:ilvl w:val="0"/>
          <w:numId w:val="0"/>
        </w:numPr>
      </w:pPr>
      <w:r>
        <w:t>Table II. Board runs (Set12 05.png, 256×256, 50 MHz, no mismatch in any layer). Cycles per window: model → board; B-32 networks with QAT; three earlier versions also matched. Core time: 2.33, 1.73, 0.89 and 0.88 s; cycles per pixel are in Table I.</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Model</w:t>
            </w:r>
          </w:p>
        </w:tc>
        <w:tc>
          <w:tcPr>
            <w:tcW w:type="dxa" w:w="1111"/>
          </w:tcPr>
          <w:p>
            <w:pPr>
              <w:pStyle w:val="tablecolhead"/>
              <w:spacing w:before="20" w:after="20"/>
              <w:jc w:val="center"/>
            </w:pPr>
            <w:r>
              <w:t>Hidden K / COUT</w:t>
            </w:r>
          </w:p>
        </w:tc>
        <w:tc>
          <w:tcPr>
            <w:tcW w:type="dxa" w:w="1111"/>
          </w:tcPr>
          <w:p>
            <w:pPr>
              <w:pStyle w:val="tablecolhead"/>
              <w:spacing w:before="20" w:after="20"/>
              <w:jc w:val="center"/>
            </w:pPr>
            <w:r>
              <w:t>Cycles/window</w:t>
            </w:r>
          </w:p>
        </w:tc>
        <w:tc>
          <w:tcPr>
            <w:tcW w:type="dxa" w:w="1111"/>
          </w:tcPr>
          <w:p>
            <w:pPr>
              <w:pStyle w:val="tablecolhead"/>
              <w:spacing w:before="20" w:after="20"/>
              <w:jc w:val="center"/>
            </w:pPr>
            <w:r>
              <w:t>PSNR</w:t>
            </w:r>
          </w:p>
        </w:tc>
      </w:tr>
      <w:tr>
        <w:tc>
          <w:tcPr>
            <w:tcW w:type="dxa" w:w="1429"/>
          </w:tcPr>
          <w:p>
            <w:pPr>
              <w:pStyle w:val="tablecopy"/>
              <w:spacing w:before="20" w:after="20"/>
            </w:pPr>
            <w:r>
              <w:t>A</w:t>
            </w:r>
          </w:p>
        </w:tc>
        <w:tc>
          <w:tcPr>
            <w:tcW w:type="dxa" w:w="1111"/>
          </w:tcPr>
          <w:p>
            <w:pPr>
              <w:pStyle w:val="tablecopy"/>
              <w:spacing w:before="20" w:after="20"/>
              <w:jc w:val="center"/>
            </w:pPr>
            <w:r>
              <w:t>288 / 32</w:t>
            </w:r>
          </w:p>
        </w:tc>
        <w:tc>
          <w:tcPr>
            <w:tcW w:type="dxa" w:w="1111"/>
          </w:tcPr>
          <w:p>
            <w:pPr>
              <w:pStyle w:val="tablecopy"/>
              <w:spacing w:before="20" w:after="20"/>
              <w:jc w:val="center"/>
            </w:pPr>
            <w:r>
              <w:t>288 → 289</w:t>
            </w:r>
          </w:p>
        </w:tc>
        <w:tc>
          <w:tcPr>
            <w:tcW w:type="dxa" w:w="1111"/>
          </w:tcPr>
          <w:p>
            <w:pPr>
              <w:pStyle w:val="tablecopy"/>
              <w:spacing w:before="20" w:after="20"/>
              <w:jc w:val="center"/>
            </w:pPr>
            <w:r>
              <w:t>29.83</w:t>
            </w:r>
          </w:p>
        </w:tc>
      </w:tr>
      <w:tr>
        <w:tc>
          <w:tcPr>
            <w:tcW w:type="dxa" w:w="1429"/>
          </w:tcPr>
          <w:p>
            <w:pPr>
              <w:pStyle w:val="tablecopy"/>
              <w:spacing w:before="20" w:after="20"/>
            </w:pPr>
            <w:r>
              <w:t>B + QAT</w:t>
            </w:r>
          </w:p>
        </w:tc>
        <w:tc>
          <w:tcPr>
            <w:tcW w:type="dxa" w:w="1111"/>
          </w:tcPr>
          <w:p>
            <w:pPr>
              <w:pStyle w:val="tablecopy"/>
              <w:spacing w:before="20" w:after="20"/>
              <w:jc w:val="center"/>
            </w:pPr>
            <w:r>
              <w:t>576 / 64</w:t>
            </w:r>
          </w:p>
        </w:tc>
        <w:tc>
          <w:tcPr>
            <w:tcW w:type="dxa" w:w="1111"/>
          </w:tcPr>
          <w:p>
            <w:pPr>
              <w:pStyle w:val="tablecopy"/>
              <w:spacing w:before="20" w:after="20"/>
              <w:jc w:val="center"/>
            </w:pPr>
            <w:r>
              <w:t>576 → 577</w:t>
            </w:r>
          </w:p>
        </w:tc>
        <w:tc>
          <w:tcPr>
            <w:tcW w:type="dxa" w:w="1111"/>
          </w:tcPr>
          <w:p>
            <w:pPr>
              <w:pStyle w:val="tablecopy"/>
              <w:spacing w:before="20" w:after="20"/>
              <w:jc w:val="center"/>
            </w:pPr>
            <w:r>
              <w:t>30.06</w:t>
            </w:r>
          </w:p>
        </w:tc>
      </w:tr>
      <w:tr>
        <w:tc>
          <w:tcPr>
            <w:tcW w:type="dxa" w:w="1429"/>
          </w:tcPr>
          <w:p>
            <w:pPr>
              <w:pStyle w:val="tablecopy"/>
              <w:spacing w:before="20" w:after="20"/>
            </w:pPr>
            <w:r>
              <w:t>B-32 maxout</w:t>
            </w:r>
          </w:p>
        </w:tc>
        <w:tc>
          <w:tcPr>
            <w:tcW w:type="dxa" w:w="1111"/>
          </w:tcPr>
          <w:p>
            <w:pPr>
              <w:pStyle w:val="tablecopy"/>
              <w:spacing w:before="20" w:after="20"/>
              <w:jc w:val="center"/>
            </w:pPr>
            <w:r>
              <w:t xml:space="preserve">288 / </w:t>
            </w:r>
            <w:r>
              <w:rPr>
                <w:b/>
              </w:rPr>
              <w:t>64</w:t>
            </w:r>
          </w:p>
        </w:tc>
        <w:tc>
          <w:tcPr>
            <w:tcW w:type="dxa" w:w="1111"/>
          </w:tcPr>
          <w:p>
            <w:pPr>
              <w:pStyle w:val="tablecopy"/>
              <w:spacing w:before="20" w:after="20"/>
              <w:jc w:val="center"/>
            </w:pPr>
            <w:r>
              <w:t xml:space="preserve">288 → </w:t>
            </w:r>
            <w:r>
              <w:rPr>
                <w:b/>
              </w:rPr>
              <w:t>289</w:t>
            </w:r>
          </w:p>
        </w:tc>
        <w:tc>
          <w:tcPr>
            <w:tcW w:type="dxa" w:w="1111"/>
          </w:tcPr>
          <w:p>
            <w:pPr>
              <w:pStyle w:val="tablecopy"/>
              <w:spacing w:before="20" w:after="20"/>
              <w:jc w:val="center"/>
            </w:pPr>
            <w:r>
              <w:t>29.94</w:t>
            </w:r>
          </w:p>
        </w:tc>
      </w:tr>
      <w:tr>
        <w:tc>
          <w:tcPr>
            <w:tcW w:type="dxa" w:w="1429"/>
          </w:tcPr>
          <w:p>
            <w:pPr>
              <w:pStyle w:val="tablecopy"/>
              <w:spacing w:before="20" w:after="20"/>
            </w:pPr>
            <w:r>
              <w:t>B-32 ReLU</w:t>
            </w:r>
          </w:p>
        </w:tc>
        <w:tc>
          <w:tcPr>
            <w:tcW w:type="dxa" w:w="1111"/>
          </w:tcPr>
          <w:p>
            <w:pPr>
              <w:pStyle w:val="tablecopy"/>
              <w:spacing w:before="20" w:after="20"/>
              <w:jc w:val="center"/>
            </w:pPr>
            <w:r>
              <w:t>288 / 32</w:t>
            </w:r>
          </w:p>
        </w:tc>
        <w:tc>
          <w:tcPr>
            <w:tcW w:type="dxa" w:w="1111"/>
          </w:tcPr>
          <w:p>
            <w:pPr>
              <w:pStyle w:val="tablecopy"/>
              <w:spacing w:before="20" w:after="20"/>
              <w:jc w:val="center"/>
            </w:pPr>
            <w:r>
              <w:t>288 → 289</w:t>
            </w:r>
          </w:p>
        </w:tc>
        <w:tc>
          <w:tcPr>
            <w:tcW w:type="dxa" w:w="1111"/>
          </w:tcPr>
          <w:p>
            <w:pPr>
              <w:pStyle w:val="tablecopy"/>
              <w:spacing w:before="20" w:after="20"/>
              <w:jc w:val="center"/>
            </w:pPr>
            <w:r>
              <w:t>29.54</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doubling the hidden outputs and pooling them in pairs doubled the parameters for 1% more cycles and denoised better, by max and, in one seed, by mean alike [SEEDS] [AVG]. The quality model beats BM3D on the same input, and the speed model matches it in 2.63× fewer cycles.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and HALP [12] apply the same logic on TPUs and GPUs. Whether P·T/w holds for other input structures is still a prediction; we will measure wider ports and line buffers on the board next. Pooling is free in cycles only: in sparse mode it issued 3.0× the ReLU network's nonzero multiplications. Energy, end-to-end time without the test harness, other noise levels, color images and SSIM are not reported. Code, models, per-image PSNR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