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 xml:space="preserve">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은닉층의 출력을 2배로 늘려 두 개씩 합치면(maxout) 놀고 있던 곱셈기를 쓸 수 있다. 보드에서 출력 64채널 층은 창당 289 사이클로 출력 32채널 층과 같았고, 그래서 망은 파라미터가 2배가 되는 대신 사이클은 1%만 늘었다(675 대 669). 같은 학습 예산에서 이 망은 같은 폭의 ReLU 망보다 잡음을 더 잘 제거했고, 시드 1에서는 두 값을 max 대신 평균으로 합쳐도 같았다(float). 즉 차이를 만든 것은 max 연산이 아니라 공짜로 늘어난 용량으로 보인다〔시드 2·3과 평균 결합 QAT 결과로 </w:t>
      </w:r>
      <w:r>
        <w:rPr>
          <w:rFonts w:ascii="Courier New" w:hAnsi="Courier New"/>
        </w:rPr>
        <w:t>ABSTRACT.md</w:t>
      </w:r>
      <w:r>
        <w:t>의 규칙 적용〕. 보드 연산을 재현한 그 학습은 모든 정수 모델을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 보드에서 실행한 일곱 모델마다 Set12 한 장을 끝까지 실행했고, 모든 층이 정수 모델과 비트 단위로 일치했다. 입력이 사이클당 2값이면 같은 모델은 합치기가 더는 공짜가 아니라고 예측하고, 4값이거나 칩 안에 라인 버퍼를 두면 망 B도 기준 망보다 느려진다고 예측한다. 고를 망은 측정한 병목에 따라 달라진다.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 가장 가까운 연구로, HALP [25]는 GPU에서 잰 계단 모양의 지연(채널 수에 따라 계단처럼 바뀜)에 맞춰 채널을 가지치기하고, DRACO [26]는 데이터 흐름이 아니라 망을 바꿔 메모리에 묶인 망이 고정된 시스톨릭 배열의 PE를 더 쓰게 했다. 본 연구는 주어진 입력 병목이 어떤 망을 유리하게 만드는지를 정확한 사이클 모델로 정하고 보드에서 비트 단위로 확인한다는 점이 다르다.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 이 코어는 PC CPU보다 느린 실험용 플랫폼이며(V절), 목적은 처리량이 아니라 사이클을 정확히 따질 수 있는 환경에서 망 선택의 근거를 보이는 것이다.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은닉층 출력을 2배로 늘려 두 개씩 합치는 설계(maxout)는 은닉층의 사이클을 바꾸지 않은 채(보드 실측 289 사이클/창, ReLU 층과 동일) 파라미터를 2배로 늘려 같은 폭의 ReLU 망보다 화질을 올린다. 시드 1에서는 평균으로 합치는 대조군도 같아서(float), 차이를 만든 것은 max가 아니라 늘어난 출력으로 보인다〔시드 2·3, 평균 결합 QAT〕.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창을 만들어 보내는 입력 구조에 대한 것이며, 칩 안 라인 버퍼 구조에서는 사이클 모델상 maxout이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cycles = max( K, ⌈COUT/P⌉ · ⌈K/T⌉ ).</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보정을 넣은 모델은 그 뒤에 설계한 10층 망 세 개의 총 사이클을 0.003% 이내로 예측했다(표 II). 보정은 기준 망 하나에서만 뽑았으므로 세 망은 맞춘 값이 아니라 사후 예측이다. 창당 1 사이클(289분의 1)은 RTL에 남은 비효율이며, 고치지 않고 모델에 넣었다. 보정 전 모델의 오차는 네 망에서 0.4–1.6%다(보정 뒤에 설계한 세 망은 0.4–1.4%, 1.6%는 보정에 쓴 A).</w:t>
      </w:r>
    </w:p>
    <w:p>
      <w:pPr>
        <w:pStyle w:val="a3"/>
      </w:pPr>
      <w:r>
        <w:rPr>
          <w:b/>
        </w:rPr>
        <w:t>병목의 출처.</w:t>
      </w:r>
      <w:r>
        <w:t xml:space="preserve"> 입력 포트가 사이클당 값 하나인 것은 물리 제약이 아니라 현재 AXI-Stream 래퍼의 설계다. 32비트 전송 단위(beat) 하나에는 7비트 값 4개가 실려 오고, 래퍼가 이를 1개/사이클로 풀어 코어에 넣는다. CIFAR-10용 비트스트림을 바꾸지 않고 재사용하려는 선택이었다. 포트를 4개/사이클로 넓히면 비용은 max(K/4, ⌈COUT/P⌉·⌈K/T⌉)가 되어 K=288, COUT=64인 층은 288 사이클(COUT=32이면 144)로 연산에 묶이고, 아래의 maxout은 더 이상 공짜가 아니다. 즉 본 논문의 규칙은 "이 포트 폭에서는"이라는 조건이 붙는다. 일반화하면 추가 사이클 없이 늘릴 수 있는 출력 채널은 대략 곱셈기 수를 입력 폭으로 나눈 값(P·T/w: 사이클당 1값이면 64, 2값이면 32, 4값이면 16)까지다. dense 상한으로는 2값/사이클만 돼도 maxout이 ReLU 망의 1.9배가 되고 B가 A보다 느려지지만(1,247 대 907 사이클/px), 보드에서 잰 활성값 밀도로 sparse 모드를 추정하면 maxout은 1.4–1.8배이고 B는 4값/사이클부터 A보다 느려진다(표 III). 창을 PC가 만든다는 점도 같은 역할을 한다. 칩 안에 라인 버퍼를 두는 일반적인 FPGA 가속기 구조 [21]에서는 창마다 새 입력 픽셀 하나의 C_in개 값만 들어오므로, dense 사이클 모델로 은닉층(K=288)이 COUT=32에서 145, COUT=64에서 289 사이클/창이 된다. 그러면 maxout은 ReLU의 약 2배 비용(B-32 maxout 615 대 ReLU 319 사이클/px)이 되어 더는 공짜가 아니고, 망 전체로도 A(833 사이클/px)가 B(1,209)보다 빨라진다(sparse 추정에서도 같다; 예측이며 보드에서 재지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공짜 출력 채널을 두 개씩 합치기 (B-32+maxout).</w:t>
      </w:r>
      <w:r>
        <w:t xml:space="preserve"> B의 채널을 32로 줄이면 중간 층이 K=288로 돌아와 사이클이 B의 절반이 되지만, 다시 출력 채널 64까지가 공짜가 된다. 이 공짜 출력으로 망의 용량을 늘린다. 은닉층이 채널마다 후보 두 개를 계산하고(출력 64), PC가 재양자화할 때 큰 쪽만 다음 층으로 넘긴다(입력 32, K=288 유지). 합치기가 필요한 이유는 다음 층이다. 출력 64개를 그대로 넘기면 다음 층의 K가 576이 되어 사이클이 2배가 된다. 두 개씩 합쳐 32개로 넘기면 출력 쪽의 공짜 용량은 쓰고 비용이 드는 입력 쪽은 그대로 둔다. 같은 파라미터를 ReLU만으로 얻으려면 은닉층이 45채널이어야 하는데(파라미터 149,593, maxout 망 151,636; 바이어스 포함), 그러면 K가 405로 늘어 사이클 모델로 934 사이클/px, maxout 망보다 38% 비싸다(이 망은 학습하지 않았다).</w:t>
      </w:r>
    </w:p>
    <w:p>
      <w:pPr>
        <w:pStyle w:val="a3"/>
        <w:ind w:firstLine="0"/>
        <w:jc w:val="center"/>
      </w:pPr>
      <w:r>
        <w:t>max(ReLU(a), ReLU(b)) = ReLU(max(a, b)).</w:t>
      </w:r>
    </w:p>
    <w:p>
      <w:pPr>
        <w:pStyle w:val="a3"/>
      </w:pPr>
      <w:r>
        <w:t>이것이 maxout [4](Max-Feature-Map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max 자체의 효과와 늘어난 용량의 효과를 가르려고, 같은 64 출력을 재양자화 뒤 평균((a+b+1)&gt;&gt;1)으로 합치는 대조군을 같은 조건으로 학습했다(V절). 평균 결합은 다음 층 가중치가 쌍마다 묶인 64채널 ReLU 층과 같아서, 파라미터와 사이클이 maxout과 같고 max만 없다.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표의 모든 망이 하나(시드 1)이며, B-32 비교는 시드 2·3을 더한다〔진행 중〕.</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4개와 시드 2–3개로 실행해 UVM 1.2에서 39회, IEEE 1800.2-2020에서 26회 모두 통과했고(xsim은 돌리지 않았다), UVM 1.2 실행에서 출력 38,809개와 레지스터 읽기 7,114개를 비교했다(2020판 실행은 23,043개와 4,774개). 일부러 넣은 버그 10개를 모두 검출했다. 형상 커버리지는 축소 빌드에서 89–100%, 보드 빌드에서는 17–29%다. 지시 테스트는 CIFAR-10 층 형상(K=27–1152, COUT=32–128)을 덮으며, 잡음 제거망의 형상(K=9, 36, 297, 324, 612 등)은 UVM이 아니라 보드에서 비트 단위로 검증했다.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시드가 하나이므로 0.1 dB 미만의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마지막 열은 정수 모델이 BM3D(클리핑 입력)보다 높은 사진 수. B-32 행은 모두 조기 종료 없이 120 epoch(갱신 19,200회)을 학습한 시드 1의 값이며, +QAT 행은 여기에 QAT 15 epoch을 더했다(QAT 단계의 시드는 모든 QAT 모델이 3).</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1124"/>
        <w:gridCol w:w="1124"/>
        <w:gridCol w:w="1124"/>
        <w:gridCol w:w="1124"/>
        <w:gridCol w:w="1124"/>
        <w:gridCol w:w="1124"/>
      </w:tblGrid>
      <w:tr>
        <w:tc>
          <w:tcPr>
            <w:tcW w:type="dxa" w:w="2891"/>
          </w:tcPr>
          <w:p>
            <w:pPr>
              <w:pStyle w:val="tablecolhead"/>
              <w:spacing w:before="20" w:after="20"/>
            </w:pPr>
            <w:r>
              <w:t>모델</w:t>
            </w:r>
          </w:p>
        </w:tc>
        <w:tc>
          <w:tcPr>
            <w:tcW w:type="dxa" w:w="1124"/>
          </w:tcPr>
          <w:p>
            <w:pPr>
              <w:pStyle w:val="tablecolhead"/>
              <w:spacing w:before="20" w:after="20"/>
              <w:jc w:val="center"/>
            </w:pPr>
            <w:r>
              <w:t>사이클/px</w:t>
            </w:r>
          </w:p>
        </w:tc>
        <w:tc>
          <w:tcPr>
            <w:tcW w:type="dxa" w:w="1124"/>
          </w:tcPr>
          <w:p>
            <w:pPr>
              <w:pStyle w:val="tablecolhead"/>
              <w:spacing w:before="20" w:after="20"/>
              <w:jc w:val="center"/>
            </w:pPr>
            <w:r>
              <w:t>곱셈기 활용률</w:t>
            </w:r>
          </w:p>
        </w:tc>
        <w:tc>
          <w:tcPr>
            <w:tcW w:type="dxa" w:w="1124"/>
          </w:tcPr>
          <w:p>
            <w:pPr>
              <w:pStyle w:val="tablecolhead"/>
              <w:spacing w:before="20" w:after="20"/>
              <w:jc w:val="center"/>
            </w:pPr>
            <w:r>
              <w:t>파라미터</w:t>
            </w:r>
          </w:p>
        </w:tc>
        <w:tc>
          <w:tcPr>
            <w:tcW w:type="dxa" w:w="1124"/>
          </w:tcPr>
          <w:p>
            <w:pPr>
              <w:pStyle w:val="tablecolhead"/>
              <w:spacing w:before="20" w:after="20"/>
              <w:jc w:val="center"/>
            </w:pPr>
            <w:r>
              <w:t>Set12 float / 정수</w:t>
            </w:r>
          </w:p>
        </w:tc>
        <w:tc>
          <w:tcPr>
            <w:tcW w:type="dxa" w:w="1124"/>
          </w:tcPr>
          <w:p>
            <w:pPr>
              <w:pStyle w:val="tablecolhead"/>
              <w:spacing w:before="20" w:after="20"/>
              <w:jc w:val="center"/>
            </w:pPr>
            <w:r>
              <w:t>BSD68 float / 정수</w:t>
            </w:r>
          </w:p>
        </w:tc>
        <w:tc>
          <w:tcPr>
            <w:tcW w:type="dxa" w:w="112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29.95</w:t>
            </w:r>
          </w:p>
        </w:tc>
        <w:tc>
          <w:tcPr>
            <w:tcW w:type="dxa" w:w="1124"/>
          </w:tcPr>
          <w:p>
            <w:pPr>
              <w:pStyle w:val="tablecopy"/>
              <w:spacing w:before="20" w:after="20"/>
              <w:jc w:val="center"/>
            </w:pPr>
            <w:r>
              <w:t>28.37</w:t>
            </w:r>
          </w:p>
        </w:tc>
        <w:tc>
          <w:tcPr>
            <w:tcW w:type="dxa" w:w="1124"/>
          </w:tcPr>
          <w:p>
            <w:pPr>
              <w:pStyle w:val="tablecopy"/>
              <w:spacing w:before="20" w:after="20"/>
              <w:jc w:val="center"/>
            </w:pPr>
            <w:r>
              <w:t>—</w:t>
            </w:r>
          </w:p>
        </w:tc>
      </w:tr>
      <w:tr>
        <w:tc>
          <w:tcPr>
            <w:tcW w:type="dxa" w:w="2891"/>
          </w:tcPr>
          <w:p>
            <w:pPr>
              <w:pStyle w:val="tablecopy"/>
              <w:spacing w:before="20" w:after="20"/>
            </w:pPr>
            <w:r>
              <w:t>BM3D, 클리핑 없음</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29.98</w:t>
            </w:r>
          </w:p>
        </w:tc>
        <w:tc>
          <w:tcPr>
            <w:tcW w:type="dxa" w:w="1124"/>
          </w:tcPr>
          <w:p>
            <w:pPr>
              <w:pStyle w:val="tablecopy"/>
              <w:spacing w:before="20" w:after="20"/>
              <w:jc w:val="center"/>
            </w:pPr>
            <w:r>
              <w:t>28.62</w:t>
            </w:r>
          </w:p>
        </w:tc>
        <w:tc>
          <w:tcPr>
            <w:tcW w:type="dxa" w:w="112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1124"/>
          </w:tcPr>
          <w:p>
            <w:pPr>
              <w:pStyle w:val="tablecopy"/>
              <w:spacing w:before="20" w:after="20"/>
              <w:jc w:val="center"/>
            </w:pPr>
            <w:r>
              <w:t>9.3k (모델)</w:t>
            </w:r>
          </w:p>
        </w:tc>
        <w:tc>
          <w:tcPr>
            <w:tcW w:type="dxa" w:w="1124"/>
          </w:tcPr>
          <w:p>
            <w:pPr>
              <w:pStyle w:val="tablecopy"/>
              <w:spacing w:before="20" w:after="20"/>
              <w:jc w:val="center"/>
            </w:pPr>
            <w:r>
              <w:t>—</w:t>
            </w:r>
          </w:p>
        </w:tc>
        <w:tc>
          <w:tcPr>
            <w:tcW w:type="dxa" w:w="1124"/>
          </w:tcPr>
          <w:p>
            <w:pPr>
              <w:pStyle w:val="tablecopy"/>
              <w:spacing w:before="20" w:after="20"/>
              <w:jc w:val="center"/>
            </w:pPr>
            <w:r>
              <w:t>556k</w:t>
            </w:r>
          </w:p>
        </w:tc>
        <w:tc>
          <w:tcPr>
            <w:tcW w:type="dxa" w:w="1124"/>
          </w:tcPr>
          <w:p>
            <w:pPr>
              <w:pStyle w:val="tablecopy"/>
              <w:spacing w:before="20" w:after="20"/>
              <w:jc w:val="center"/>
            </w:pPr>
            <w:r>
              <w:t>30.35</w:t>
            </w:r>
          </w:p>
        </w:tc>
        <w:tc>
          <w:tcPr>
            <w:tcW w:type="dxa" w:w="1124"/>
          </w:tcPr>
          <w:p>
            <w:pPr>
              <w:pStyle w:val="tablecopy"/>
              <w:spacing w:before="20" w:after="20"/>
              <w:jc w:val="center"/>
            </w:pPr>
            <w:r>
              <w:t>28.89</w:t>
            </w:r>
          </w:p>
        </w:tc>
        <w:tc>
          <w:tcPr>
            <w:tcW w:type="dxa" w:w="1124"/>
          </w:tcPr>
          <w:p>
            <w:pPr>
              <w:pStyle w:val="tablecopy"/>
              <w:spacing w:before="20" w:after="20"/>
              <w:jc w:val="center"/>
            </w:pPr>
            <w:r>
              <w:t>—</w:t>
            </w:r>
          </w:p>
        </w:tc>
      </w:tr>
      <w:tr>
        <w:tc>
          <w:tcPr>
            <w:tcW w:type="dxa" w:w="2891"/>
          </w:tcPr>
          <w:p>
            <w:pPr>
              <w:pStyle w:val="tablecopy"/>
              <w:spacing w:before="20" w:after="20"/>
            </w:pPr>
            <w:r>
              <w:t>A: 7층 × 32 (기준)</w:t>
            </w:r>
          </w:p>
        </w:tc>
        <w:tc>
          <w:tcPr>
            <w:tcW w:type="dxa" w:w="1124"/>
          </w:tcPr>
          <w:p>
            <w:pPr>
              <w:pStyle w:val="tablecopy"/>
              <w:spacing w:before="20" w:after="20"/>
              <w:jc w:val="center"/>
            </w:pPr>
            <w:r>
              <w:t>1,775 (실측)</w:t>
            </w:r>
          </w:p>
        </w:tc>
        <w:tc>
          <w:tcPr>
            <w:tcW w:type="dxa" w:w="1124"/>
          </w:tcPr>
          <w:p>
            <w:pPr>
              <w:pStyle w:val="tablecopy"/>
              <w:spacing w:before="20" w:after="20"/>
              <w:jc w:val="center"/>
            </w:pPr>
            <w:r>
              <w:t>41%</w:t>
            </w:r>
          </w:p>
        </w:tc>
        <w:tc>
          <w:tcPr>
            <w:tcW w:type="dxa" w:w="1124"/>
          </w:tcPr>
          <w:p>
            <w:pPr>
              <w:pStyle w:val="tablecopy"/>
              <w:spacing w:before="20" w:after="20"/>
              <w:jc w:val="center"/>
            </w:pPr>
            <w:r>
              <w:t>47k</w:t>
            </w:r>
          </w:p>
        </w:tc>
        <w:tc>
          <w:tcPr>
            <w:tcW w:type="dxa" w:w="1124"/>
          </w:tcPr>
          <w:p>
            <w:pPr>
              <w:pStyle w:val="tablecopy"/>
              <w:spacing w:before="20" w:after="20"/>
              <w:jc w:val="center"/>
            </w:pPr>
            <w:r>
              <w:t>29.87 / 29.83</w:t>
            </w:r>
          </w:p>
        </w:tc>
        <w:tc>
          <w:tcPr>
            <w:tcW w:type="dxa" w:w="1124"/>
          </w:tcPr>
          <w:p>
            <w:pPr>
              <w:pStyle w:val="tablecopy"/>
              <w:spacing w:before="20" w:after="20"/>
              <w:jc w:val="center"/>
            </w:pPr>
            <w:r>
              <w:t>28.83 / 28.80</w:t>
            </w:r>
          </w:p>
        </w:tc>
        <w:tc>
          <w:tcPr>
            <w:tcW w:type="dxa" w:w="1124"/>
          </w:tcPr>
          <w:p>
            <w:pPr>
              <w:pStyle w:val="tablecopy"/>
              <w:spacing w:before="20" w:after="20"/>
              <w:jc w:val="center"/>
            </w:pPr>
            <w:r>
              <w:t>6/12, 60/68</w:t>
            </w:r>
          </w:p>
        </w:tc>
      </w:tr>
      <w:tr>
        <w:tc>
          <w:tcPr>
            <w:tcW w:type="dxa" w:w="2891"/>
          </w:tcPr>
          <w:p>
            <w:pPr>
              <w:pStyle w:val="tablecopy"/>
              <w:spacing w:before="20" w:after="20"/>
            </w:pPr>
            <w:r>
              <w:t>B: s2d, 10층 × 64</w:t>
            </w:r>
          </w:p>
        </w:tc>
        <w:tc>
          <w:tcPr>
            <w:tcW w:type="dxa" w:w="1124"/>
          </w:tcPr>
          <w:p>
            <w:pPr>
              <w:pStyle w:val="tablecopy"/>
              <w:spacing w:before="20" w:after="20"/>
              <w:jc w:val="center"/>
            </w:pPr>
            <w:r>
              <w:t>1,323 (실측)</w:t>
            </w:r>
          </w:p>
        </w:tc>
        <w:tc>
          <w:tcPr>
            <w:tcW w:type="dxa" w:w="1124"/>
          </w:tcPr>
          <w:p>
            <w:pPr>
              <w:pStyle w:val="tablecopy"/>
              <w:spacing w:before="20" w:after="20"/>
              <w:jc w:val="center"/>
            </w:pPr>
            <w:r>
              <w:t>88%</w:t>
            </w:r>
          </w:p>
        </w:tc>
        <w:tc>
          <w:tcPr>
            <w:tcW w:type="dxa" w:w="1124"/>
          </w:tcPr>
          <w:p>
            <w:pPr>
              <w:pStyle w:val="tablecopy"/>
              <w:spacing w:before="20" w:after="20"/>
              <w:jc w:val="center"/>
            </w:pPr>
            <w:r>
              <w:t>300k</w:t>
            </w:r>
          </w:p>
        </w:tc>
        <w:tc>
          <w:tcPr>
            <w:tcW w:type="dxa" w:w="1124"/>
          </w:tcPr>
          <w:p>
            <w:pPr>
              <w:pStyle w:val="tablecopy"/>
              <w:spacing w:before="20" w:after="20"/>
              <w:jc w:val="center"/>
            </w:pPr>
            <w:r>
              <w:t>30.14 / 30.10</w:t>
            </w:r>
          </w:p>
        </w:tc>
        <w:tc>
          <w:tcPr>
            <w:tcW w:type="dxa" w:w="1124"/>
          </w:tcPr>
          <w:p>
            <w:pPr>
              <w:pStyle w:val="tablecopy"/>
              <w:spacing w:before="20" w:after="20"/>
              <w:jc w:val="center"/>
            </w:pPr>
            <w:r>
              <w:t>29.01 / 29.00</w:t>
            </w:r>
          </w:p>
        </w:tc>
        <w:tc>
          <w:tcPr>
            <w:tcW w:type="dxa" w:w="112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1124"/>
          </w:tcPr>
          <w:p>
            <w:pPr>
              <w:pStyle w:val="tablecopy"/>
              <w:spacing w:before="20" w:after="20"/>
              <w:jc w:val="center"/>
            </w:pPr>
            <w:r>
              <w:t>1,323 (실측)</w:t>
            </w:r>
          </w:p>
        </w:tc>
        <w:tc>
          <w:tcPr>
            <w:tcW w:type="dxa" w:w="1124"/>
          </w:tcPr>
          <w:p>
            <w:pPr>
              <w:pStyle w:val="tablecopy"/>
              <w:spacing w:before="20" w:after="20"/>
              <w:jc w:val="center"/>
            </w:pPr>
            <w:r>
              <w:t>88%</w:t>
            </w:r>
          </w:p>
        </w:tc>
        <w:tc>
          <w:tcPr>
            <w:tcW w:type="dxa" w:w="1124"/>
          </w:tcPr>
          <w:p>
            <w:pPr>
              <w:pStyle w:val="tablecopy"/>
              <w:spacing w:before="20" w:after="20"/>
              <w:jc w:val="center"/>
            </w:pPr>
            <w:r>
              <w:t>300k</w:t>
            </w:r>
          </w:p>
        </w:tc>
        <w:tc>
          <w:tcPr>
            <w:tcW w:type="dxa" w:w="1124"/>
          </w:tcPr>
          <w:p>
            <w:pPr>
              <w:pStyle w:val="tablecopy"/>
              <w:spacing w:before="20" w:after="20"/>
              <w:jc w:val="center"/>
            </w:pPr>
            <w:r>
              <w:t xml:space="preserve">30.13 / </w:t>
            </w:r>
            <w:r>
              <w:rPr>
                <w:b/>
              </w:rPr>
              <w:t>30.12</w:t>
            </w:r>
          </w:p>
        </w:tc>
        <w:tc>
          <w:tcPr>
            <w:tcW w:type="dxa" w:w="1124"/>
          </w:tcPr>
          <w:p>
            <w:pPr>
              <w:pStyle w:val="tablecopy"/>
              <w:spacing w:before="20" w:after="20"/>
              <w:jc w:val="center"/>
            </w:pPr>
            <w:r>
              <w:t xml:space="preserve">29.01 / </w:t>
            </w:r>
            <w:r>
              <w:rPr>
                <w:b/>
              </w:rPr>
              <w:t>29.02</w:t>
            </w:r>
          </w:p>
        </w:tc>
        <w:tc>
          <w:tcPr>
            <w:tcW w:type="dxa" w:w="112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1124"/>
          </w:tcPr>
          <w:p>
            <w:pPr>
              <w:pStyle w:val="tablecopy"/>
              <w:spacing w:before="20" w:after="20"/>
              <w:jc w:val="center"/>
            </w:pPr>
            <w:r>
              <w:t>669</w:t>
            </w:r>
          </w:p>
        </w:tc>
        <w:tc>
          <w:tcPr>
            <w:tcW w:type="dxa" w:w="1124"/>
          </w:tcPr>
          <w:p>
            <w:pPr>
              <w:pStyle w:val="tablecopy"/>
              <w:spacing w:before="20" w:after="20"/>
              <w:jc w:val="center"/>
            </w:pPr>
            <w:r>
              <w:t>45%</w:t>
            </w:r>
          </w:p>
        </w:tc>
        <w:tc>
          <w:tcPr>
            <w:tcW w:type="dxa" w:w="1124"/>
          </w:tcPr>
          <w:p>
            <w:pPr>
              <w:pStyle w:val="tablecopy"/>
              <w:spacing w:before="20" w:after="20"/>
              <w:jc w:val="center"/>
            </w:pPr>
            <w:r>
              <w:t>76k</w:t>
            </w:r>
          </w:p>
        </w:tc>
        <w:tc>
          <w:tcPr>
            <w:tcW w:type="dxa" w:w="1124"/>
          </w:tcPr>
          <w:p>
            <w:pPr>
              <w:pStyle w:val="tablecopy"/>
              <w:spacing w:before="20" w:after="20"/>
              <w:jc w:val="center"/>
            </w:pPr>
            <w:r>
              <w:t>29.55 / 29.51</w:t>
            </w:r>
          </w:p>
        </w:tc>
        <w:tc>
          <w:tcPr>
            <w:tcW w:type="dxa" w:w="1124"/>
          </w:tcPr>
          <w:p>
            <w:pPr>
              <w:pStyle w:val="tablecopy"/>
              <w:spacing w:before="20" w:after="20"/>
              <w:jc w:val="center"/>
            </w:pPr>
            <w:r>
              <w:t>28.55 / 28.53</w:t>
            </w:r>
          </w:p>
        </w:tc>
        <w:tc>
          <w:tcPr>
            <w:tcW w:type="dxa" w:w="1124"/>
          </w:tcPr>
          <w:p>
            <w:pPr>
              <w:pStyle w:val="tablecopy"/>
              <w:spacing w:before="20" w:after="20"/>
              <w:jc w:val="center"/>
            </w:pPr>
            <w:r>
              <w:t>2/12, 49/68</w:t>
            </w:r>
          </w:p>
        </w:tc>
      </w:tr>
      <w:tr>
        <w:tc>
          <w:tcPr>
            <w:tcW w:type="dxa" w:w="2891"/>
          </w:tcPr>
          <w:p>
            <w:pPr>
              <w:pStyle w:val="tablecopy"/>
              <w:spacing w:before="20" w:after="20"/>
            </w:pPr>
            <w:r>
              <w:t>B-32 + QAT</w:t>
            </w:r>
          </w:p>
        </w:tc>
        <w:tc>
          <w:tcPr>
            <w:tcW w:type="dxa" w:w="1124"/>
          </w:tcPr>
          <w:p>
            <w:pPr>
              <w:pStyle w:val="tablecopy"/>
              <w:spacing w:before="20" w:after="20"/>
              <w:jc w:val="center"/>
            </w:pPr>
            <w:r>
              <w:t>669 (실측)</w:t>
            </w:r>
          </w:p>
        </w:tc>
        <w:tc>
          <w:tcPr>
            <w:tcW w:type="dxa" w:w="1124"/>
          </w:tcPr>
          <w:p>
            <w:pPr>
              <w:pStyle w:val="tablecopy"/>
              <w:spacing w:before="20" w:after="20"/>
              <w:jc w:val="center"/>
            </w:pPr>
            <w:r>
              <w:t>45%</w:t>
            </w:r>
          </w:p>
        </w:tc>
        <w:tc>
          <w:tcPr>
            <w:tcW w:type="dxa" w:w="1124"/>
          </w:tcPr>
          <w:p>
            <w:pPr>
              <w:pStyle w:val="tablecopy"/>
              <w:spacing w:before="20" w:after="20"/>
              <w:jc w:val="center"/>
            </w:pPr>
            <w:r>
              <w:t>76k</w:t>
            </w:r>
          </w:p>
        </w:tc>
        <w:tc>
          <w:tcPr>
            <w:tcW w:type="dxa" w:w="1124"/>
          </w:tcPr>
          <w:p>
            <w:pPr>
              <w:pStyle w:val="tablecopy"/>
              <w:spacing w:before="20" w:after="20"/>
              <w:jc w:val="center"/>
            </w:pPr>
            <w:r>
              <w:t>29.58 / 29.62</w:t>
            </w:r>
          </w:p>
        </w:tc>
        <w:tc>
          <w:tcPr>
            <w:tcW w:type="dxa" w:w="1124"/>
          </w:tcPr>
          <w:p>
            <w:pPr>
              <w:pStyle w:val="tablecopy"/>
              <w:spacing w:before="20" w:after="20"/>
              <w:jc w:val="center"/>
            </w:pPr>
            <w:r>
              <w:t>28.66 / 28.68</w:t>
            </w:r>
          </w:p>
        </w:tc>
        <w:tc>
          <w:tcPr>
            <w:tcW w:type="dxa" w:w="1124"/>
          </w:tcPr>
          <w:p>
            <w:pPr>
              <w:pStyle w:val="tablecopy"/>
              <w:spacing w:before="20" w:after="20"/>
              <w:jc w:val="center"/>
            </w:pPr>
            <w:r>
              <w:t>5/12, 57/68</w:t>
            </w:r>
          </w:p>
        </w:tc>
      </w:tr>
      <w:tr>
        <w:tc>
          <w:tcPr>
            <w:tcW w:type="dxa" w:w="2891"/>
          </w:tcPr>
          <w:p>
            <w:pPr>
              <w:pStyle w:val="tablecopy"/>
              <w:spacing w:before="20" w:after="20"/>
            </w:pPr>
            <w:r>
              <w:t>B-32 + maxout</w:t>
            </w:r>
          </w:p>
        </w:tc>
        <w:tc>
          <w:tcPr>
            <w:tcW w:type="dxa" w:w="1124"/>
          </w:tcPr>
          <w:p>
            <w:pPr>
              <w:pStyle w:val="tablecopy"/>
              <w:spacing w:before="20" w:after="20"/>
              <w:jc w:val="center"/>
            </w:pPr>
            <w:r>
              <w:t>675</w:t>
            </w:r>
          </w:p>
        </w:tc>
        <w:tc>
          <w:tcPr>
            <w:tcW w:type="dxa" w:w="1124"/>
          </w:tcPr>
          <w:p>
            <w:pPr>
              <w:pStyle w:val="tablecopy"/>
              <w:spacing w:before="20" w:after="20"/>
              <w:jc w:val="center"/>
            </w:pPr>
            <w:r>
              <w:t>87%</w:t>
            </w:r>
          </w:p>
        </w:tc>
        <w:tc>
          <w:tcPr>
            <w:tcW w:type="dxa" w:w="1124"/>
          </w:tcPr>
          <w:p>
            <w:pPr>
              <w:pStyle w:val="tablecopy"/>
              <w:spacing w:before="20" w:after="20"/>
              <w:jc w:val="center"/>
            </w:pPr>
            <w:r>
              <w:t>152k</w:t>
            </w:r>
          </w:p>
        </w:tc>
        <w:tc>
          <w:tcPr>
            <w:tcW w:type="dxa" w:w="1124"/>
          </w:tcPr>
          <w:p>
            <w:pPr>
              <w:pStyle w:val="tablecopy"/>
              <w:spacing w:before="20" w:after="20"/>
              <w:jc w:val="center"/>
            </w:pPr>
            <w:r>
              <w:t>30.02 / 29.86</w:t>
            </w:r>
          </w:p>
        </w:tc>
        <w:tc>
          <w:tcPr>
            <w:tcW w:type="dxa" w:w="1124"/>
          </w:tcPr>
          <w:p>
            <w:pPr>
              <w:pStyle w:val="tablecopy"/>
              <w:spacing w:before="20" w:after="20"/>
              <w:jc w:val="center"/>
            </w:pPr>
            <w:r>
              <w:t>28.94 / 28.80</w:t>
            </w:r>
          </w:p>
        </w:tc>
        <w:tc>
          <w:tcPr>
            <w:tcW w:type="dxa" w:w="112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1124"/>
          </w:tcPr>
          <w:p>
            <w:pPr>
              <w:pStyle w:val="tablecopy"/>
              <w:spacing w:before="20" w:after="20"/>
              <w:jc w:val="center"/>
            </w:pPr>
            <w:r>
              <w:t>675 (실측)</w:t>
            </w:r>
          </w:p>
        </w:tc>
        <w:tc>
          <w:tcPr>
            <w:tcW w:type="dxa" w:w="1124"/>
          </w:tcPr>
          <w:p>
            <w:pPr>
              <w:pStyle w:val="tablecopy"/>
              <w:spacing w:before="20" w:after="20"/>
              <w:jc w:val="center"/>
            </w:pPr>
            <w:r>
              <w:t>87%</w:t>
            </w:r>
          </w:p>
        </w:tc>
        <w:tc>
          <w:tcPr>
            <w:tcW w:type="dxa" w:w="1124"/>
          </w:tcPr>
          <w:p>
            <w:pPr>
              <w:pStyle w:val="tablecopy"/>
              <w:spacing w:before="20" w:after="20"/>
              <w:jc w:val="center"/>
            </w:pPr>
            <w:r>
              <w:t>152k</w:t>
            </w:r>
          </w:p>
        </w:tc>
        <w:tc>
          <w:tcPr>
            <w:tcW w:type="dxa" w:w="1124"/>
          </w:tcPr>
          <w:p>
            <w:pPr>
              <w:pStyle w:val="tablecopy"/>
              <w:spacing w:before="20" w:after="20"/>
              <w:jc w:val="center"/>
            </w:pPr>
            <w:r>
              <w:t xml:space="preserve">30.00 / </w:t>
            </w:r>
            <w:r>
              <w:rPr>
                <w:b/>
              </w:rPr>
              <w:t>30.00</w:t>
            </w:r>
          </w:p>
        </w:tc>
        <w:tc>
          <w:tcPr>
            <w:tcW w:type="dxa" w:w="1124"/>
          </w:tcPr>
          <w:p>
            <w:pPr>
              <w:pStyle w:val="tablecopy"/>
              <w:spacing w:before="20" w:after="20"/>
              <w:jc w:val="center"/>
            </w:pPr>
            <w:r>
              <w:t xml:space="preserve">28.95 / </w:t>
            </w:r>
            <w:r>
              <w:rPr>
                <w:b/>
              </w:rPr>
              <w:t>28.94</w:t>
            </w:r>
          </w:p>
        </w:tc>
        <w:tc>
          <w:tcPr>
            <w:tcW w:type="dxa" w:w="1124"/>
          </w:tcPr>
          <w:p>
            <w:pPr>
              <w:pStyle w:val="tablecopy"/>
              <w:spacing w:before="20" w:after="20"/>
              <w:jc w:val="center"/>
            </w:pPr>
            <w:r>
              <w:t xml:space="preserve">9/12, </w:t>
            </w:r>
            <w:r>
              <w:rPr>
                <w:b/>
              </w:rPr>
              <w:t>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때문이다.</w:t>
      </w:r>
    </w:p>
    <w:p>
      <w:pPr>
        <w:pStyle w:val="a3"/>
        <w:ind w:firstLine="0" w:left="198"/>
      </w:pPr>
      <w:r>
        <w:t xml:space="preserve">• </w:t>
      </w:r>
      <w:r>
        <w:rPr>
          <w:b/>
        </w:rPr>
        <w:t>공짜 출력 채널의 효과〔시드 2·3으로 확정〕:</w:t>
      </w:r>
      <w:r>
        <w:t xml:space="preserve"> 같은 예산(120 epoch, 시드 1; 그 뒤 QAT 15 epoch)에서 maxout 망은 ReLU 망보다 정수 Set12 +0.37, BSD68 +0.26 dB(80/80장) 높고, 사이클은 1% 많다(보드 실측 1.01배; 첫 층). 사진별 차이의 표준오차는 0.04 / 0.02 dB로 작아서, 불확실성은 테스트 사진이 아니라 학습 실행에서 온다. 두 가지 이유로 이 값은 아직 확정하지 않는다. 첫째, 시드 1의 ReLU 망은 epoch 26에 검증 PSNR이 27.93에서 24.27 dB로 무너졌고, 학습률 규칙이 회복 중에 학습률을 네 번 반으로 줄였다(10⁻³에서의 갱신 5,120 대 maxout 9,280). 무너지기 전(epoch 25)에는 세 망의 검증 최고가 27.93–27.96 dB로 같았고, 120 epoch 끝에 ReLU 망은 아직 오르고 있었다. 둘째, maxout 망은 파라미터가 2배다(76k 대 152k). 같은 64 출력을 max 대신 평균으로 합치는 대조군(초기 가중치와 데이터까지 maxout과 같음)은 float 검증 최고 28.549 dB, Set12 30.05 dB(검증 최고 epoch 117)로 maxout(28.528, 30.02)과 같거나 약간 높았다(마지막 20 epoch 모두 높음, 평균 +0.018 dB). 즉 이 시드에서 차이를 만든 것은 max 비선형이 아니라 비용 없이 늘어난 출력 채널이다. 평균 결합의 QAT 정수 값과 시드 2·3은 진행 중이다.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학습 뒤 양자화(PTQ)의 정수 손실은 maxout 망 0.16 / 0.14 dB, ReLU 망 0.05 / 0.02 dB였고(Set12 / BSD68), QAT 뒤에는 모든 정수 모델이 float의 0.04 dB 안이다(ReLU 망은 정수가 float보다 0.04 / 0.02 dB 높다). 정수 PSNR 이득은 maxout 망 +0.14 / +0.14 dB, ReLU 망 +0.12 / +0.15 dB(둘 다 80/80장)로 비슷하고 B는 +0.02 / +0.03 dB다. QAT는 학습률 10⁻⁴의 추가 15 epoch이기도 해서, 120 epoch 끝에 아직 오르던 ReLU 망은 float 점수도 +0.03 / +0.11 dB 올랐다.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예산의 시드 1. 같은 사이클(약 670)에서 maxout 망이 ReLU 망 위에 있고(ReLU 망은 A보다 아래, maxout+QAT 망은 위; BSD68에서 QAT 없는 maxout 망은 A와 같은 높이), space-to-depth 망이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A와 같은 폭 ReLU 망의 K=288, 출력 32 층과 똑같이 </w:t>
      </w:r>
      <w:r>
        <w:rPr>
          <w:b/>
        </w:rPr>
        <w:t>289 사이클/창</w:t>
      </w:r>
      <w:r>
        <w:t>이다. 출력을 2배로 늘린 비용이 0임을 보드가 보여 준다. 첫 층(K=36)만 출력을 내보내는 시간 때문에 64 사이클(ReLU 망은 37)이 걸려, 망 전체로는 ReLU 망의 1.01배(44,254,293 대 43,811,412 사이클)다.</w:t>
      </w:r>
    </w:p>
    <w:p>
      <w:pPr>
        <w:pStyle w:val="a3"/>
        <w:ind w:firstLine="0" w:left="198"/>
      </w:pPr>
      <w:r>
        <w:t>•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절대 처리량은 낮다. 50 MHz, 곱셈기 64개로 최대 6.4 GOPS(B 망의 실효 5.7 GOPS)이며 256×256 한 장에 코어만 0.9–2.3 s다. 같은 망을 PC CPU(Xeon 4코어, float32 PyTorch)는 30–38 ms에 처리한다. 같은 칩의 ARM 프로세서와는 비교하지 않았다. 이 논문은 처리량이 아니라 주어진 코어에서 망을 고르는 근거를 다룬다. 전력을 재지 않았으므로 GOPS/W는 보고하지 않는다.</w:t>
      </w:r>
    </w:p>
    <w:p>
      <w:pPr>
        <w:pStyle w:val="tablehead"/>
        <w:numPr>
          <w:ilvl w:val="0"/>
          <w:numId w:val="0"/>
        </w:numPr>
      </w:pPr>
      <w:r>
        <w:t>표 III. 입력 구조별 예측 코어 사이클/픽셀 (보정 사이클 모델, dense). 현재 구조(1값/사이클)만 보드에서 쟀고 나머지는 예측이다. 라인 버퍼는 창마다 새 입력 픽셀 하나(C_in개 값)가 들어오는 구조다.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망</w:t>
            </w:r>
          </w:p>
        </w:tc>
        <w:tc>
          <w:tcPr>
            <w:tcW w:type="dxa" w:w="833"/>
          </w:tcPr>
          <w:p>
            <w:pPr>
              <w:pStyle w:val="tablecolhead"/>
              <w:spacing w:before="20" w:after="20"/>
              <w:jc w:val="center"/>
            </w:pPr>
            <w:r>
              <w:t>1값/사이클 (현재, 실측)</w:t>
            </w:r>
          </w:p>
        </w:tc>
        <w:tc>
          <w:tcPr>
            <w:tcW w:type="dxa" w:w="833"/>
          </w:tcPr>
          <w:p>
            <w:pPr>
              <w:pStyle w:val="tablecolhead"/>
              <w:spacing w:before="20" w:after="20"/>
              <w:jc w:val="center"/>
            </w:pPr>
            <w:r>
              <w:t>2값/사이클</w:t>
            </w:r>
          </w:p>
        </w:tc>
        <w:tc>
          <w:tcPr>
            <w:tcW w:type="dxa" w:w="833"/>
          </w:tcPr>
          <w:p>
            <w:pPr>
              <w:pStyle w:val="tablecolhead"/>
              <w:spacing w:before="20" w:after="20"/>
              <w:jc w:val="center"/>
            </w:pPr>
            <w:r>
              <w:t>4값/사이클</w:t>
            </w:r>
          </w:p>
        </w:tc>
        <w:tc>
          <w:tcPr>
            <w:tcW w:type="dxa" w:w="833"/>
          </w:tcPr>
          <w:p>
            <w:pPr>
              <w:pStyle w:val="tablecolhead"/>
              <w:spacing w:before="20" w:after="20"/>
              <w:jc w:val="center"/>
            </w:pPr>
            <w:r>
              <w:t>라인 버퍼</w:t>
            </w:r>
          </w:p>
        </w:tc>
      </w:tr>
      <w:tr>
        <w:tc>
          <w:tcPr>
            <w:tcW w:type="dxa" w:w="1429"/>
          </w:tcPr>
          <w:p>
            <w:pPr>
              <w:pStyle w:val="tablecopy"/>
              <w:spacing w:before="20" w:after="20"/>
            </w:pPr>
            <w:r>
              <w:t>A: 7층 × 32</w:t>
            </w:r>
          </w:p>
        </w:tc>
        <w:tc>
          <w:tcPr>
            <w:tcW w:type="dxa" w:w="833"/>
          </w:tcPr>
          <w:p>
            <w:pPr>
              <w:pStyle w:val="tablecopy"/>
              <w:spacing w:before="20" w:after="20"/>
              <w:jc w:val="center"/>
            </w:pPr>
            <w:r>
              <w:t>1,775</w:t>
            </w:r>
          </w:p>
        </w:tc>
        <w:tc>
          <w:tcPr>
            <w:tcW w:type="dxa" w:w="833"/>
          </w:tcPr>
          <w:p>
            <w:pPr>
              <w:pStyle w:val="tablecopy"/>
              <w:spacing w:before="20" w:after="20"/>
              <w:jc w:val="center"/>
            </w:pPr>
            <w:r>
              <w:t>907</w:t>
            </w:r>
          </w:p>
        </w:tc>
        <w:tc>
          <w:tcPr>
            <w:tcW w:type="dxa" w:w="833"/>
          </w:tcPr>
          <w:p>
            <w:pPr>
              <w:pStyle w:val="tablecopy"/>
              <w:spacing w:before="20" w:after="20"/>
              <w:jc w:val="center"/>
            </w:pPr>
            <w:r>
              <w:t>833</w:t>
            </w:r>
          </w:p>
        </w:tc>
        <w:tc>
          <w:tcPr>
            <w:tcW w:type="dxa" w:w="833"/>
          </w:tcPr>
          <w:p>
            <w:pPr>
              <w:pStyle w:val="tablecopy"/>
              <w:spacing w:before="20" w:after="20"/>
              <w:jc w:val="center"/>
            </w:pPr>
            <w:r>
              <w:t>833</w:t>
            </w:r>
          </w:p>
        </w:tc>
      </w:tr>
      <w:tr>
        <w:tc>
          <w:tcPr>
            <w:tcW w:type="dxa" w:w="1429"/>
          </w:tcPr>
          <w:p>
            <w:pPr>
              <w:pStyle w:val="tablecopy"/>
              <w:spacing w:before="20" w:after="20"/>
            </w:pPr>
            <w:r>
              <w:t>B: s2d, 10층 × 64</w:t>
            </w:r>
          </w:p>
        </w:tc>
        <w:tc>
          <w:tcPr>
            <w:tcW w:type="dxa" w:w="833"/>
          </w:tcPr>
          <w:p>
            <w:pPr>
              <w:pStyle w:val="tablecopy"/>
              <w:spacing w:before="20" w:after="20"/>
              <w:jc w:val="center"/>
            </w:pPr>
            <w:r>
              <w:t>1,323</w:t>
            </w:r>
          </w:p>
        </w:tc>
        <w:tc>
          <w:tcPr>
            <w:tcW w:type="dxa" w:w="833"/>
          </w:tcPr>
          <w:p>
            <w:pPr>
              <w:pStyle w:val="tablecopy"/>
              <w:spacing w:before="20" w:after="20"/>
              <w:jc w:val="center"/>
            </w:pPr>
            <w:r>
              <w:t>1,247</w:t>
            </w:r>
          </w:p>
        </w:tc>
        <w:tc>
          <w:tcPr>
            <w:tcW w:type="dxa" w:w="833"/>
          </w:tcPr>
          <w:p>
            <w:pPr>
              <w:pStyle w:val="tablecopy"/>
              <w:spacing w:before="20" w:after="20"/>
              <w:jc w:val="center"/>
            </w:pPr>
            <w:r>
              <w:t>1,209</w:t>
            </w:r>
          </w:p>
        </w:tc>
        <w:tc>
          <w:tcPr>
            <w:tcW w:type="dxa" w:w="833"/>
          </w:tcPr>
          <w:p>
            <w:pPr>
              <w:pStyle w:val="tablecopy"/>
              <w:spacing w:before="20" w:after="20"/>
              <w:jc w:val="center"/>
            </w:pPr>
            <w:r>
              <w:t>1,209</w:t>
            </w:r>
          </w:p>
        </w:tc>
      </w:tr>
      <w:tr>
        <w:tc>
          <w:tcPr>
            <w:tcW w:type="dxa" w:w="1429"/>
          </w:tcPr>
          <w:p>
            <w:pPr>
              <w:pStyle w:val="tablecopy"/>
              <w:spacing w:before="20" w:after="20"/>
            </w:pPr>
            <w:r>
              <w:t>B-32 ReLU</w:t>
            </w:r>
          </w:p>
        </w:tc>
        <w:tc>
          <w:tcPr>
            <w:tcW w:type="dxa" w:w="833"/>
          </w:tcPr>
          <w:p>
            <w:pPr>
              <w:pStyle w:val="tablecopy"/>
              <w:spacing w:before="20" w:after="20"/>
              <w:jc w:val="center"/>
            </w:pPr>
            <w:r>
              <w:t>669</w:t>
            </w:r>
          </w:p>
        </w:tc>
        <w:tc>
          <w:tcPr>
            <w:tcW w:type="dxa" w:w="833"/>
          </w:tcPr>
          <w:p>
            <w:pPr>
              <w:pStyle w:val="tablecopy"/>
              <w:spacing w:before="20" w:after="20"/>
              <w:jc w:val="center"/>
            </w:pPr>
            <w:r>
              <w:t>339</w:t>
            </w:r>
          </w:p>
        </w:tc>
        <w:tc>
          <w:tcPr>
            <w:tcW w:type="dxa" w:w="833"/>
          </w:tcPr>
          <w:p>
            <w:pPr>
              <w:pStyle w:val="tablecopy"/>
              <w:spacing w:before="20" w:after="20"/>
              <w:jc w:val="center"/>
            </w:pPr>
            <w:r>
              <w:t>319</w:t>
            </w:r>
          </w:p>
        </w:tc>
        <w:tc>
          <w:tcPr>
            <w:tcW w:type="dxa" w:w="833"/>
          </w:tcPr>
          <w:p>
            <w:pPr>
              <w:pStyle w:val="tablecopy"/>
              <w:spacing w:before="20" w:after="20"/>
              <w:jc w:val="center"/>
            </w:pPr>
            <w:r>
              <w:t>319</w:t>
            </w:r>
          </w:p>
        </w:tc>
      </w:tr>
      <w:tr>
        <w:tc>
          <w:tcPr>
            <w:tcW w:type="dxa" w:w="1429"/>
          </w:tcPr>
          <w:p>
            <w:pPr>
              <w:pStyle w:val="tablecopy"/>
              <w:spacing w:before="20" w:after="20"/>
            </w:pPr>
            <w:r>
              <w:t>B-32 maxout</w:t>
            </w:r>
          </w:p>
        </w:tc>
        <w:tc>
          <w:tcPr>
            <w:tcW w:type="dxa" w:w="833"/>
          </w:tcPr>
          <w:p>
            <w:pPr>
              <w:pStyle w:val="tablecopy"/>
              <w:spacing w:before="20" w:after="20"/>
              <w:jc w:val="center"/>
            </w:pPr>
            <w:r>
              <w:t>675</w:t>
            </w:r>
          </w:p>
        </w:tc>
        <w:tc>
          <w:tcPr>
            <w:tcW w:type="dxa" w:w="833"/>
          </w:tcPr>
          <w:p>
            <w:pPr>
              <w:pStyle w:val="tablecopy"/>
              <w:spacing w:before="20" w:after="20"/>
              <w:jc w:val="center"/>
            </w:pPr>
            <w:r>
              <w:t>635</w:t>
            </w:r>
          </w:p>
        </w:tc>
        <w:tc>
          <w:tcPr>
            <w:tcW w:type="dxa" w:w="833"/>
          </w:tcPr>
          <w:p>
            <w:pPr>
              <w:pStyle w:val="tablecopy"/>
              <w:spacing w:before="20" w:after="20"/>
              <w:jc w:val="center"/>
            </w:pPr>
            <w:r>
              <w:t>615</w:t>
            </w:r>
          </w:p>
        </w:tc>
        <w:tc>
          <w:tcPr>
            <w:tcW w:type="dxa" w:w="833"/>
          </w:tcPr>
          <w:p>
            <w:pPr>
              <w:pStyle w:val="tablecopy"/>
              <w:spacing w:before="20" w:after="20"/>
              <w:jc w:val="center"/>
            </w:pPr>
            <w:r>
              <w:t>615</w:t>
            </w:r>
          </w:p>
        </w:tc>
      </w:tr>
      <w:tr>
        <w:tc>
          <w:tcPr>
            <w:tcW w:type="dxa" w:w="1429"/>
          </w:tcPr>
          <w:p>
            <w:pPr>
              <w:pStyle w:val="tablecopy"/>
              <w:spacing w:before="20" w:after="20"/>
            </w:pPr>
            <w:r>
              <w:t>B ÷ A</w:t>
            </w:r>
          </w:p>
        </w:tc>
        <w:tc>
          <w:tcPr>
            <w:tcW w:type="dxa" w:w="833"/>
          </w:tcPr>
          <w:p>
            <w:pPr>
              <w:pStyle w:val="tablecopy"/>
              <w:spacing w:before="20" w:after="20"/>
              <w:jc w:val="center"/>
            </w:pPr>
            <w:r>
              <w:t>0.75</w:t>
            </w:r>
          </w:p>
        </w:tc>
        <w:tc>
          <w:tcPr>
            <w:tcW w:type="dxa" w:w="833"/>
          </w:tcPr>
          <w:p>
            <w:pPr>
              <w:pStyle w:val="tablecopy"/>
              <w:spacing w:before="20" w:after="20"/>
              <w:jc w:val="center"/>
            </w:pPr>
            <w:r>
              <w:t>1.37</w:t>
            </w:r>
          </w:p>
        </w:tc>
        <w:tc>
          <w:tcPr>
            <w:tcW w:type="dxa" w:w="833"/>
          </w:tcPr>
          <w:p>
            <w:pPr>
              <w:pStyle w:val="tablecopy"/>
              <w:spacing w:before="20" w:after="20"/>
              <w:jc w:val="center"/>
            </w:pPr>
            <w:r>
              <w:t>1.45</w:t>
            </w:r>
          </w:p>
        </w:tc>
        <w:tc>
          <w:tcPr>
            <w:tcW w:type="dxa" w:w="833"/>
          </w:tcPr>
          <w:p>
            <w:pPr>
              <w:pStyle w:val="tablecopy"/>
              <w:spacing w:before="20" w:after="20"/>
              <w:jc w:val="center"/>
            </w:pPr>
            <w:r>
              <w:t>1.45</w:t>
            </w:r>
          </w:p>
        </w:tc>
      </w:tr>
      <w:tr>
        <w:tc>
          <w:tcPr>
            <w:tcW w:type="dxa" w:w="1429"/>
          </w:tcPr>
          <w:p>
            <w:pPr>
              <w:pStyle w:val="tablecopy"/>
              <w:spacing w:before="20" w:after="20"/>
            </w:pPr>
            <w:r>
              <w:t>maxout ÷ ReLU</w:t>
            </w:r>
          </w:p>
        </w:tc>
        <w:tc>
          <w:tcPr>
            <w:tcW w:type="dxa" w:w="833"/>
          </w:tcPr>
          <w:p>
            <w:pPr>
              <w:pStyle w:val="tablecopy"/>
              <w:spacing w:before="20" w:after="20"/>
              <w:jc w:val="center"/>
            </w:pPr>
            <w:r>
              <w:t>1.01</w:t>
            </w:r>
          </w:p>
        </w:tc>
        <w:tc>
          <w:tcPr>
            <w:tcW w:type="dxa" w:w="833"/>
          </w:tcPr>
          <w:p>
            <w:pPr>
              <w:pStyle w:val="tablecopy"/>
              <w:spacing w:before="20" w:after="20"/>
              <w:jc w:val="center"/>
            </w:pPr>
            <w:r>
              <w:t>1.87</w:t>
            </w:r>
          </w:p>
        </w:tc>
        <w:tc>
          <w:tcPr>
            <w:tcW w:type="dxa" w:w="833"/>
          </w:tcPr>
          <w:p>
            <w:pPr>
              <w:pStyle w:val="tablecopy"/>
              <w:spacing w:before="20" w:after="20"/>
              <w:jc w:val="center"/>
            </w:pPr>
            <w:r>
              <w:t>1.93</w:t>
            </w:r>
          </w:p>
        </w:tc>
        <w:tc>
          <w:tcPr>
            <w:tcW w:type="dxa" w:w="833"/>
          </w:tcPr>
          <w:p>
            <w:pPr>
              <w:pStyle w:val="tablecopy"/>
              <w:spacing w:before="20" w:after="20"/>
              <w:jc w:val="center"/>
            </w:pPr>
            <w:r>
              <w:t>1.93</w:t>
            </w:r>
          </w:p>
        </w:tc>
      </w:tr>
    </w:tbl>
    <w:p>
      <w:pPr>
        <w:pStyle w:val="tablehead"/>
        <w:numPr>
          <w:ilvl w:val="0"/>
          <w:numId w:val="0"/>
        </w:numPr>
      </w:pPr>
      <w:r>
        <w:t>sparse 모드 추정 (보드에서 잰 층별 입력 활성값 밀도를 쓰고, 뱅크 불균형을 1.0–1.3으로 가정; 연산에 묶인 잡음 제거 층의 sparse 사이클은 보드에서 재지 않았다)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1111"/>
        <w:gridCol w:w="1111"/>
        <w:gridCol w:w="1111"/>
      </w:tblGrid>
      <w:tr>
        <w:tc>
          <w:tcPr>
            <w:tcW w:type="dxa" w:w="1429"/>
          </w:tcPr>
          <w:p>
            <w:pPr>
              <w:pStyle w:val="tablecolhead"/>
              <w:spacing w:before="20" w:after="20"/>
            </w:pPr>
            <w:r>
              <w:t>망</w:t>
            </w:r>
          </w:p>
        </w:tc>
        <w:tc>
          <w:tcPr>
            <w:tcW w:type="dxa" w:w="1111"/>
          </w:tcPr>
          <w:p>
            <w:pPr>
              <w:pStyle w:val="tablecolhead"/>
              <w:spacing w:before="20" w:after="20"/>
              <w:jc w:val="center"/>
            </w:pPr>
            <w:r>
              <w:t>2값/사이클</w:t>
            </w:r>
          </w:p>
        </w:tc>
        <w:tc>
          <w:tcPr>
            <w:tcW w:type="dxa" w:w="1111"/>
          </w:tcPr>
          <w:p>
            <w:pPr>
              <w:pStyle w:val="tablecolhead"/>
              <w:spacing w:before="20" w:after="20"/>
              <w:jc w:val="center"/>
            </w:pPr>
            <w:r>
              <w:t>4값/사이클</w:t>
            </w:r>
          </w:p>
        </w:tc>
        <w:tc>
          <w:tcPr>
            <w:tcW w:type="dxa" w:w="1111"/>
          </w:tcPr>
          <w:p>
            <w:pPr>
              <w:pStyle w:val="tablecolhead"/>
              <w:spacing w:before="20" w:after="20"/>
              <w:jc w:val="center"/>
            </w:pPr>
            <w:r>
              <w:t>라인 버퍼</w:t>
            </w:r>
          </w:p>
        </w:tc>
      </w:tr>
      <w:tr>
        <w:tc>
          <w:tcPr>
            <w:tcW w:type="dxa" w:w="1429"/>
          </w:tcPr>
          <w:p>
            <w:pPr>
              <w:pStyle w:val="tablecopy"/>
              <w:spacing w:before="20" w:after="20"/>
            </w:pPr>
            <w:r>
              <w:t>A</w:t>
            </w:r>
          </w:p>
        </w:tc>
        <w:tc>
          <w:tcPr>
            <w:tcW w:type="dxa" w:w="1111"/>
          </w:tcPr>
          <w:p>
            <w:pPr>
              <w:pStyle w:val="tablecopy"/>
              <w:spacing w:before="20" w:after="20"/>
              <w:jc w:val="center"/>
            </w:pPr>
            <w:r>
              <w:t>907</w:t>
            </w:r>
          </w:p>
        </w:tc>
        <w:tc>
          <w:tcPr>
            <w:tcW w:type="dxa" w:w="1111"/>
          </w:tcPr>
          <w:p>
            <w:pPr>
              <w:pStyle w:val="tablecopy"/>
              <w:spacing w:before="20" w:after="20"/>
              <w:jc w:val="center"/>
            </w:pPr>
            <w:r>
              <w:t>495–603</w:t>
            </w:r>
          </w:p>
        </w:tc>
        <w:tc>
          <w:tcPr>
            <w:tcW w:type="dxa" w:w="1111"/>
          </w:tcPr>
          <w:p>
            <w:pPr>
              <w:pStyle w:val="tablecopy"/>
              <w:spacing w:before="20" w:after="20"/>
              <w:jc w:val="center"/>
            </w:pPr>
            <w:r>
              <w:t>458–582</w:t>
            </w:r>
          </w:p>
        </w:tc>
      </w:tr>
      <w:tr>
        <w:tc>
          <w:tcPr>
            <w:tcW w:type="dxa" w:w="1429"/>
          </w:tcPr>
          <w:p>
            <w:pPr>
              <w:pStyle w:val="tablecopy"/>
              <w:spacing w:before="20" w:after="20"/>
            </w:pPr>
            <w:r>
              <w:t>B</w:t>
            </w:r>
          </w:p>
        </w:tc>
        <w:tc>
          <w:tcPr>
            <w:tcW w:type="dxa" w:w="1111"/>
          </w:tcPr>
          <w:p>
            <w:pPr>
              <w:pStyle w:val="tablecopy"/>
              <w:spacing w:before="20" w:after="20"/>
              <w:jc w:val="center"/>
            </w:pPr>
            <w:r>
              <w:t>678–777</w:t>
            </w:r>
          </w:p>
        </w:tc>
        <w:tc>
          <w:tcPr>
            <w:tcW w:type="dxa" w:w="1111"/>
          </w:tcPr>
          <w:p>
            <w:pPr>
              <w:pStyle w:val="tablecopy"/>
              <w:spacing w:before="20" w:after="20"/>
              <w:jc w:val="center"/>
            </w:pPr>
            <w:r>
              <w:t>579–733</w:t>
            </w:r>
          </w:p>
        </w:tc>
        <w:tc>
          <w:tcPr>
            <w:tcW w:type="dxa" w:w="1111"/>
          </w:tcPr>
          <w:p>
            <w:pPr>
              <w:pStyle w:val="tablecopy"/>
              <w:spacing w:before="20" w:after="20"/>
              <w:jc w:val="center"/>
            </w:pPr>
            <w:r>
              <w:t>557–717</w:t>
            </w:r>
          </w:p>
        </w:tc>
      </w:tr>
      <w:tr>
        <w:tc>
          <w:tcPr>
            <w:tcW w:type="dxa" w:w="1429"/>
          </w:tcPr>
          <w:p>
            <w:pPr>
              <w:pStyle w:val="tablecopy"/>
              <w:spacing w:before="20" w:after="20"/>
            </w:pPr>
            <w:r>
              <w:t>B-32 ReLU</w:t>
            </w:r>
          </w:p>
        </w:tc>
        <w:tc>
          <w:tcPr>
            <w:tcW w:type="dxa" w:w="1111"/>
          </w:tcPr>
          <w:p>
            <w:pPr>
              <w:pStyle w:val="tablecopy"/>
              <w:spacing w:before="20" w:after="20"/>
              <w:jc w:val="center"/>
            </w:pPr>
            <w:r>
              <w:t>339</w:t>
            </w:r>
          </w:p>
        </w:tc>
        <w:tc>
          <w:tcPr>
            <w:tcW w:type="dxa" w:w="1111"/>
          </w:tcPr>
          <w:p>
            <w:pPr>
              <w:pStyle w:val="tablecopy"/>
              <w:spacing w:before="20" w:after="20"/>
              <w:jc w:val="center"/>
            </w:pPr>
            <w:r>
              <w:t>178–210</w:t>
            </w:r>
          </w:p>
        </w:tc>
        <w:tc>
          <w:tcPr>
            <w:tcW w:type="dxa" w:w="1111"/>
          </w:tcPr>
          <w:p>
            <w:pPr>
              <w:pStyle w:val="tablecopy"/>
              <w:spacing w:before="20" w:after="20"/>
              <w:jc w:val="center"/>
            </w:pPr>
            <w:r>
              <w:t>160–204</w:t>
            </w:r>
          </w:p>
        </w:tc>
      </w:tr>
      <w:tr>
        <w:tc>
          <w:tcPr>
            <w:tcW w:type="dxa" w:w="1429"/>
          </w:tcPr>
          <w:p>
            <w:pPr>
              <w:pStyle w:val="tablecopy"/>
              <w:spacing w:before="20" w:after="20"/>
            </w:pPr>
            <w:r>
              <w:t>B-32 maxout</w:t>
            </w:r>
          </w:p>
        </w:tc>
        <w:tc>
          <w:tcPr>
            <w:tcW w:type="dxa" w:w="1111"/>
          </w:tcPr>
          <w:p>
            <w:pPr>
              <w:pStyle w:val="tablecopy"/>
              <w:spacing w:before="20" w:after="20"/>
              <w:jc w:val="center"/>
            </w:pPr>
            <w:r>
              <w:t>481–606</w:t>
            </w:r>
          </w:p>
        </w:tc>
        <w:tc>
          <w:tcPr>
            <w:tcW w:type="dxa" w:w="1111"/>
          </w:tcPr>
          <w:p>
            <w:pPr>
              <w:pStyle w:val="tablecopy"/>
              <w:spacing w:before="20" w:after="20"/>
              <w:jc w:val="center"/>
            </w:pPr>
            <w:r>
              <w:t>461–586</w:t>
            </w:r>
          </w:p>
        </w:tc>
        <w:tc>
          <w:tcPr>
            <w:tcW w:type="dxa" w:w="1111"/>
          </w:tcPr>
          <w:p>
            <w:pPr>
              <w:pStyle w:val="tablecopy"/>
              <w:spacing w:before="20" w:after="20"/>
              <w:jc w:val="center"/>
            </w:pPr>
            <w:r>
              <w:t>456–586</w:t>
            </w:r>
          </w:p>
        </w:tc>
      </w:tr>
      <w:tr>
        <w:tc>
          <w:tcPr>
            <w:tcW w:type="dxa" w:w="1429"/>
          </w:tcPr>
          <w:p>
            <w:pPr>
              <w:pStyle w:val="tablecopy"/>
              <w:spacing w:before="20" w:after="20"/>
            </w:pPr>
            <w:r>
              <w:t>B ÷ A</w:t>
            </w:r>
          </w:p>
        </w:tc>
        <w:tc>
          <w:tcPr>
            <w:tcW w:type="dxa" w:w="1111"/>
          </w:tcPr>
          <w:p>
            <w:pPr>
              <w:pStyle w:val="tablecopy"/>
              <w:spacing w:before="20" w:after="20"/>
              <w:jc w:val="center"/>
            </w:pPr>
            <w:r>
              <w:t>0.75–0.86</w:t>
            </w:r>
          </w:p>
        </w:tc>
        <w:tc>
          <w:tcPr>
            <w:tcW w:type="dxa" w:w="1111"/>
          </w:tcPr>
          <w:p>
            <w:pPr>
              <w:pStyle w:val="tablecopy"/>
              <w:spacing w:before="20" w:after="20"/>
              <w:jc w:val="center"/>
            </w:pPr>
            <w:r>
              <w:t>1.17–1.21</w:t>
            </w:r>
          </w:p>
        </w:tc>
        <w:tc>
          <w:tcPr>
            <w:tcW w:type="dxa" w:w="1111"/>
          </w:tcPr>
          <w:p>
            <w:pPr>
              <w:pStyle w:val="tablecopy"/>
              <w:spacing w:before="20" w:after="20"/>
              <w:jc w:val="center"/>
            </w:pPr>
            <w:r>
              <w:t>1.22–1.23</w:t>
            </w:r>
          </w:p>
        </w:tc>
      </w:tr>
      <w:tr>
        <w:tc>
          <w:tcPr>
            <w:tcW w:type="dxa" w:w="1429"/>
          </w:tcPr>
          <w:p>
            <w:pPr>
              <w:pStyle w:val="tablecopy"/>
              <w:spacing w:before="20" w:after="20"/>
            </w:pPr>
            <w:r>
              <w:t>maxout ÷ ReLU</w:t>
            </w:r>
          </w:p>
        </w:tc>
        <w:tc>
          <w:tcPr>
            <w:tcW w:type="dxa" w:w="1111"/>
          </w:tcPr>
          <w:p>
            <w:pPr>
              <w:pStyle w:val="tablecopy"/>
              <w:spacing w:before="20" w:after="20"/>
              <w:jc w:val="center"/>
            </w:pPr>
            <w:r>
              <w:t>1.42–1.79</w:t>
            </w:r>
          </w:p>
        </w:tc>
        <w:tc>
          <w:tcPr>
            <w:tcW w:type="dxa" w:w="1111"/>
          </w:tcPr>
          <w:p>
            <w:pPr>
              <w:pStyle w:val="tablecopy"/>
              <w:spacing w:before="20" w:after="20"/>
              <w:jc w:val="center"/>
            </w:pPr>
            <w:r>
              <w:t>2.59–2.79</w:t>
            </w:r>
          </w:p>
        </w:tc>
        <w:tc>
          <w:tcPr>
            <w:tcW w:type="dxa" w:w="1111"/>
          </w:tcPr>
          <w:p>
            <w:pPr>
              <w:pStyle w:val="tablecopy"/>
              <w:spacing w:before="20" w:after="20"/>
              <w:jc w:val="center"/>
            </w:pPr>
            <w:r>
              <w:t>2.85–2.88</w:t>
            </w:r>
          </w:p>
        </w:tc>
      </w:tr>
    </w:tbl>
    <w:p>
      <w:pPr>
        <w:pStyle w:val="a3"/>
      </w:pPr>
      <w:r>
        <w:t>dense 상한으로는 2값/사이클만 돼도 두 선택의 사이클 이점이 모두 사라진다. sparse 모드로 추정하면 합치기는 2값부터 공짜가 아니고(maxout 망은 입력에 0이 적어 건너뛸 곱셈이 적다), B는 4값/사이클과 라인 버퍼에서 A보다 느려진다. 4값/사이클과 라인 버퍼는 둘 다 은닉층을 연산에 묶이게 만들어 거의 같은 값이 된다. 다만 B-32 maxout(615)은 어느 구조에서도 A보다 빠르다. 래퍼를 넓히는 하드웨어 개선과 망 선택은 어느 하나를 고르는 관계가 아니다. 포트를 넓히면 모든 망이 빨라지고(A 1,775 → 907), 그때 이기는 망이 달라진다는 것이 이 표의 요점이다. 이 표의 2·4값과 라인 버퍼 열을 보드에서 재는 것이 다음 작업이다.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설계가 이득이 됐다. space-to-depth는 6.4배 큰 망을 25% 적은 사이클에 넣었고, 은닉층 출력을 2배로 늘려 두 개씩 합치는 설계는 은닉층의 사이클을 바꾸지 않고 파라미터를 2배로 늘려 같은 폭의 ReLU 망보다 화질을 올렸으며, 시드 1에서는 max 대신 평균으로 합쳐도 같았다(float)〔시드 2·3, 평균 결합 QAT〕. 양자화 인지 학습까지 더해, 같은 입력의 BM3D를 두 테스트셋에서 넘는 정수 모델(30.12 / 29.02 dB)과 기준보다 2.63배 적은 사이클로 BM3D 수준인 모델(30.00 / 28.94 dB)을 얻었고, 두 모델 모두 보드에서 한 장을 끝까지 실행해 전 층 비트 일치를 확인했다. 코드, 정수 모델, 사진별 PSNR, 보드 기록은 저장소에 있다.</w:t>
      </w:r>
    </w:p>
    <w:p>
      <w:pPr>
        <w:pStyle w:val="a3"/>
      </w:pPr>
      <w:r>
        <w:rPr>
          <w:b/>
        </w:rPr>
        <w:t>어디까지 일반적인가.</w:t>
      </w:r>
      <w:r>
        <w:t xml:space="preserve"> 구체적인 규칙(출력 채널 2배가 공짜, 64채널 망 B가 A보다 빠름)은 PC가 만든 창을 사이클당 값 하나로 받는 이 입력 구조에서만 성립하며, 표 III처럼 입력이 2값/사이클이면 합치기가, 4값/사이클이나 라인 버퍼면 B의 이점도 사라진다(sparse 추정 기준; dense 상한으로는 2값에서 둘 다). 일반화되는 것은 두 가지다. 첫째는 판정 기준이다. 추가 사이클 없이 늘릴 수 있는 출력 채널은 대략 곱셈기 수를 사이클당 입력 값 수로 나눈 값(P·T/w)이다. 곱셈기 256개에 4값/사이클인 가속기라면 256/4 = 64이므로 32채널 망의 출력 2배는 다시 공짜가 되고, 이 코어를 2값/사이클로 넓히면 공짜가 아니다. 둘째는 방법이다. 병목을 재고, 그것을 맞히는 사이클 모델을 세우고, 공짜인 자원을 쓰는 망을 고른다. 병목에 맞춰 설계를 고르는 일은 다른 플랫폼에서도 나타난다. TPU·GPU에서는 space-to-depth와, 일부 단계에서는 연산량이 더 많은 일반 합성곱(fused MBConv)이 활용률을 올려 오히려 빨랐고 [13], [22], 메모리 대역에 묶인 LLM 추론에서는 노는 연산으로 토큰 여러 개를 한 번에 검증하는 추측 디코딩 [23]이 쓰이며, GPU에서는 잰 지연의 계단에 맞춰 채널 수를 고른다 [25]. MCU에서는 노는 자원이 아니라 메모리 용량이라는 다른 병목에 맞춰 망과 실행 순서를 함께 설계한다 [24]. P·T/w 기준이 다른 입력 구조에서 실제로 맞는지는 아직 예측이며, 2·4값 포트와 라인 버퍼를 보드에서 재는 것이 다음 작업이다.</w:t>
      </w:r>
    </w:p>
    <w:p>
      <w:pPr>
        <w:pStyle w:val="a3"/>
      </w:pPr>
      <w:r>
        <w:rPr>
          <w:b/>
        </w:rPr>
        <w:t>한계.</w:t>
      </w:r>
      <w:r>
        <w:t xml:space="preserve"> 사이클은 공짜지만 에너지는 아니다. maxout 망은 dense 곱셈이 ReLU 망의 2배이고, sparse 모드에서 실제로 수행한 0이 아닌 곱셈은 3.0배였다(보드 기록, 05.png; 은닉층 입력의 0이 아닌 비율 0.64–0.84 대 0.37–0.55). 동적 전력이 늘 수 있지만 측정하지 않았다. 처리 시간은 코어 사이클만 세었고 end-to-end 시간은 JTAG 하네스 기준이다. 잡음은 σ=25 하나, 시드는 하나이고(B-32 비교는 시드 2·3 진행 중), 흑백 영상의 PSNR만 보고했다(SSIM 없음). 규칙은 현재 입력 구조(포트 폭, host im2col)에 조건부이며, 다른 입력 구조와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M. Tan and Q. V. Le, "EfficientNetV2: Smaller models and faster training," in </w:t>
      </w:r>
      <w:r>
        <w:rPr>
          <w:i/>
        </w:rPr>
        <w:t>Proc. ICML</w:t>
      </w:r>
      <w:r>
        <w:t>, 2021, pp. 10096–10106.</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pPr>
      <w:r>
        <w:t xml:space="preserve">M. Shen, H. Yin, P. Molchanov, L. Mao, J. Liu, and J. M. Alvarez, "Structural pruning via latency-saliency knapsack," in </w:t>
      </w:r>
      <w:r>
        <w:rPr>
          <w:i/>
        </w:rPr>
        <w:t>Proc. NeurIPS</w:t>
      </w:r>
      <w:r>
        <w:t>, 2022 (HALP).</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